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99" w:rsidRDefault="00F45D99">
      <w:pPr>
        <w:widowControl w:val="0"/>
        <w:jc w:val="both"/>
        <w:rPr>
          <w:rFonts w:eastAsia="Times New Roman"/>
          <w:lang w:val="en-US" w:eastAsia="zh-CN" w:bidi="ar-SA"/>
        </w:rPr>
      </w:pPr>
      <w:r>
        <w:rPr>
          <w:rFonts w:eastAsia="Times New Roman"/>
          <w:lang w:val="en-US" w:eastAsia="zh-CN" w:bidi="ar-SA"/>
        </w:rPr>
        <w:t> </w:t>
      </w: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center"/>
        <w:rPr>
          <w:rFonts w:eastAsia="Times New Roman"/>
          <w:sz w:val="48"/>
          <w:szCs w:val="48"/>
          <w:lang w:val="en-US" w:eastAsia="zh-CN" w:bidi="ar-SA"/>
        </w:rPr>
      </w:pPr>
      <w:bookmarkStart w:id="0" w:name="t_2_0_table"/>
      <w:bookmarkEnd w:id="0"/>
      <w:r>
        <w:rPr>
          <w:rFonts w:ascii="宋体" w:hAnsi="宋体" w:cs="宋体"/>
          <w:b/>
          <w:bCs/>
          <w:sz w:val="48"/>
          <w:szCs w:val="48"/>
          <w:lang w:val="en-US" w:eastAsia="zh-CN" w:bidi="ar-SA"/>
        </w:rPr>
        <w:t>鹏华永润一年定期开放债券型证券投资基金开放申购、赎回和转换业务的公告</w:t>
      </w:r>
    </w:p>
    <w:p w:rsidR="00F45D99" w:rsidRDefault="00F45D99">
      <w:pPr>
        <w:widowControl w:val="0"/>
        <w:jc w:val="center"/>
        <w:rPr>
          <w:rFonts w:eastAsia="Times New Roman"/>
          <w:sz w:val="30"/>
          <w:szCs w:val="30"/>
          <w:lang w:val="en-US" w:eastAsia="zh-CN" w:bidi="ar-SA"/>
        </w:rPr>
      </w:pPr>
    </w:p>
    <w:p w:rsidR="00F45D99" w:rsidRDefault="00F45D99">
      <w:pPr>
        <w:widowControl w:val="0"/>
        <w:jc w:val="center"/>
        <w:rPr>
          <w:rFonts w:eastAsia="Times New Roman"/>
          <w:sz w:val="30"/>
          <w:szCs w:val="30"/>
          <w:lang w:val="en-US" w:eastAsia="zh-CN" w:bidi="ar-SA"/>
        </w:rPr>
      </w:pPr>
      <w:bookmarkStart w:id="1" w:name="t_2_0_0002_a2_fm1"/>
      <w:bookmarkEnd w:id="1"/>
    </w:p>
    <w:p w:rsidR="00F45D99" w:rsidRDefault="00F45D99">
      <w:pPr>
        <w:widowControl w:val="0"/>
        <w:jc w:val="center"/>
        <w:rPr>
          <w:rFonts w:eastAsia="Times New Roman"/>
          <w:sz w:val="30"/>
          <w:szCs w:val="30"/>
          <w:lang w:val="en-US" w:eastAsia="zh-CN" w:bidi="ar-SA"/>
        </w:rPr>
      </w:pPr>
    </w:p>
    <w:p w:rsidR="00F45D99" w:rsidRDefault="00F45D99">
      <w:pPr>
        <w:widowControl w:val="0"/>
        <w:jc w:val="center"/>
        <w:rPr>
          <w:rFonts w:eastAsia="Times New Roman"/>
          <w:sz w:val="30"/>
          <w:szCs w:val="30"/>
          <w:lang w:val="en-US" w:eastAsia="zh-CN" w:bidi="ar-SA"/>
        </w:rPr>
      </w:pPr>
    </w:p>
    <w:p w:rsidR="00F45D99" w:rsidRDefault="00F45D99">
      <w:pPr>
        <w:widowControl w:val="0"/>
        <w:jc w:val="center"/>
        <w:rPr>
          <w:rFonts w:eastAsia="Times New Roman"/>
          <w:sz w:val="30"/>
          <w:szCs w:val="30"/>
          <w:lang w:val="en-US" w:eastAsia="zh-CN" w:bidi="ar-SA"/>
        </w:rPr>
      </w:pPr>
    </w:p>
    <w:p w:rsidR="00F45D99" w:rsidRDefault="00F45D99">
      <w:pPr>
        <w:widowControl w:val="0"/>
        <w:jc w:val="center"/>
        <w:rPr>
          <w:rFonts w:eastAsia="Times New Roman"/>
          <w:sz w:val="30"/>
          <w:szCs w:val="30"/>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r>
        <w:rPr>
          <w:rFonts w:eastAsia="Times New Roman"/>
          <w:lang w:val="en-US" w:eastAsia="zh-CN" w:bidi="ar-SA"/>
        </w:rPr>
        <w:t> </w:t>
      </w:r>
    </w:p>
    <w:p w:rsidR="00F45D99" w:rsidRDefault="00F45D99">
      <w:pPr>
        <w:widowControl w:val="0"/>
        <w:jc w:val="both"/>
        <w:rPr>
          <w:rFonts w:eastAsia="Times New Roman"/>
          <w:lang w:val="en-US" w:eastAsia="zh-CN" w:bidi="ar-SA"/>
        </w:rPr>
      </w:pPr>
      <w:r>
        <w:rPr>
          <w:rFonts w:eastAsia="Times New Roman"/>
          <w:lang w:val="en-US" w:eastAsia="zh-CN" w:bidi="ar-SA"/>
        </w:rPr>
        <w:t> </w:t>
      </w:r>
    </w:p>
    <w:p w:rsidR="00F45D99" w:rsidRDefault="00F45D99">
      <w:pPr>
        <w:widowControl w:val="0"/>
        <w:jc w:val="both"/>
        <w:rPr>
          <w:rFonts w:eastAsia="Times New Roman"/>
          <w:lang w:val="en-US" w:eastAsia="zh-CN" w:bidi="ar-SA"/>
        </w:rPr>
      </w:pPr>
      <w:r>
        <w:rPr>
          <w:rFonts w:eastAsia="Times New Roman"/>
          <w:lang w:val="en-US" w:eastAsia="zh-CN" w:bidi="ar-SA"/>
        </w:rPr>
        <w:t> </w:t>
      </w:r>
    </w:p>
    <w:p w:rsidR="00F45D99" w:rsidRDefault="00F45D99">
      <w:pPr>
        <w:widowControl w:val="0"/>
        <w:jc w:val="both"/>
        <w:rPr>
          <w:rFonts w:eastAsia="Times New Roman"/>
          <w:lang w:val="en-US" w:eastAsia="zh-CN" w:bidi="ar-SA"/>
        </w:rPr>
      </w:pPr>
      <w:r>
        <w:rPr>
          <w:rFonts w:eastAsia="Times New Roman"/>
          <w:lang w:val="en-US" w:eastAsia="zh-CN" w:bidi="ar-SA"/>
        </w:rPr>
        <w:t> </w:t>
      </w:r>
    </w:p>
    <w:p w:rsidR="00F45D99" w:rsidRDefault="00F45D99">
      <w:pPr>
        <w:widowControl w:val="0"/>
        <w:jc w:val="both"/>
        <w:rPr>
          <w:rFonts w:eastAsia="Times New Roman"/>
          <w:lang w:val="en-US" w:eastAsia="zh-CN" w:bidi="ar-SA"/>
        </w:rPr>
      </w:pPr>
      <w:r>
        <w:rPr>
          <w:rFonts w:eastAsia="Times New Roman"/>
          <w:lang w:val="en-US" w:eastAsia="zh-CN" w:bidi="ar-SA"/>
        </w:rPr>
        <w:t> </w:t>
      </w:r>
    </w:p>
    <w:p w:rsidR="00F45D99" w:rsidRDefault="00F45D99">
      <w:pPr>
        <w:widowControl w:val="0"/>
        <w:jc w:val="both"/>
        <w:rPr>
          <w:rFonts w:eastAsia="Times New Roman"/>
          <w:lang w:val="en-US" w:eastAsia="zh-CN" w:bidi="ar-SA"/>
        </w:rPr>
      </w:pPr>
      <w:r>
        <w:rPr>
          <w:rFonts w:eastAsia="Times New Roman"/>
          <w:lang w:val="en-US" w:eastAsia="zh-CN" w:bidi="ar-SA"/>
        </w:rPr>
        <w:t> </w:t>
      </w:r>
    </w:p>
    <w:p w:rsidR="00F45D99" w:rsidRDefault="00F45D99">
      <w:pPr>
        <w:widowControl w:val="0"/>
        <w:jc w:val="both"/>
        <w:rPr>
          <w:rFonts w:eastAsia="Times New Roman"/>
          <w:lang w:val="en-US" w:eastAsia="zh-CN" w:bidi="ar-SA"/>
        </w:rPr>
      </w:pPr>
      <w:r>
        <w:rPr>
          <w:rFonts w:eastAsia="Times New Roman"/>
          <w:lang w:val="en-US" w:eastAsia="zh-CN" w:bidi="ar-SA"/>
        </w:rPr>
        <w:t> </w:t>
      </w: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ind w:left="2100" w:firstLine="420"/>
        <w:jc w:val="both"/>
        <w:rPr>
          <w:rFonts w:eastAsia="Times New Roman"/>
          <w:sz w:val="28"/>
          <w:szCs w:val="28"/>
          <w:lang w:val="en-US" w:eastAsia="zh-CN" w:bidi="ar-SA"/>
        </w:rPr>
      </w:pPr>
      <w:r>
        <w:rPr>
          <w:rFonts w:ascii="宋体" w:hAnsi="宋体" w:cs="宋体"/>
          <w:b/>
          <w:bCs/>
          <w:sz w:val="28"/>
          <w:szCs w:val="28"/>
          <w:lang w:val="en-US" w:eastAsia="zh-CN" w:bidi="ar-SA"/>
        </w:rPr>
        <w:t>公告送出日期：2021年04月16日</w:t>
      </w: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widowControl w:val="0"/>
        <w:jc w:val="both"/>
        <w:rPr>
          <w:rFonts w:eastAsia="Times New Roman"/>
          <w:lang w:val="en-US" w:eastAsia="zh-CN" w:bidi="ar-SA"/>
        </w:rPr>
      </w:pPr>
    </w:p>
    <w:p w:rsidR="00F45D99" w:rsidRDefault="00F45D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lastRenderedPageBreak/>
        <w:t>1</w:t>
      </w:r>
      <w:bookmarkStart w:id="2" w:name="t_2_1_table"/>
      <w:bookmarkEnd w:id="2"/>
      <w:r>
        <w:rPr>
          <w:rFonts w:ascii="宋体" w:hAnsi="宋体" w:cs="宋体"/>
          <w:i w:val="0"/>
          <w:iCs w:val="0"/>
          <w:sz w:val="24"/>
          <w:szCs w:val="24"/>
          <w:lang w:val="en-US" w:eastAsia="zh-CN" w:bidi="ar-SA"/>
        </w:rPr>
        <w:t>公告基本信息</w:t>
      </w:r>
    </w:p>
    <w:tbl>
      <w:tblPr>
        <w:tblW w:w="8647" w:type="dxa"/>
        <w:tblInd w:w="224"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2977"/>
        <w:gridCol w:w="5670"/>
      </w:tblGrid>
      <w:tr w:rsidR="00F45D99" w:rsidRPr="00F45D99">
        <w:tc>
          <w:tcPr>
            <w:tcW w:w="2977" w:type="dxa"/>
            <w:tcBorders>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基金名称</w:t>
            </w:r>
          </w:p>
        </w:tc>
        <w:tc>
          <w:tcPr>
            <w:tcW w:w="5670" w:type="dxa"/>
            <w:tcBorders>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3" w:name="t_2_1_0009_a1_fm1"/>
            <w:bookmarkEnd w:id="3"/>
            <w:r>
              <w:rPr>
                <w:rFonts w:ascii="宋体" w:hAnsi="宋体" w:cs="宋体"/>
                <w:sz w:val="21"/>
                <w:szCs w:val="21"/>
                <w:lang w:val="en-US" w:eastAsia="zh-CN" w:bidi="ar-SA"/>
              </w:rPr>
              <w:t>鹏华永润一年定期开放债券型证券投资基金</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基金简称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4" w:name="t_2_1_0011_a1_fm1"/>
            <w:bookmarkEnd w:id="4"/>
            <w:r>
              <w:rPr>
                <w:rFonts w:ascii="宋体" w:hAnsi="宋体" w:cs="宋体"/>
                <w:sz w:val="21"/>
                <w:szCs w:val="21"/>
                <w:lang w:val="en-US" w:eastAsia="zh-CN" w:bidi="ar-SA"/>
              </w:rPr>
              <w:t>鹏华永润一年定期开放债券</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基金主代码</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5" w:name="t_2_1_0012_a1_fm1"/>
            <w:bookmarkEnd w:id="5"/>
            <w:r>
              <w:rPr>
                <w:rFonts w:ascii="宋体" w:hAnsi="宋体" w:cs="宋体"/>
                <w:sz w:val="21"/>
                <w:szCs w:val="21"/>
                <w:lang w:val="en-US" w:eastAsia="zh-CN" w:bidi="ar-SA"/>
              </w:rPr>
              <w:t>006956</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基金运作方式</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rsidP="00F45D99">
            <w:pPr>
              <w:widowControl w:val="0"/>
              <w:jc w:val="both"/>
              <w:rPr>
                <w:rFonts w:eastAsia="Times New Roman"/>
                <w:sz w:val="21"/>
                <w:szCs w:val="21"/>
                <w:lang w:val="en-US" w:eastAsia="zh-CN" w:bidi="ar-SA"/>
              </w:rPr>
            </w:pPr>
            <w:bookmarkStart w:id="6" w:name="t_2_1_0017_a1_fm1"/>
            <w:bookmarkEnd w:id="6"/>
            <w:r>
              <w:rPr>
                <w:rFonts w:ascii="宋体" w:hAnsi="宋体" w:cs="宋体"/>
                <w:sz w:val="21"/>
                <w:szCs w:val="21"/>
                <w:lang w:val="en-US" w:eastAsia="zh-CN" w:bidi="ar-SA"/>
              </w:rPr>
              <w:t>契约型，本基金以定期开放方式运作，即采用封闭运作和开放运作交替循环的方式。本基金自基金合同生效之日（含）起或自每一开放期结束之日次日（含）起一年后的对应日的前一日止的期间封闭运作，不办理申购与赎回业务，也不上市交易。如该对应日不存在对应日期或为非工作日，则顺延至下一工作日。本基金自封闭期结束之后第一个工作日（含）起进入开放期，每个开放期不少于五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基金合同生效日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7" w:name="t_2_1_0018_a1_fm1"/>
            <w:bookmarkEnd w:id="7"/>
            <w:r>
              <w:rPr>
                <w:rFonts w:ascii="宋体" w:hAnsi="宋体" w:cs="宋体"/>
                <w:sz w:val="21"/>
                <w:szCs w:val="21"/>
                <w:lang w:val="en-US" w:eastAsia="zh-CN" w:bidi="ar-SA"/>
              </w:rPr>
              <w:t>2019年03月21日</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基金管理人名称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8" w:name="t_2_1_0186_a1_fm1"/>
            <w:bookmarkEnd w:id="8"/>
            <w:r>
              <w:rPr>
                <w:rFonts w:ascii="宋体" w:hAnsi="宋体" w:cs="宋体"/>
                <w:sz w:val="21"/>
                <w:szCs w:val="21"/>
                <w:lang w:val="en-US" w:eastAsia="zh-CN" w:bidi="ar-SA"/>
              </w:rPr>
              <w:t>鹏华基金管理有限公司</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基金托管人名称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9" w:name="t_2_1_0213_a1_fm1"/>
            <w:bookmarkEnd w:id="9"/>
            <w:r>
              <w:rPr>
                <w:rFonts w:ascii="宋体" w:hAnsi="宋体" w:cs="宋体"/>
                <w:sz w:val="21"/>
                <w:szCs w:val="21"/>
                <w:lang w:val="en-US" w:eastAsia="zh-CN" w:bidi="ar-SA"/>
              </w:rPr>
              <w:t>中国工商银行股份有限公司</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基金份额登记机构名称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10" w:name="t_2_1_0310_a1_fm1"/>
            <w:bookmarkEnd w:id="10"/>
            <w:r>
              <w:rPr>
                <w:rFonts w:ascii="宋体" w:hAnsi="宋体" w:cs="宋体"/>
                <w:sz w:val="21"/>
                <w:szCs w:val="21"/>
                <w:lang w:val="en-US" w:eastAsia="zh-CN" w:bidi="ar-SA"/>
              </w:rPr>
              <w:t>鹏华基金管理有限公司</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公告依据</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11" w:name="t_2_1_2631_a1_fm1"/>
            <w:bookmarkEnd w:id="11"/>
            <w:r>
              <w:rPr>
                <w:rFonts w:ascii="宋体" w:hAnsi="宋体" w:cs="宋体"/>
                <w:sz w:val="21"/>
                <w:szCs w:val="21"/>
                <w:lang w:val="en-US" w:eastAsia="zh-CN" w:bidi="ar-SA"/>
              </w:rPr>
              <w:t>《鹏华永润一年定期开放债券型证券投资基金基金合同》（以下简称“基金合同”）、《鹏华永润一年定期开放债券型证券投资基金招募说明书》及其更新（以下简称“招募说明书”）</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申购起始日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12" w:name="t_2_1_2660_a1_fm1"/>
            <w:bookmarkEnd w:id="12"/>
            <w:r>
              <w:rPr>
                <w:rFonts w:ascii="宋体" w:hAnsi="宋体" w:cs="宋体"/>
                <w:sz w:val="21"/>
                <w:szCs w:val="21"/>
                <w:lang w:val="en-US" w:eastAsia="zh-CN" w:bidi="ar-SA"/>
              </w:rPr>
              <w:t>2021年04月19日</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赎回起始日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bookmarkStart w:id="13" w:name="t_2_1_2661_a1_fm1"/>
            <w:bookmarkEnd w:id="13"/>
            <w:r>
              <w:rPr>
                <w:rFonts w:ascii="宋体" w:hAnsi="宋体" w:cs="宋体"/>
                <w:sz w:val="21"/>
                <w:szCs w:val="21"/>
                <w:lang w:val="en-US" w:eastAsia="zh-CN" w:bidi="ar-SA"/>
              </w:rPr>
              <w:t>2021年0</w:t>
            </w:r>
            <w:r w:rsidR="005D0A98">
              <w:rPr>
                <w:rFonts w:ascii="宋体" w:hAnsi="宋体" w:cs="宋体" w:hint="eastAsia"/>
                <w:sz w:val="21"/>
                <w:szCs w:val="21"/>
                <w:lang w:val="en-US" w:bidi="ar-SA"/>
              </w:rPr>
              <w:t>4</w:t>
            </w:r>
            <w:r>
              <w:rPr>
                <w:rFonts w:ascii="宋体" w:hAnsi="宋体" w:cs="宋体"/>
                <w:sz w:val="21"/>
                <w:szCs w:val="21"/>
                <w:lang w:val="en-US" w:eastAsia="zh-CN" w:bidi="ar-SA"/>
              </w:rPr>
              <w:t>月</w:t>
            </w:r>
            <w:r w:rsidR="00DD272B">
              <w:rPr>
                <w:rFonts w:ascii="宋体" w:hAnsi="宋体" w:cs="宋体" w:hint="eastAsia"/>
                <w:sz w:val="21"/>
                <w:szCs w:val="21"/>
                <w:lang w:val="en-US" w:bidi="ar-SA"/>
              </w:rPr>
              <w:t>19</w:t>
            </w:r>
            <w:r>
              <w:rPr>
                <w:rFonts w:ascii="宋体" w:hAnsi="宋体" w:cs="宋体"/>
                <w:sz w:val="21"/>
                <w:szCs w:val="21"/>
                <w:lang w:val="en-US" w:eastAsia="zh-CN" w:bidi="ar-SA"/>
              </w:rPr>
              <w:t>日</w:t>
            </w:r>
          </w:p>
        </w:tc>
      </w:tr>
      <w:tr w:rsidR="00F45D99" w:rsidRPr="00F45D99">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转换转出起始日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2021年0</w:t>
            </w:r>
            <w:r w:rsidR="005D0A98">
              <w:rPr>
                <w:rFonts w:ascii="宋体" w:hAnsi="宋体" w:cs="宋体" w:hint="eastAsia"/>
                <w:sz w:val="21"/>
                <w:szCs w:val="21"/>
                <w:lang w:val="en-US" w:bidi="ar-SA"/>
              </w:rPr>
              <w:t>4</w:t>
            </w:r>
            <w:r>
              <w:rPr>
                <w:rFonts w:ascii="宋体" w:hAnsi="宋体" w:cs="宋体"/>
                <w:sz w:val="21"/>
                <w:szCs w:val="21"/>
                <w:lang w:val="en-US" w:eastAsia="zh-CN" w:bidi="ar-SA"/>
              </w:rPr>
              <w:t>月</w:t>
            </w:r>
            <w:r w:rsidR="00DD272B">
              <w:rPr>
                <w:rFonts w:ascii="宋体" w:hAnsi="宋体" w:cs="宋体" w:hint="eastAsia"/>
                <w:sz w:val="21"/>
                <w:szCs w:val="21"/>
                <w:lang w:val="en-US" w:bidi="ar-SA"/>
              </w:rPr>
              <w:t>19</w:t>
            </w:r>
            <w:r>
              <w:rPr>
                <w:rFonts w:ascii="宋体" w:hAnsi="宋体" w:cs="宋体"/>
                <w:sz w:val="21"/>
                <w:szCs w:val="21"/>
                <w:lang w:val="en-US" w:eastAsia="zh-CN" w:bidi="ar-SA"/>
              </w:rPr>
              <w:t>日</w:t>
            </w:r>
          </w:p>
        </w:tc>
      </w:tr>
      <w:tr w:rsidR="00F45D99" w:rsidRPr="00F45D99">
        <w:tc>
          <w:tcPr>
            <w:tcW w:w="2977" w:type="dxa"/>
            <w:tcBorders>
              <w:top w:val="single" w:sz="6" w:space="0" w:color="auto"/>
              <w:righ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转换转入起始日</w:t>
            </w:r>
          </w:p>
        </w:tc>
        <w:tc>
          <w:tcPr>
            <w:tcW w:w="5670" w:type="dxa"/>
            <w:tcBorders>
              <w:top w:val="single" w:sz="6" w:space="0" w:color="auto"/>
              <w:left w:val="single" w:sz="6" w:space="0" w:color="auto"/>
            </w:tcBorders>
            <w:tcMar>
              <w:top w:w="8" w:type="dxa"/>
              <w:left w:w="108" w:type="dxa"/>
              <w:bottom w:w="8" w:type="dxa"/>
              <w:right w:w="108" w:type="dxa"/>
            </w:tcMar>
            <w:hideMark/>
          </w:tcPr>
          <w:p w:rsidR="00F45D99" w:rsidRDefault="00F45D99">
            <w:pPr>
              <w:widowControl w:val="0"/>
              <w:jc w:val="both"/>
              <w:rPr>
                <w:rFonts w:eastAsia="Times New Roman"/>
                <w:sz w:val="21"/>
                <w:szCs w:val="21"/>
                <w:lang w:val="en-US" w:eastAsia="zh-CN" w:bidi="ar-SA"/>
              </w:rPr>
            </w:pPr>
            <w:r>
              <w:rPr>
                <w:rFonts w:ascii="宋体" w:hAnsi="宋体" w:cs="宋体"/>
                <w:sz w:val="21"/>
                <w:szCs w:val="21"/>
                <w:lang w:val="en-US" w:eastAsia="zh-CN" w:bidi="ar-SA"/>
              </w:rPr>
              <w:t>2021年04月1</w:t>
            </w:r>
            <w:r w:rsidR="005D0A98">
              <w:rPr>
                <w:rFonts w:ascii="宋体" w:hAnsi="宋体" w:cs="宋体" w:hint="eastAsia"/>
                <w:sz w:val="21"/>
                <w:szCs w:val="21"/>
                <w:lang w:val="en-US" w:bidi="ar-SA"/>
              </w:rPr>
              <w:t>9</w:t>
            </w:r>
            <w:r>
              <w:rPr>
                <w:rFonts w:ascii="宋体" w:hAnsi="宋体" w:cs="宋体"/>
                <w:sz w:val="21"/>
                <w:szCs w:val="21"/>
                <w:lang w:val="en-US" w:eastAsia="zh-CN" w:bidi="ar-SA"/>
              </w:rPr>
              <w:t>日</w:t>
            </w:r>
          </w:p>
        </w:tc>
      </w:tr>
    </w:tbl>
    <w:p w:rsidR="00F45D99" w:rsidRDefault="00F45D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2 </w:t>
      </w:r>
      <w:bookmarkStart w:id="14" w:name="t_2_2_table"/>
      <w:bookmarkEnd w:id="14"/>
      <w:r>
        <w:rPr>
          <w:rFonts w:ascii="宋体" w:hAnsi="宋体" w:cs="宋体"/>
          <w:i w:val="0"/>
          <w:iCs w:val="0"/>
          <w:sz w:val="24"/>
          <w:szCs w:val="24"/>
          <w:lang w:val="en-US" w:eastAsia="zh-CN" w:bidi="ar-SA"/>
        </w:rPr>
        <w:t>申购、赎回和转换业务的办理时间</w:t>
      </w:r>
    </w:p>
    <w:p w:rsidR="00F45D99" w:rsidRDefault="00F45D99">
      <w:pPr>
        <w:widowControl w:val="0"/>
        <w:spacing w:line="360" w:lineRule="auto"/>
        <w:ind w:firstLine="420"/>
        <w:rPr>
          <w:rFonts w:eastAsia="Times New Roman"/>
          <w:sz w:val="21"/>
          <w:szCs w:val="21"/>
          <w:lang w:val="en-US" w:eastAsia="zh-CN" w:bidi="ar-SA"/>
        </w:rPr>
      </w:pPr>
      <w:bookmarkStart w:id="15" w:name="t_2_2_2819_a1_fm1"/>
      <w:bookmarkEnd w:id="15"/>
      <w:r>
        <w:rPr>
          <w:rFonts w:ascii="宋体" w:hAnsi="宋体" w:cs="宋体"/>
          <w:sz w:val="21"/>
          <w:szCs w:val="21"/>
          <w:lang w:val="en-US" w:eastAsia="zh-CN" w:bidi="ar-SA"/>
        </w:rPr>
        <w:t>鹏华永润一年定期开放债券型证券投资基金（以下简称“本基金”）自2021年04月19日起（含当日）进入开放期，其中，开放申购时间为2021年04月19日至2021年05月19日，在此期间接受投资者的申购和转换转入业务申请；开放赎回时间为2021年0</w:t>
      </w:r>
      <w:r w:rsidR="005D0A98">
        <w:rPr>
          <w:rFonts w:ascii="宋体" w:hAnsi="宋体" w:cs="宋体" w:hint="eastAsia"/>
          <w:sz w:val="21"/>
          <w:szCs w:val="21"/>
          <w:lang w:val="en-US" w:bidi="ar-SA"/>
        </w:rPr>
        <w:t>4</w:t>
      </w:r>
      <w:r>
        <w:rPr>
          <w:rFonts w:ascii="宋体" w:hAnsi="宋体" w:cs="宋体"/>
          <w:sz w:val="21"/>
          <w:szCs w:val="21"/>
          <w:lang w:val="en-US" w:eastAsia="zh-CN" w:bidi="ar-SA"/>
        </w:rPr>
        <w:t>月</w:t>
      </w:r>
      <w:r w:rsidR="00DD272B">
        <w:rPr>
          <w:rFonts w:ascii="宋体" w:hAnsi="宋体" w:cs="宋体" w:hint="eastAsia"/>
          <w:sz w:val="21"/>
          <w:szCs w:val="21"/>
          <w:lang w:val="en-US" w:bidi="ar-SA"/>
        </w:rPr>
        <w:t>19</w:t>
      </w:r>
      <w:r>
        <w:rPr>
          <w:rFonts w:ascii="宋体" w:hAnsi="宋体" w:cs="宋体"/>
          <w:sz w:val="21"/>
          <w:szCs w:val="21"/>
          <w:lang w:val="en-US" w:eastAsia="zh-CN" w:bidi="ar-SA"/>
        </w:rPr>
        <w:t>日至2021年0</w:t>
      </w:r>
      <w:r w:rsidR="005D0A98">
        <w:rPr>
          <w:rFonts w:ascii="宋体" w:hAnsi="宋体" w:cs="宋体" w:hint="eastAsia"/>
          <w:sz w:val="21"/>
          <w:szCs w:val="21"/>
          <w:lang w:val="en-US" w:bidi="ar-SA"/>
        </w:rPr>
        <w:t>4</w:t>
      </w:r>
      <w:r>
        <w:rPr>
          <w:rFonts w:ascii="宋体" w:hAnsi="宋体" w:cs="宋体"/>
          <w:sz w:val="21"/>
          <w:szCs w:val="21"/>
          <w:lang w:val="en-US" w:eastAsia="zh-CN" w:bidi="ar-SA"/>
        </w:rPr>
        <w:t>月</w:t>
      </w:r>
      <w:r w:rsidR="005D0A98">
        <w:rPr>
          <w:rFonts w:ascii="宋体" w:hAnsi="宋体" w:cs="宋体" w:hint="eastAsia"/>
          <w:sz w:val="21"/>
          <w:szCs w:val="21"/>
          <w:lang w:val="en-US" w:bidi="ar-SA"/>
        </w:rPr>
        <w:t>2</w:t>
      </w:r>
      <w:r w:rsidR="00DD272B">
        <w:rPr>
          <w:rFonts w:ascii="宋体" w:hAnsi="宋体" w:cs="宋体" w:hint="eastAsia"/>
          <w:sz w:val="21"/>
          <w:szCs w:val="21"/>
          <w:lang w:val="en-US" w:bidi="ar-SA"/>
        </w:rPr>
        <w:t>3</w:t>
      </w:r>
      <w:r>
        <w:rPr>
          <w:rFonts w:ascii="宋体" w:hAnsi="宋体" w:cs="宋体"/>
          <w:sz w:val="21"/>
          <w:szCs w:val="21"/>
          <w:lang w:val="en-US" w:eastAsia="zh-CN" w:bidi="ar-SA"/>
        </w:rPr>
        <w:t>日，在此期间接受投资者的赎回和转换转出业务申请。</w:t>
      </w:r>
    </w:p>
    <w:p w:rsidR="00F45D99" w:rsidRDefault="00F45D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3 申购业务</w:t>
      </w:r>
    </w:p>
    <w:p w:rsidR="00F45D99" w:rsidRDefault="00F45D99">
      <w:pPr>
        <w:widowControl w:val="0"/>
        <w:spacing w:before="156" w:after="156"/>
        <w:rPr>
          <w:rFonts w:eastAsia="Times New Roman"/>
          <w:lang w:val="en-US" w:eastAsia="zh-CN" w:bidi="ar-SA"/>
        </w:rPr>
      </w:pPr>
      <w:r>
        <w:rPr>
          <w:rFonts w:ascii="宋体" w:hAnsi="宋体" w:cs="宋体"/>
          <w:b/>
          <w:bCs/>
          <w:lang w:val="en-US" w:eastAsia="zh-CN" w:bidi="ar-SA"/>
        </w:rPr>
        <w:t xml:space="preserve">3.1 </w:t>
      </w:r>
      <w:bookmarkStart w:id="16" w:name="t_2_3_1_table"/>
      <w:bookmarkEnd w:id="16"/>
      <w:r>
        <w:rPr>
          <w:rFonts w:ascii="宋体" w:hAnsi="宋体" w:cs="宋体"/>
          <w:b/>
          <w:bCs/>
          <w:lang w:val="en-US" w:eastAsia="zh-CN" w:bidi="ar-SA"/>
        </w:rPr>
        <w:t>申购金额限制</w:t>
      </w:r>
    </w:p>
    <w:p w:rsidR="00F45D99" w:rsidRDefault="00F45D99">
      <w:pPr>
        <w:widowControl w:val="0"/>
        <w:spacing w:line="360" w:lineRule="auto"/>
        <w:ind w:firstLine="420"/>
        <w:rPr>
          <w:rFonts w:eastAsia="Times New Roman"/>
          <w:sz w:val="21"/>
          <w:szCs w:val="21"/>
          <w:lang w:val="en-US" w:eastAsia="zh-CN" w:bidi="ar-SA"/>
        </w:rPr>
      </w:pPr>
      <w:bookmarkStart w:id="17" w:name="t_2_3_1_2820_a1_fm1"/>
      <w:bookmarkEnd w:id="17"/>
      <w:r>
        <w:rPr>
          <w:rFonts w:ascii="宋体" w:hAnsi="宋体" w:cs="宋体"/>
          <w:sz w:val="21"/>
          <w:szCs w:val="21"/>
          <w:lang w:val="en-US" w:eastAsia="zh-CN" w:bidi="ar-SA"/>
        </w:rPr>
        <w:t>1、投资人通过销售机构申购本基金，单笔最低申购金额为10元，各销售机构对本基金最低申购金额及交易级差有其他规定的，以各销售机构的业务规定为准。通过基金管理人直销中心申购本基金，首次最低申购金额为100万元，追加申购单笔最低金额为1万元。</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lastRenderedPageBreak/>
        <w:t>2、本基金对单个基金份额持有人不设置最高申购金额限制，但单一投资者持有基金份额数不得达到或超过基金份额总数的50%（在基金运作过程中因基金份额赎回等情形导致被动达到或超过50%的除外）。</w:t>
      </w:r>
    </w:p>
    <w:p w:rsidR="00F45D99" w:rsidRDefault="00F45D99">
      <w:pPr>
        <w:widowControl w:val="0"/>
        <w:spacing w:before="156" w:after="156"/>
        <w:rPr>
          <w:rFonts w:eastAsia="Times New Roman"/>
          <w:lang w:val="en-US" w:eastAsia="zh-CN" w:bidi="ar-SA"/>
        </w:rPr>
      </w:pPr>
      <w:r>
        <w:rPr>
          <w:rFonts w:ascii="宋体" w:hAnsi="宋体" w:cs="宋体"/>
          <w:b/>
          <w:bCs/>
          <w:lang w:val="en-US" w:eastAsia="zh-CN" w:bidi="ar-SA"/>
        </w:rPr>
        <w:t xml:space="preserve">3.2 </w:t>
      </w:r>
      <w:bookmarkStart w:id="18" w:name="t_2_3_2_table"/>
      <w:bookmarkEnd w:id="18"/>
      <w:r>
        <w:rPr>
          <w:rFonts w:ascii="宋体" w:hAnsi="宋体" w:cs="宋体"/>
          <w:b/>
          <w:bCs/>
          <w:lang w:val="en-US" w:eastAsia="zh-CN" w:bidi="ar-SA"/>
        </w:rPr>
        <w:t>申购费率</w:t>
      </w:r>
    </w:p>
    <w:p w:rsidR="00F45D99" w:rsidRDefault="00F45D99">
      <w:pPr>
        <w:widowControl w:val="0"/>
        <w:spacing w:line="360" w:lineRule="auto"/>
        <w:ind w:firstLine="420"/>
        <w:rPr>
          <w:rFonts w:eastAsia="Times New Roman"/>
          <w:sz w:val="21"/>
          <w:szCs w:val="21"/>
          <w:lang w:val="en-US" w:eastAsia="zh-CN" w:bidi="ar-SA"/>
        </w:rPr>
      </w:pPr>
      <w:bookmarkStart w:id="19" w:name="t_2_3_2_2842_a1_fm1"/>
      <w:bookmarkStart w:id="20" w:name="t_2_3_2_q_table"/>
      <w:bookmarkEnd w:id="19"/>
      <w:bookmarkEnd w:id="20"/>
      <w:r>
        <w:rPr>
          <w:rFonts w:ascii="宋体" w:hAnsi="宋体" w:cs="宋体"/>
          <w:sz w:val="21"/>
          <w:szCs w:val="21"/>
          <w:lang w:val="en-US" w:eastAsia="zh-CN" w:bidi="ar-SA"/>
        </w:rPr>
        <w:t>本基金的申购费率如下表所示：</w:t>
      </w:r>
    </w:p>
    <w:tbl>
      <w:tblPr>
        <w:tblW w:w="8003" w:type="dxa"/>
        <w:tblInd w:w="640"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227"/>
        <w:gridCol w:w="2426"/>
        <w:gridCol w:w="2350"/>
      </w:tblGrid>
      <w:tr w:rsidR="00F45D99" w:rsidRPr="00F45D99">
        <w:trPr>
          <w:trHeight w:val="415"/>
        </w:trPr>
        <w:tc>
          <w:tcPr>
            <w:tcW w:w="3227" w:type="dxa"/>
            <w:tcBorders>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宋体" w:hAnsi="宋体" w:cs="宋体"/>
                <w:b/>
                <w:bCs/>
                <w:sz w:val="21"/>
                <w:szCs w:val="21"/>
                <w:lang w:val="en-US" w:eastAsia="zh-CN" w:bidi="ar-SA"/>
              </w:rPr>
              <w:t>申购金额</w:t>
            </w:r>
            <w:r>
              <w:rPr>
                <w:rFonts w:ascii="Calibri" w:eastAsia="Calibri" w:hAnsi="Calibri" w:cs="Calibri"/>
                <w:b/>
                <w:bCs/>
                <w:sz w:val="21"/>
                <w:szCs w:val="21"/>
                <w:lang w:val="en-US" w:eastAsia="zh-CN" w:bidi="ar-SA"/>
              </w:rPr>
              <w:t>M</w:t>
            </w:r>
            <w:r>
              <w:rPr>
                <w:rFonts w:ascii="宋体" w:hAnsi="宋体" w:cs="宋体"/>
                <w:b/>
                <w:bCs/>
                <w:sz w:val="21"/>
                <w:szCs w:val="21"/>
                <w:lang w:val="en-US" w:eastAsia="zh-CN" w:bidi="ar-SA"/>
              </w:rPr>
              <w:t>（元）</w:t>
            </w:r>
          </w:p>
        </w:tc>
        <w:tc>
          <w:tcPr>
            <w:tcW w:w="2426" w:type="dxa"/>
            <w:tcBorders>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宋体" w:hAnsi="宋体" w:cs="宋体"/>
                <w:b/>
                <w:bCs/>
                <w:sz w:val="21"/>
                <w:szCs w:val="21"/>
                <w:lang w:val="en-US" w:eastAsia="zh-CN" w:bidi="ar-SA"/>
              </w:rPr>
              <w:t>一般申购费率</w:t>
            </w:r>
          </w:p>
        </w:tc>
        <w:tc>
          <w:tcPr>
            <w:tcW w:w="2350" w:type="dxa"/>
            <w:tcBorders>
              <w:left w:val="single" w:sz="6" w:space="0" w:color="auto"/>
              <w:bottom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宋体" w:hAnsi="宋体" w:cs="宋体"/>
                <w:b/>
                <w:bCs/>
                <w:sz w:val="21"/>
                <w:szCs w:val="21"/>
                <w:lang w:val="en-US" w:eastAsia="zh-CN" w:bidi="ar-SA"/>
              </w:rPr>
              <w:t>特定申购费率</w:t>
            </w:r>
          </w:p>
        </w:tc>
      </w:tr>
      <w:tr w:rsidR="00F45D99" w:rsidRPr="00F45D99">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M&lt;100</w:t>
            </w:r>
            <w:r>
              <w:rPr>
                <w:rFonts w:ascii="宋体" w:hAnsi="宋体" w:cs="宋体"/>
                <w:sz w:val="21"/>
                <w:szCs w:val="21"/>
                <w:lang w:val="en-US" w:eastAsia="zh-CN" w:bidi="ar-SA"/>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0.80%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0.32%</w:t>
            </w:r>
          </w:p>
        </w:tc>
      </w:tr>
      <w:tr w:rsidR="00F45D99" w:rsidRPr="00F45D99">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100</w:t>
            </w:r>
            <w:r>
              <w:rPr>
                <w:rFonts w:ascii="宋体" w:hAnsi="宋体" w:cs="宋体"/>
                <w:sz w:val="21"/>
                <w:szCs w:val="21"/>
                <w:lang w:val="en-US" w:eastAsia="zh-CN" w:bidi="ar-SA"/>
              </w:rPr>
              <w:t>万</w:t>
            </w:r>
            <w:r>
              <w:rPr>
                <w:rFonts w:ascii="Calibri" w:eastAsia="Calibri" w:hAnsi="Calibri" w:cs="Calibri"/>
                <w:sz w:val="21"/>
                <w:szCs w:val="21"/>
                <w:lang w:val="en-US" w:eastAsia="zh-CN" w:bidi="ar-SA"/>
              </w:rPr>
              <w:t>≤ M &lt;300</w:t>
            </w:r>
            <w:r>
              <w:rPr>
                <w:rFonts w:ascii="宋体" w:hAnsi="宋体" w:cs="宋体"/>
                <w:sz w:val="21"/>
                <w:szCs w:val="21"/>
                <w:lang w:val="en-US" w:eastAsia="zh-CN" w:bidi="ar-SA"/>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0.40%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0.12%</w:t>
            </w:r>
          </w:p>
        </w:tc>
      </w:tr>
      <w:tr w:rsidR="00F45D99" w:rsidRPr="00F45D99">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300</w:t>
            </w:r>
            <w:r>
              <w:rPr>
                <w:rFonts w:ascii="宋体" w:hAnsi="宋体" w:cs="宋体"/>
                <w:sz w:val="21"/>
                <w:szCs w:val="21"/>
                <w:lang w:val="en-US" w:eastAsia="zh-CN" w:bidi="ar-SA"/>
              </w:rPr>
              <w:t>万</w:t>
            </w:r>
            <w:r>
              <w:rPr>
                <w:rFonts w:ascii="Calibri" w:eastAsia="Calibri" w:hAnsi="Calibri" w:cs="Calibri"/>
                <w:sz w:val="21"/>
                <w:szCs w:val="21"/>
                <w:lang w:val="en-US" w:eastAsia="zh-CN" w:bidi="ar-SA"/>
              </w:rPr>
              <w:t>≤ M &lt;500</w:t>
            </w:r>
            <w:r>
              <w:rPr>
                <w:rFonts w:ascii="宋体" w:hAnsi="宋体" w:cs="宋体"/>
                <w:sz w:val="21"/>
                <w:szCs w:val="21"/>
                <w:lang w:val="en-US" w:eastAsia="zh-CN" w:bidi="ar-SA"/>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0.10%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0.03%</w:t>
            </w:r>
          </w:p>
        </w:tc>
      </w:tr>
      <w:tr w:rsidR="00F45D99" w:rsidRPr="00F45D99">
        <w:trPr>
          <w:trHeight w:val="415"/>
        </w:trPr>
        <w:tc>
          <w:tcPr>
            <w:tcW w:w="3227" w:type="dxa"/>
            <w:tcBorders>
              <w:top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M≥ 500</w:t>
            </w:r>
            <w:r>
              <w:rPr>
                <w:rFonts w:ascii="宋体" w:hAnsi="宋体" w:cs="宋体"/>
                <w:sz w:val="21"/>
                <w:szCs w:val="21"/>
                <w:lang w:val="en-US" w:eastAsia="zh-CN" w:bidi="ar-SA"/>
              </w:rPr>
              <w:t>万</w:t>
            </w:r>
          </w:p>
        </w:tc>
        <w:tc>
          <w:tcPr>
            <w:tcW w:w="2426"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宋体" w:hAnsi="宋体" w:cs="宋体"/>
                <w:sz w:val="21"/>
                <w:szCs w:val="21"/>
                <w:lang w:val="en-US" w:eastAsia="zh-CN" w:bidi="ar-SA"/>
              </w:rPr>
              <w:t>每笔</w:t>
            </w:r>
            <w:r>
              <w:rPr>
                <w:rFonts w:ascii="Calibri" w:eastAsia="Calibri" w:hAnsi="Calibri" w:cs="Calibri"/>
                <w:sz w:val="21"/>
                <w:szCs w:val="21"/>
                <w:lang w:val="en-US" w:eastAsia="zh-CN" w:bidi="ar-SA"/>
              </w:rPr>
              <w:t>1000</w:t>
            </w:r>
            <w:r>
              <w:rPr>
                <w:rFonts w:ascii="宋体" w:hAnsi="宋体" w:cs="宋体"/>
                <w:sz w:val="21"/>
                <w:szCs w:val="21"/>
                <w:lang w:val="en-US" w:eastAsia="zh-CN" w:bidi="ar-SA"/>
              </w:rPr>
              <w:t>元</w:t>
            </w:r>
          </w:p>
        </w:tc>
        <w:tc>
          <w:tcPr>
            <w:tcW w:w="2350" w:type="dxa"/>
            <w:tcBorders>
              <w:top w:val="single" w:sz="6" w:space="0" w:color="auto"/>
              <w:lef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宋体" w:hAnsi="宋体" w:cs="宋体"/>
                <w:sz w:val="21"/>
                <w:szCs w:val="21"/>
                <w:lang w:val="en-US" w:eastAsia="zh-CN" w:bidi="ar-SA"/>
              </w:rPr>
              <w:t>每笔</w:t>
            </w:r>
            <w:r>
              <w:rPr>
                <w:rFonts w:ascii="Calibri" w:eastAsia="Calibri" w:hAnsi="Calibri" w:cs="Calibri"/>
                <w:sz w:val="21"/>
                <w:szCs w:val="21"/>
                <w:lang w:val="en-US" w:eastAsia="zh-CN" w:bidi="ar-SA"/>
              </w:rPr>
              <w:t>1000</w:t>
            </w:r>
            <w:r>
              <w:rPr>
                <w:rFonts w:ascii="宋体" w:hAnsi="宋体" w:cs="宋体"/>
                <w:sz w:val="21"/>
                <w:szCs w:val="21"/>
                <w:lang w:val="en-US" w:eastAsia="zh-CN" w:bidi="ar-SA"/>
              </w:rPr>
              <w:t>元</w:t>
            </w:r>
          </w:p>
        </w:tc>
      </w:tr>
    </w:tbl>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注：1、本基金的申购费用应在投资人申购基金份额时收取。投资人在一天之内如果有多笔申购，适用费率按单笔分别计算。</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2、申购费用由投资人承担，不列入基金财产，主要用于本基金的市场推广、销售、登记等各项费用。</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本基金对通过直销中心申购的养老金客户与除此之外的其他投资人实施差别的申购费率。通过基金管理人的直销中心申购本基金基金份额的养老金客户适用特定申购费率，其他投资人申购本基金基金份额的适用一般申购费率。养老金客户指基本养老基金与依法成立的养老计划筹集的资金及其投资运营收益形成的补充养老基金等，包括但不限于全国社会保障基金、可以投资基金的地方社会保障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F45D99" w:rsidRDefault="00F45D99">
      <w:pPr>
        <w:pStyle w:val="2"/>
        <w:keepLines/>
        <w:widowControl w:val="0"/>
        <w:spacing w:before="156" w:after="156"/>
        <w:jc w:val="both"/>
        <w:rPr>
          <w:rFonts w:ascii="Times New Roman" w:eastAsia="Times New Roman" w:hAnsi="Times New Roman" w:cs="Times New Roman"/>
          <w:lang w:val="en-US" w:eastAsia="zh-CN" w:bidi="ar-SA"/>
        </w:rPr>
      </w:pPr>
      <w:bookmarkStart w:id="21" w:name="t_2_3_3_2821_a1_fm1"/>
      <w:bookmarkEnd w:id="21"/>
      <w:r>
        <w:rPr>
          <w:rFonts w:ascii="宋体" w:hAnsi="宋体" w:cs="宋体"/>
          <w:i w:val="0"/>
          <w:iCs w:val="0"/>
          <w:sz w:val="24"/>
          <w:szCs w:val="24"/>
          <w:lang w:val="en-US" w:eastAsia="zh-CN" w:bidi="ar-SA"/>
        </w:rPr>
        <w:t>4 赎回业务</w:t>
      </w:r>
    </w:p>
    <w:p w:rsidR="00F45D99" w:rsidRDefault="00F45D99">
      <w:pPr>
        <w:widowControl w:val="0"/>
        <w:spacing w:before="156" w:after="156"/>
        <w:rPr>
          <w:rFonts w:eastAsia="Times New Roman"/>
          <w:lang w:val="en-US" w:eastAsia="zh-CN" w:bidi="ar-SA"/>
        </w:rPr>
      </w:pPr>
      <w:r>
        <w:rPr>
          <w:rFonts w:ascii="宋体" w:hAnsi="宋体" w:cs="宋体"/>
          <w:b/>
          <w:bCs/>
          <w:lang w:val="en-US" w:eastAsia="zh-CN" w:bidi="ar-SA"/>
        </w:rPr>
        <w:t>4.1</w:t>
      </w:r>
      <w:bookmarkStart w:id="22" w:name="t_2_4_1_table"/>
      <w:bookmarkEnd w:id="22"/>
      <w:r>
        <w:rPr>
          <w:rFonts w:ascii="宋体" w:hAnsi="宋体" w:cs="宋体"/>
          <w:b/>
          <w:bCs/>
          <w:lang w:val="en-US" w:eastAsia="zh-CN" w:bidi="ar-SA"/>
        </w:rPr>
        <w:t xml:space="preserve"> 赎回份额限制</w:t>
      </w:r>
    </w:p>
    <w:p w:rsidR="00F45D99" w:rsidRDefault="00F45D99">
      <w:pPr>
        <w:widowControl w:val="0"/>
        <w:spacing w:line="360" w:lineRule="auto"/>
        <w:ind w:firstLine="420"/>
        <w:rPr>
          <w:rFonts w:eastAsia="Times New Roman"/>
          <w:sz w:val="21"/>
          <w:szCs w:val="21"/>
          <w:lang w:val="en-US" w:eastAsia="zh-CN" w:bidi="ar-SA"/>
        </w:rPr>
      </w:pPr>
      <w:bookmarkStart w:id="23" w:name="t_2_4_1_2822_a1_fm1"/>
      <w:bookmarkEnd w:id="23"/>
      <w:r>
        <w:rPr>
          <w:rFonts w:ascii="宋体" w:hAnsi="宋体" w:cs="宋体"/>
          <w:sz w:val="21"/>
          <w:szCs w:val="21"/>
          <w:lang w:val="en-US" w:eastAsia="zh-CN" w:bidi="ar-SA"/>
        </w:rPr>
        <w:t>投资人赎回本基金份额时，可申请将其持有的部分或全部基金份额赎回；账户最低余额为5份基金份额，若某笔赎回将导致投资人在销售机构托管的单只基金份额余额不足5份时，该笔赎回业务应包括账户内全部基金份额，否则，剩余部分的基金份额将被强制赎回。</w:t>
      </w:r>
    </w:p>
    <w:p w:rsidR="00F45D99" w:rsidRDefault="00F45D99">
      <w:pPr>
        <w:widowControl w:val="0"/>
        <w:spacing w:before="156" w:after="156"/>
        <w:jc w:val="both"/>
        <w:rPr>
          <w:rFonts w:eastAsia="Times New Roman"/>
          <w:lang w:val="en-US" w:eastAsia="zh-CN" w:bidi="ar-SA"/>
        </w:rPr>
      </w:pPr>
      <w:r>
        <w:rPr>
          <w:rFonts w:ascii="宋体" w:hAnsi="宋体" w:cs="宋体"/>
          <w:b/>
          <w:bCs/>
          <w:lang w:val="en-US" w:eastAsia="zh-CN" w:bidi="ar-SA"/>
        </w:rPr>
        <w:t>4.2赎回费率</w:t>
      </w:r>
      <w:bookmarkStart w:id="24" w:name="t_2_4_2_2843_a1_fm1"/>
      <w:bookmarkStart w:id="25" w:name="t_2_4_2_2699_a1_fm1"/>
      <w:bookmarkEnd w:id="24"/>
      <w:bookmarkEnd w:id="25"/>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本基金的赎回费率如下表所示：</w:t>
      </w:r>
    </w:p>
    <w:tbl>
      <w:tblPr>
        <w:tblW w:w="0" w:type="auto"/>
        <w:tblInd w:w="74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378"/>
        <w:gridCol w:w="3256"/>
      </w:tblGrid>
      <w:tr w:rsidR="00F45D99" w:rsidRPr="00F45D99">
        <w:trPr>
          <w:trHeight w:hRule="exact" w:val="461"/>
        </w:trPr>
        <w:tc>
          <w:tcPr>
            <w:tcW w:w="3378" w:type="dxa"/>
            <w:tcBorders>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宋体" w:hAnsi="宋体" w:cs="宋体"/>
                <w:b/>
                <w:bCs/>
                <w:sz w:val="21"/>
                <w:szCs w:val="21"/>
                <w:lang w:val="en-US" w:eastAsia="zh-CN" w:bidi="ar-SA"/>
              </w:rPr>
              <w:t>持有期限（</w:t>
            </w:r>
            <w:r>
              <w:rPr>
                <w:rFonts w:ascii="Calibri" w:eastAsia="Calibri" w:hAnsi="Calibri" w:cs="Calibri"/>
                <w:b/>
                <w:bCs/>
                <w:sz w:val="21"/>
                <w:szCs w:val="21"/>
                <w:lang w:val="en-US" w:eastAsia="zh-CN" w:bidi="ar-SA"/>
              </w:rPr>
              <w:t>Y</w:t>
            </w:r>
            <w:r>
              <w:rPr>
                <w:rFonts w:ascii="宋体" w:hAnsi="宋体" w:cs="宋体"/>
                <w:b/>
                <w:bCs/>
                <w:sz w:val="21"/>
                <w:szCs w:val="21"/>
                <w:lang w:val="en-US" w:eastAsia="zh-CN" w:bidi="ar-SA"/>
              </w:rPr>
              <w:t>）</w:t>
            </w:r>
          </w:p>
        </w:tc>
        <w:tc>
          <w:tcPr>
            <w:tcW w:w="3256" w:type="dxa"/>
            <w:tcBorders>
              <w:left w:val="single" w:sz="6" w:space="0" w:color="auto"/>
              <w:bottom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宋体" w:hAnsi="宋体" w:cs="宋体"/>
                <w:b/>
                <w:bCs/>
                <w:sz w:val="21"/>
                <w:szCs w:val="21"/>
                <w:lang w:val="en-US" w:eastAsia="zh-CN" w:bidi="ar-SA"/>
              </w:rPr>
              <w:t>赎回费率</w:t>
            </w:r>
          </w:p>
        </w:tc>
      </w:tr>
      <w:tr w:rsidR="00F45D99" w:rsidRPr="00F45D99">
        <w:trPr>
          <w:trHeight w:hRule="exact" w:val="461"/>
        </w:trPr>
        <w:tc>
          <w:tcPr>
            <w:tcW w:w="3378"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lastRenderedPageBreak/>
              <w:t>Y</w:t>
            </w:r>
            <w:r>
              <w:rPr>
                <w:rFonts w:ascii="宋体" w:hAnsi="宋体" w:cs="宋体"/>
                <w:sz w:val="21"/>
                <w:szCs w:val="21"/>
                <w:lang w:val="en-US" w:eastAsia="zh-CN" w:bidi="ar-SA"/>
              </w:rPr>
              <w:t>＜</w:t>
            </w:r>
            <w:r>
              <w:rPr>
                <w:rFonts w:ascii="Calibri" w:eastAsia="Calibri" w:hAnsi="Calibri" w:cs="Calibri"/>
                <w:sz w:val="21"/>
                <w:szCs w:val="21"/>
                <w:lang w:val="en-US" w:eastAsia="zh-CN" w:bidi="ar-SA"/>
              </w:rPr>
              <w:t>7</w:t>
            </w:r>
            <w:r>
              <w:rPr>
                <w:rFonts w:ascii="宋体" w:hAnsi="宋体" w:cs="宋体"/>
                <w:sz w:val="21"/>
                <w:szCs w:val="21"/>
                <w:lang w:val="en-US" w:eastAsia="zh-CN" w:bidi="ar-SA"/>
              </w:rPr>
              <w:t>天</w:t>
            </w:r>
          </w:p>
        </w:tc>
        <w:tc>
          <w:tcPr>
            <w:tcW w:w="3256"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1.50%</w:t>
            </w:r>
          </w:p>
        </w:tc>
      </w:tr>
      <w:tr w:rsidR="00F45D99" w:rsidRPr="00F45D99">
        <w:trPr>
          <w:trHeight w:hRule="exact" w:val="461"/>
        </w:trPr>
        <w:tc>
          <w:tcPr>
            <w:tcW w:w="3378"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7</w:t>
            </w:r>
            <w:r>
              <w:rPr>
                <w:rFonts w:ascii="宋体" w:hAnsi="宋体" w:cs="宋体"/>
                <w:sz w:val="21"/>
                <w:szCs w:val="21"/>
                <w:lang w:val="en-US" w:eastAsia="zh-CN" w:bidi="ar-SA"/>
              </w:rPr>
              <w:t>天</w:t>
            </w:r>
            <w:r>
              <w:rPr>
                <w:rFonts w:ascii="Calibri" w:eastAsia="Calibri" w:hAnsi="Calibri" w:cs="Calibri"/>
                <w:sz w:val="21"/>
                <w:szCs w:val="21"/>
                <w:lang w:val="en-US" w:eastAsia="zh-CN" w:bidi="ar-SA"/>
              </w:rPr>
              <w:t>≤Y&lt;30</w:t>
            </w:r>
            <w:r>
              <w:rPr>
                <w:rFonts w:ascii="宋体" w:hAnsi="宋体" w:cs="宋体"/>
                <w:sz w:val="21"/>
                <w:szCs w:val="21"/>
                <w:lang w:val="en-US" w:eastAsia="zh-CN" w:bidi="ar-SA"/>
              </w:rPr>
              <w:t>天</w:t>
            </w:r>
          </w:p>
        </w:tc>
        <w:tc>
          <w:tcPr>
            <w:tcW w:w="3256"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0.10%</w:t>
            </w:r>
          </w:p>
        </w:tc>
      </w:tr>
      <w:tr w:rsidR="00F45D99" w:rsidRPr="00F45D99">
        <w:trPr>
          <w:trHeight w:hRule="exact" w:val="461"/>
        </w:trPr>
        <w:tc>
          <w:tcPr>
            <w:tcW w:w="3378" w:type="dxa"/>
            <w:tcBorders>
              <w:top w:val="single" w:sz="6" w:space="0" w:color="auto"/>
              <w:righ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Y≥30</w:t>
            </w:r>
            <w:r>
              <w:rPr>
                <w:rFonts w:ascii="宋体" w:hAnsi="宋体" w:cs="宋体"/>
                <w:sz w:val="21"/>
                <w:szCs w:val="21"/>
                <w:lang w:val="en-US" w:eastAsia="zh-CN" w:bidi="ar-SA"/>
              </w:rPr>
              <w:t>天</w:t>
            </w:r>
          </w:p>
        </w:tc>
        <w:tc>
          <w:tcPr>
            <w:tcW w:w="3256" w:type="dxa"/>
            <w:tcBorders>
              <w:top w:val="single" w:sz="6" w:space="0" w:color="auto"/>
              <w:left w:val="single" w:sz="6" w:space="0" w:color="auto"/>
            </w:tcBorders>
            <w:tcMar>
              <w:top w:w="8" w:type="dxa"/>
              <w:left w:w="108" w:type="dxa"/>
              <w:bottom w:w="8" w:type="dxa"/>
              <w:right w:w="108" w:type="dxa"/>
            </w:tcMar>
            <w:vAlign w:val="center"/>
            <w:hideMark/>
          </w:tcPr>
          <w:p w:rsidR="00F45D99" w:rsidRDefault="00F45D99">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w:t>
            </w:r>
          </w:p>
        </w:tc>
      </w:tr>
    </w:tbl>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注：赎回费用由赎回基金份额的基金份额持有人承担，在基金份额持有人赎回基金份额时收取。赎回费总额的100%计入基金财产。</w:t>
      </w:r>
    </w:p>
    <w:p w:rsidR="00F45D99" w:rsidRDefault="00F45D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5 转换业务</w:t>
      </w:r>
    </w:p>
    <w:p w:rsidR="00F45D99" w:rsidRDefault="00F45D99">
      <w:pPr>
        <w:widowControl w:val="0"/>
        <w:spacing w:before="156" w:after="156"/>
        <w:rPr>
          <w:rFonts w:eastAsia="Times New Roman"/>
          <w:lang w:val="en-US" w:eastAsia="zh-CN" w:bidi="ar-SA"/>
        </w:rPr>
      </w:pPr>
      <w:r>
        <w:rPr>
          <w:rFonts w:ascii="宋体" w:hAnsi="宋体" w:cs="宋体"/>
          <w:b/>
          <w:bCs/>
          <w:lang w:val="en-US" w:eastAsia="zh-CN" w:bidi="ar-SA"/>
        </w:rPr>
        <w:t>5.1 转换费率</w:t>
      </w:r>
    </w:p>
    <w:p w:rsidR="00F45D99" w:rsidRDefault="00F45D99">
      <w:pPr>
        <w:widowControl w:val="0"/>
        <w:spacing w:line="360" w:lineRule="auto"/>
        <w:ind w:firstLine="420"/>
        <w:rPr>
          <w:rFonts w:eastAsia="Times New Roman"/>
          <w:sz w:val="21"/>
          <w:szCs w:val="21"/>
          <w:lang w:val="en-US" w:eastAsia="zh-CN" w:bidi="ar-SA"/>
        </w:rPr>
      </w:pPr>
      <w:bookmarkStart w:id="26" w:name="t_2_5_0179_a1_fm1"/>
      <w:bookmarkEnd w:id="26"/>
      <w:r>
        <w:rPr>
          <w:rFonts w:ascii="宋体" w:hAnsi="宋体" w:cs="宋体"/>
          <w:sz w:val="21"/>
          <w:szCs w:val="21"/>
          <w:lang w:val="en-US" w:eastAsia="zh-CN" w:bidi="ar-SA"/>
        </w:rPr>
        <w:t>本基金的转换按照转出基金的赎回费用加上转出与转入基金申购费用补差的标准收取费用。具体转换费用组成如下：</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1、赎回费用</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的赎回费率按持有年限递减，具体各基金的赎回费率请参见各基金的招募说明书或相关业务公告，并可在本公司网站（www.phfund.com）查询。基金转换费用中转出基金的赎回费总额归入转出基金的基金财产比例详见转出基金招募说明书（更新）的约定。</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2、申购费用补差</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（1）当转出基金申购费低于转入基金申购费时，则按差额收取申购费用补差；当转出基金申购费高于或等于转入基金申购费时，不收取费用补差。</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（2）免申购费用的基金转入本基金，转换申购费用补差为本基金的申购费。</w:t>
      </w:r>
    </w:p>
    <w:p w:rsidR="00F45D99" w:rsidRDefault="00F45D99">
      <w:pPr>
        <w:widowControl w:val="0"/>
        <w:spacing w:before="156" w:after="156"/>
        <w:jc w:val="both"/>
        <w:rPr>
          <w:rFonts w:eastAsia="Times New Roman"/>
          <w:lang w:val="en-US" w:eastAsia="zh-CN" w:bidi="ar-SA"/>
        </w:rPr>
      </w:pPr>
      <w:r>
        <w:rPr>
          <w:rFonts w:ascii="宋体" w:hAnsi="宋体" w:cs="宋体"/>
          <w:b/>
          <w:bCs/>
          <w:lang w:val="en-US" w:eastAsia="zh-CN" w:bidi="ar-SA"/>
        </w:rPr>
        <w:t>5.2 其他与转换相关的事项</w:t>
      </w:r>
    </w:p>
    <w:p w:rsidR="00F45D99" w:rsidRDefault="00F45D99">
      <w:pPr>
        <w:widowControl w:val="0"/>
        <w:spacing w:line="360" w:lineRule="auto"/>
        <w:ind w:firstLine="420"/>
        <w:rPr>
          <w:rFonts w:eastAsia="Times New Roman"/>
          <w:sz w:val="21"/>
          <w:szCs w:val="21"/>
          <w:lang w:val="en-US" w:eastAsia="zh-CN" w:bidi="ar-SA"/>
        </w:rPr>
      </w:pPr>
      <w:bookmarkStart w:id="27" w:name="t_2_5_2824_a1_fm1"/>
      <w:bookmarkEnd w:id="27"/>
      <w:r>
        <w:rPr>
          <w:rFonts w:ascii="宋体" w:hAnsi="宋体" w:cs="宋体"/>
          <w:sz w:val="21"/>
          <w:szCs w:val="21"/>
          <w:lang w:val="en-US" w:eastAsia="zh-CN" w:bidi="ar-SA"/>
        </w:rPr>
        <w:t>1、转换业务适用基金范围</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上述基金的转换业务适用于其与鹏华双债增利债券型证券投资基金、鹏华双债加利债券型证券投资基金、鹏华可转债债券型证券投资基金、鹏华双债保利债券型证券投资基金、鹏华环保产业股票型证券投资基金、鹏华品牌传承灵活配置混合型证券投资基金、鹏华聚财通货币市场基金、鹏华增值宝货币市场基金、鹏华先进制造股票型证券投资基金、鹏华医疗保健股票型证券投资基金、鹏华养老产业股票型证券投资基金、鹏华安盈宝货币市场基金、鹏华弘盛灵活配置混合型证券投资基金（包括A类份额和C类份额）、鹏华弘利灵活配置混合型证券投资基金（包括A类份额和C类份额）、鹏华弘泽灵活配置混合型证券投资基金（包括A类份额和C类份额）、鹏华改革红利股票型证券投资基金、鹏华弘润灵活配置混合型证券投资基金（包括A类份额和C类份额）、鹏华外延成长灵活配置混合型证券投资基金、鹏华文化传媒娱乐股票型证券投资基金、鹏华医药科技股票型证券投资基金、鹏华弘和灵活配置混合型证券投资基金（包括A类份额和C类份额）、鹏华弘华灵活配置混合型证券投资基金（包括A类份额和C类份额）、鹏华弘实灵活证券投资基金（包括A类份额和C类份额）、鹏华弘</w:t>
      </w:r>
      <w:r>
        <w:rPr>
          <w:rFonts w:ascii="宋体" w:hAnsi="宋体" w:cs="宋体"/>
          <w:sz w:val="21"/>
          <w:szCs w:val="21"/>
          <w:lang w:val="en-US" w:eastAsia="zh-CN" w:bidi="ar-SA"/>
        </w:rPr>
        <w:lastRenderedPageBreak/>
        <w:t>信灵活配置混合型证券投资基金（包括A类份额和C类份额）、鹏华弘益灵活配置混合型证券投资基金（包括A类份额和C类份额）、鹏华弘鑫灵活配置混合型证券投资基金（包括A类份额和C类份额）、鹏华添利宝货币市场基金、鹏华弘泰灵活配置混合型证券投资基金（包括A类份额和C类份额）、鹏华弘安灵活配置混合型证券投资基金（包括A类份额和C类份额）、鹏华丰华债券型证券投资基金、鹏华健康环保混合型证券投资基金、鹏华添利交易型货币市场基金A 类份额、鹏华金鼎灵活配置混合型证券投资基金（包括A类份额和C类份额）、鹏华兴利混合型证券投资基金、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鹏华丰恒债券型证券投资基金、鹏华弘惠灵活配置混合型证券投资基金（包括A类份额和C类份额）、鹏华弘康灵活配置混合型证券投资基金（包括A类份额和C类份额）、鹏华弘尚灵活配置混合型证券投资基金（包括A类份额和C类份额）、鹏华丰腾债券型证券投资基金、鹏华丰禄债券型证券投资基金、鹏华丰盈债券型证券投资基金、鹏华丰惠债券型证券投资基金、鹏华安益增强混合型证券投资基金、鹏华丰康债券型证券投资基金、鹏华丰享债券型证券投资基金、鹏华丰玉债券型证券投资基金、鹏华丰源债券型证券投资基金、鹏华丰瑞债券型证券投资基金、鹏华盈余宝货币市场基金、鹏华金元宝货币市场基金、鹏华兴鑫宝货币市场基金、鹏华策略回报灵活配置混合型证券投资基金、鹏华研究精选灵活配置混合型证券投资基金、鹏华优势企业股票型证券投资基金、鹏华睿投灵活配置混合型证券投资基金、鹏华量化先锋混合型证券投资基金、鹏华产业精选灵活配置混合型证券投资基金、鹏华创新驱动混合型证券投资基金、鹏华研究驱动混合型证券投资基金、鹏华优选回报灵活配置混合型证券投资基金、鹏华核心优势混合型证券投资基金、鹏华中债1-3 年国开行债券指数证券投资基金（包含A类份额和C类份额）、鹏华研究智选混合型证券投资基金、鹏华 9-10 年利率债债券型发起式证券投资基金、鹏华金利债券型证券投资基金、鹏华丰鑫债券型证券投资基金、鹏华丰登债券型证券投资基金、鹏华浮动净值型发起式货币市场基金、鹏华丰庆债券型证券投资基金、鹏华精选成长混合型证券投资基金、鹏华信用增利债券型证券投资基金（包括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鹏华0-5年利率债债券型发起式证券投资基金、鹏华金享混合型证券投资基金、鹏华稳利短债债券型证券投资基金（包括A类份额和C类份额）、鹏华优选价值股票型证券投资基金、鹏华中证500交易型开放式指数证券投资基金联接基金（包含A类份额和C类份额）、鹏华价值驱动混合型证券投资基金、鹏华价值成长混合型证券投资基金、鹏华安泽混合型证券投资基金（包括A类份额和C类份额）、鹏华鑫享稳健混合型证券投资基金（包括A类份额和C类份额）、鹏华中债3-5年国开行债券指数证券投资基金（包括A类份额和C类份额）、鹏华稳健回报混合型证券投资基金、鹏华安和混合型证券投资基金（包括A</w:t>
      </w:r>
      <w:r>
        <w:rPr>
          <w:rFonts w:ascii="宋体" w:hAnsi="宋体" w:cs="宋体"/>
          <w:sz w:val="21"/>
          <w:szCs w:val="21"/>
          <w:lang w:val="en-US" w:eastAsia="zh-CN" w:bidi="ar-SA"/>
        </w:rPr>
        <w:lastRenderedPageBreak/>
        <w:t>类份额和C类份额）、鹏华丰诚债券型证券投资基金（包括A类份额和C类份额）、鹏华安庆混合型证券投资基金（包括A类份额和C类份额）、鹏华安惠混合型证券投资基金（包括A类份额和C类份额）、鹏华中证高股息龙头交易型开放式指数证券投资基金联接基金（包括A类份额和C类份额）、鹏华股息精选混合型证券投资基金、鹏华成长价值混合型证券投资基金（包括A类份额和C类份额）、鹏华普利债券型证券投资基金（包括A类份额和C类份额）、鹏华优质企业混合型证券投资基金、鹏华中债1-3年农发行债券指数证券投资基金（包括A类份额和C类份额）、鹏华中债-市场隐含评级AAA信用债（1-3年）指数证券投资基金（包括A类份额和C类份额）、鹏华中债-0-3年AA+优选信用债指数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丰颐债券型证券投资基金、鹏华科技创新混合型证券投资基金、鹏华安润混合型证券投资基金（包括A类份额和C类份额）、鹏华成长智选混合型证券投资基金（包括A类份额和C类份额）、鹏华安裕5个月持有期混合型证券投资基金、鹏华高质量增长混合型证券投资基金（包括A类份额和C类份额）、鹏华优选成长混合型证券投资基金（包括A类份额和C类份额）、鹏华汇智优选混合型证券投资基金（包括A类份额和C类份额）、鹏华安享一年持有期混合型证券投资基金（包括A类份额和C类份额）</w:t>
      </w:r>
      <w:r w:rsidR="005F6060">
        <w:rPr>
          <w:rFonts w:ascii="宋体" w:hAnsi="宋体" w:cs="宋体" w:hint="eastAsia"/>
          <w:sz w:val="21"/>
          <w:szCs w:val="21"/>
          <w:lang w:val="en-US" w:bidi="ar-SA"/>
        </w:rPr>
        <w:t>、</w:t>
      </w:r>
      <w:r w:rsidR="005F6060" w:rsidRPr="005F6060">
        <w:rPr>
          <w:rFonts w:ascii="宋体" w:hAnsi="宋体" w:cs="宋体" w:hint="eastAsia"/>
          <w:sz w:val="21"/>
          <w:szCs w:val="21"/>
          <w:lang w:val="en-US" w:bidi="ar-SA"/>
        </w:rPr>
        <w:t>鹏华年年红一年持有期债券型证券投资基金（包括A类份额和C类份额）</w:t>
      </w:r>
      <w:r>
        <w:rPr>
          <w:rFonts w:ascii="宋体" w:hAnsi="宋体" w:cs="宋体"/>
          <w:sz w:val="21"/>
          <w:szCs w:val="21"/>
          <w:lang w:val="en-US" w:eastAsia="zh-CN" w:bidi="ar-SA"/>
        </w:rPr>
        <w:t>之间的基金转换。</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注：我司旗下定期开放基金在开放期间开通转换业务的，也适用于与本基金在开放期间的基金转换。</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2、基金转换份额的计算</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基金转换计算公式如下：</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转出基金赎回手续费＝转出份额×转出净值×转出基金赎回手续费率</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转出金额=转出份额×转出基金当日基金份额净值－转出基金赎回手续费</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补差费（外扣）＝转出金额×转入基金的申购费率/（1＋转入基金申购费率）－转出金额×转出基金申购费率/（1＋转出基金申购费率）</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转换费用＝转出基金赎回手续费＋补差费</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转入份额＝（转出金额－补差费）/转入基金当日基金份额净值</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例如：某基金份额持有人（非养老金客户）持有本基金10,000 份，1年后在本基金处于开放期间时决定转换为鹏华价值精选股票型证券投资基金，本基金对应前端申购费率为0.8%，赎回费率为0，假设转换当日转出基金份额净值是1.08元，转入基金的份额净值是1.05元，并且转入基金对应的前端申购费率为1.5%，则可得到的转换份额为：</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转出基金赎回手续费＝0元</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转出金额=10,000×1.08=10,800元</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补差费（外扣）＝10,800×1.5%/(1+1.5%)-10,800×0.8%/(1+0.8%)=73.89元</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转换费用＝0+73.89＝73.89元</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转入份额＝（10,800－73.89）/1.05＝10,215.34</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即：某基金份额持有人（非养老金客户）持有本基金10,000 份，1年后在本基金处于开放期间时决定转换为鹏华价值精选股票型证券投资基金，假设转换当日转出基金份额净值是1.08元，转入基金的基金份额净值是1.05元，则可得到的转换份额为10,215.34份。</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3、转换业务规则</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（1）基金转换只能在同一销售机构进行，且办理基金转换业务的销售机构须同时具备拟转出基金及拟转入基金的合法授权代理资格，并开通了相应的基金转换业务。</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 </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（3）基金转换后，转入的基金份额的持有期将自转入的基金份额被确认之日起重新开始计算。</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（4）本基金单笔转换申请的最低份额为200份，基金份额持有人可将其全部或部分基金份额转换。</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对于转出基金的单个基金账户最低余额，请参见各基金的招募说明书或相关业务公告，若某笔转换将导致投资人在销售机构托管的转出基金份额余额不足最低余额时，该笔转换业务应包括账户内转出基金的全部基金份额，否则，剩余部分的基金份额将被强制赎回。</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（6）基金转换以申请当日基金份额净值为基础计算。投资人采用“份额转换”的原则提交申请。转出基金份额必须是可用份额，并遵循赎回处理的原则。</w:t>
      </w:r>
    </w:p>
    <w:p w:rsidR="00F45D99" w:rsidRDefault="00F45D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6 基金销售机构</w:t>
      </w:r>
    </w:p>
    <w:p w:rsidR="00F45D99" w:rsidRDefault="00F45D99">
      <w:pPr>
        <w:widowControl w:val="0"/>
        <w:spacing w:before="156" w:after="156"/>
        <w:jc w:val="both"/>
        <w:rPr>
          <w:rFonts w:eastAsia="Times New Roman"/>
          <w:lang w:val="en-US" w:eastAsia="zh-CN" w:bidi="ar-SA"/>
        </w:rPr>
      </w:pPr>
      <w:r>
        <w:rPr>
          <w:rFonts w:ascii="宋体" w:hAnsi="宋体" w:cs="宋体"/>
          <w:b/>
          <w:bCs/>
          <w:lang w:val="en-US" w:eastAsia="zh-CN" w:bidi="ar-SA"/>
        </w:rPr>
        <w:t>6.1 直销机构</w:t>
      </w:r>
    </w:p>
    <w:p w:rsidR="00F45D99" w:rsidRDefault="00F45D99">
      <w:pPr>
        <w:widowControl w:val="0"/>
        <w:spacing w:line="360" w:lineRule="auto"/>
        <w:ind w:firstLine="420"/>
        <w:rPr>
          <w:rFonts w:eastAsia="Times New Roman"/>
          <w:sz w:val="21"/>
          <w:szCs w:val="21"/>
          <w:lang w:val="en-US" w:eastAsia="zh-CN" w:bidi="ar-SA"/>
        </w:rPr>
      </w:pPr>
      <w:bookmarkStart w:id="28" w:name="t_2_7_2833_a1_fm1"/>
      <w:bookmarkEnd w:id="28"/>
      <w:r>
        <w:rPr>
          <w:rFonts w:ascii="宋体" w:hAnsi="宋体" w:cs="宋体"/>
          <w:sz w:val="21"/>
          <w:szCs w:val="21"/>
          <w:lang w:val="en-US" w:eastAsia="zh-CN" w:bidi="ar-SA"/>
        </w:rPr>
        <w:t xml:space="preserve">鹏华基金管理有限公司直销中心，包括本公司设在深圳、北京、上海、武汉、广州的直销中心。 </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办公地址：深圳市福田区福华三路168号深圳国际商会中心43层 </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网址：www.phfund.com</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全国统一客服务电话：400-6788-533</w:t>
      </w:r>
    </w:p>
    <w:p w:rsidR="00F45D99" w:rsidRDefault="00F45D99">
      <w:pPr>
        <w:widowControl w:val="0"/>
        <w:spacing w:before="156" w:after="156"/>
        <w:jc w:val="both"/>
        <w:rPr>
          <w:rFonts w:eastAsia="Times New Roman"/>
          <w:lang w:val="en-US" w:eastAsia="zh-CN" w:bidi="ar-SA"/>
        </w:rPr>
      </w:pPr>
      <w:r>
        <w:rPr>
          <w:rFonts w:ascii="宋体" w:hAnsi="宋体" w:cs="宋体"/>
          <w:b/>
          <w:bCs/>
          <w:lang w:val="en-US" w:eastAsia="zh-CN" w:bidi="ar-SA"/>
        </w:rPr>
        <w:t>6.2 其他机构</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1、银行销售机构:工商银行、江苏银行、平安银行、上海银行、微众银行、招商银行</w:t>
      </w:r>
      <w:r>
        <w:rPr>
          <w:rFonts w:ascii="宋体" w:hAnsi="宋体" w:cs="宋体" w:hint="eastAsia"/>
          <w:sz w:val="21"/>
          <w:szCs w:val="21"/>
          <w:lang w:val="en-US" w:bidi="ar-SA"/>
        </w:rPr>
        <w:t>（招</w:t>
      </w:r>
      <w:r>
        <w:rPr>
          <w:rFonts w:ascii="宋体" w:hAnsi="宋体" w:cs="宋体"/>
          <w:sz w:val="21"/>
          <w:szCs w:val="21"/>
          <w:lang w:val="en-US" w:bidi="ar-SA"/>
        </w:rPr>
        <w:t>赢通</w:t>
      </w:r>
      <w:r>
        <w:rPr>
          <w:rFonts w:ascii="宋体" w:hAnsi="宋体" w:cs="宋体" w:hint="eastAsia"/>
          <w:sz w:val="21"/>
          <w:szCs w:val="21"/>
          <w:lang w:val="en-US" w:bidi="ar-SA"/>
        </w:rPr>
        <w:t>）</w:t>
      </w:r>
      <w:r>
        <w:rPr>
          <w:rFonts w:ascii="宋体" w:hAnsi="宋体" w:cs="宋体"/>
          <w:sz w:val="21"/>
          <w:szCs w:val="21"/>
          <w:lang w:val="en-US" w:eastAsia="zh-CN" w:bidi="ar-SA"/>
        </w:rPr>
        <w:t>、中国银行。</w:t>
      </w:r>
      <w:r>
        <w:rPr>
          <w:rFonts w:ascii="宋体" w:hAnsi="宋体" w:cs="宋体"/>
          <w:sz w:val="21"/>
          <w:szCs w:val="21"/>
          <w:lang w:val="en-US" w:eastAsia="zh-CN" w:bidi="ar-SA"/>
        </w:rPr>
        <w:br/>
        <w:t>  2、证券（期货）销售机构:爱建证券、渤海证券、长城证券、长江证券、大同证券、东海证券、光大证券、广发证券、国都证券、国联证券、国盛证券、国泰君安、国信证券、恒泰证券、华安证券、华林证券、华龙证券、华融证券、华泰证券、华西证券、华鑫证券、开源证券、申万宏源、世纪证券、首创证券、西部证券、西南证券、信达证券、兴业证券、银河证券、粤开证券、中泰证券、中信建投、中信建投期货、中信期货、中信证券、中信证券（华南）、中信证券（山东）、中邮证券。</w:t>
      </w:r>
      <w:r>
        <w:rPr>
          <w:rFonts w:ascii="宋体" w:hAnsi="宋体" w:cs="宋体"/>
          <w:sz w:val="21"/>
          <w:szCs w:val="21"/>
          <w:lang w:val="en-US" w:eastAsia="zh-CN" w:bidi="ar-SA"/>
        </w:rPr>
        <w:br/>
        <w:t>  3、第三方销售机构:北京肯特瑞、创金启富、大唐基金、度小满、海银基金、和耕传承、恒天明泽、汇成基金、基煜基金、陆基金、蚂蚁基金、诺亚正行、上海长量、上海好买、上海利得、上海天天、深圳众禄、苏宁基金、腾安基金、挖财基金、喜鹊基金、阳光人寿、意才基金、盈米财富、浙江同花顺、植信基金、中国人寿、中正达广、中证金牛、弈丰基金。</w:t>
      </w:r>
    </w:p>
    <w:p w:rsidR="00F45D99" w:rsidRDefault="00F45D99">
      <w:pPr>
        <w:widowControl w:val="0"/>
        <w:spacing w:before="156" w:after="156"/>
        <w:jc w:val="both"/>
        <w:rPr>
          <w:rFonts w:eastAsia="Times New Roman"/>
          <w:lang w:val="en-US" w:eastAsia="zh-CN" w:bidi="ar-SA"/>
        </w:rPr>
      </w:pPr>
      <w:r>
        <w:rPr>
          <w:rFonts w:ascii="宋体" w:hAnsi="宋体" w:cs="宋体"/>
          <w:b/>
          <w:bCs/>
          <w:lang w:val="en-US" w:eastAsia="zh-CN" w:bidi="ar-SA"/>
        </w:rPr>
        <w:t>7 基金份额净值公告/基金收益公告的披露安排</w:t>
      </w:r>
    </w:p>
    <w:p w:rsidR="00F45D99" w:rsidRDefault="00F45D99">
      <w:pPr>
        <w:widowControl w:val="0"/>
        <w:spacing w:line="360" w:lineRule="auto"/>
        <w:ind w:firstLine="420"/>
        <w:rPr>
          <w:rFonts w:eastAsia="Times New Roman"/>
          <w:sz w:val="21"/>
          <w:szCs w:val="21"/>
          <w:lang w:val="en-US" w:eastAsia="zh-CN" w:bidi="ar-SA"/>
        </w:rPr>
      </w:pPr>
      <w:bookmarkStart w:id="29" w:name="t_2_8_2756_a1_fm1"/>
      <w:bookmarkEnd w:id="29"/>
      <w:r>
        <w:rPr>
          <w:rFonts w:ascii="宋体" w:hAnsi="宋体" w:cs="宋体"/>
          <w:sz w:val="21"/>
          <w:szCs w:val="21"/>
          <w:lang w:val="en-US" w:eastAsia="zh-CN" w:bidi="ar-SA"/>
        </w:rPr>
        <w:t>在开放期内，基金管理人应当在不晚于每个开放日的次日，通过</w:t>
      </w:r>
      <w:r>
        <w:rPr>
          <w:rFonts w:ascii="宋体" w:hAnsi="宋体" w:cs="宋体" w:hint="eastAsia"/>
          <w:sz w:val="21"/>
          <w:szCs w:val="21"/>
          <w:lang w:val="en-US" w:bidi="ar-SA"/>
        </w:rPr>
        <w:t>规</w:t>
      </w:r>
      <w:r>
        <w:rPr>
          <w:rFonts w:ascii="宋体" w:hAnsi="宋体" w:cs="宋体"/>
          <w:sz w:val="21"/>
          <w:szCs w:val="21"/>
          <w:lang w:val="en-US" w:eastAsia="zh-CN" w:bidi="ar-SA"/>
        </w:rPr>
        <w:t>定网站、基金销售机构网站或者营业网点披露开放日的基金份额净值和基金份额累计净值。</w:t>
      </w:r>
    </w:p>
    <w:p w:rsidR="00F45D99" w:rsidRDefault="00F45D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8 </w:t>
      </w:r>
      <w:bookmarkStart w:id="30" w:name="t_2_9_table"/>
      <w:bookmarkEnd w:id="30"/>
      <w:r>
        <w:rPr>
          <w:rFonts w:ascii="宋体" w:hAnsi="宋体" w:cs="宋体"/>
          <w:i w:val="0"/>
          <w:iCs w:val="0"/>
          <w:sz w:val="24"/>
          <w:szCs w:val="24"/>
          <w:lang w:val="en-US" w:eastAsia="zh-CN" w:bidi="ar-SA"/>
        </w:rPr>
        <w:t>其他需要提示的事项</w:t>
      </w:r>
    </w:p>
    <w:p w:rsidR="00F45D99" w:rsidRDefault="00F45D99">
      <w:pPr>
        <w:widowControl w:val="0"/>
        <w:spacing w:line="360" w:lineRule="auto"/>
        <w:ind w:firstLine="420"/>
        <w:rPr>
          <w:rFonts w:eastAsia="Times New Roman"/>
          <w:sz w:val="21"/>
          <w:szCs w:val="21"/>
          <w:lang w:val="en-US" w:eastAsia="zh-CN" w:bidi="ar-SA"/>
        </w:rPr>
      </w:pPr>
      <w:bookmarkStart w:id="31" w:name="t_2_9_2646_a1_fm1"/>
      <w:bookmarkEnd w:id="31"/>
      <w:r>
        <w:rPr>
          <w:rFonts w:ascii="宋体" w:hAnsi="宋体" w:cs="宋体"/>
          <w:sz w:val="21"/>
          <w:szCs w:val="21"/>
          <w:lang w:val="en-US" w:eastAsia="zh-CN" w:bidi="ar-SA"/>
        </w:rPr>
        <w:t xml:space="preserve">1、本基金的封闭期为自基金合同生效之日（含）起或自每一开放期结束之日次日（含）起一年的期间。本基金的第一个封闭期为自基金合同生效之日起一年。下一个封闭期为首个开放期结束之日次日起一年，以此类推。本基金封闭期内不办理申购与赎回业务，也不上市交易。 </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一般情况下，本基金的开放期为自封闭期结束之日后第一个工作日（含）起不少于五个工作日、不超过二十个工作日的期间，具体期间由基金管理人在封闭期结束前公告说明。开放期内，本基金采取开放运作方式，投资人可办理基金份额的申购、赎回或其他业务，开放期未赎回的份额将自动转入下一个封闭期。</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3、如发生不可抗力或其他情形致使基金无法按时开放或需依据基金合同暂停申购与赎回业务的，基金管理人有权合理调整申购或赎回业务的办理期间并予以公告。</w:t>
      </w: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本公告仅对本基金开放申购、赎回和转换业务的有关事项予以说明。投资人欲了解本基金相关业务规则的详细情况，请阅读刊登在中国证监会规定信息披露媒介上的《鹏华永润一年定期开放债券型证券投资基金招募说明书》及其更新。</w:t>
      </w:r>
    </w:p>
    <w:p w:rsidR="00F45D99" w:rsidRDefault="00F45D99">
      <w:pPr>
        <w:widowControl w:val="0"/>
        <w:spacing w:line="360" w:lineRule="auto"/>
        <w:ind w:firstLine="420"/>
        <w:rPr>
          <w:rFonts w:eastAsia="Times New Roman"/>
          <w:sz w:val="21"/>
          <w:szCs w:val="21"/>
          <w:lang w:val="en-US" w:eastAsia="zh-CN" w:bidi="ar-SA"/>
        </w:rPr>
      </w:pPr>
    </w:p>
    <w:p w:rsidR="00F45D99" w:rsidRDefault="00F45D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风险提示：本基金管理人承诺以诚实信用、勤勉尽责的原则管理和运用基金资产，但不保证基金一定盈利，也不保证最低收益。请投资人投资本基金前认真阅读本基金的基金合同、招募说明书（更新）和基金产品资料概要（更新），并根据自身风险承受能力选择适合自己的基金产品。敬请投资人注意投资风险。</w:t>
      </w:r>
    </w:p>
    <w:p w:rsidR="00F45D99" w:rsidRDefault="00F45D99">
      <w:pPr>
        <w:widowControl w:val="0"/>
        <w:spacing w:line="360" w:lineRule="auto"/>
        <w:rPr>
          <w:rFonts w:eastAsia="Times New Roman"/>
          <w:sz w:val="21"/>
          <w:szCs w:val="21"/>
          <w:lang w:val="en-US" w:eastAsia="zh-CN" w:bidi="ar-SA"/>
        </w:rPr>
      </w:pPr>
    </w:p>
    <w:p w:rsidR="00F45D99" w:rsidRDefault="00F45D99">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F45D99" w:rsidRDefault="00F45D99">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2021年04月16日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37" w:rsidRDefault="004F3A37" w:rsidP="004F3A37">
      <w:r>
        <w:separator/>
      </w:r>
    </w:p>
  </w:endnote>
  <w:endnote w:type="continuationSeparator" w:id="0">
    <w:p w:rsidR="004F3A37" w:rsidRDefault="004F3A37" w:rsidP="004F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37" w:rsidRDefault="004F3A37" w:rsidP="004F3A37">
      <w:r>
        <w:separator/>
      </w:r>
    </w:p>
  </w:footnote>
  <w:footnote w:type="continuationSeparator" w:id="0">
    <w:p w:rsidR="004F3A37" w:rsidRDefault="004F3A37" w:rsidP="004F3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F3A37"/>
    <w:rsid w:val="005D0A98"/>
    <w:rsid w:val="005F6060"/>
    <w:rsid w:val="00A77B3E"/>
    <w:rsid w:val="00CA2A55"/>
    <w:rsid w:val="00DD272B"/>
    <w:rsid w:val="00F45D99"/>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4F3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3A37"/>
    <w:rPr>
      <w:sz w:val="18"/>
      <w:szCs w:val="18"/>
    </w:rPr>
  </w:style>
  <w:style w:type="paragraph" w:styleId="a4">
    <w:name w:val="footer"/>
    <w:basedOn w:val="a"/>
    <w:link w:val="Char0"/>
    <w:rsid w:val="004F3A37"/>
    <w:pPr>
      <w:tabs>
        <w:tab w:val="center" w:pos="4153"/>
        <w:tab w:val="right" w:pos="8306"/>
      </w:tabs>
      <w:snapToGrid w:val="0"/>
    </w:pPr>
    <w:rPr>
      <w:sz w:val="18"/>
      <w:szCs w:val="18"/>
    </w:rPr>
  </w:style>
  <w:style w:type="character" w:customStyle="1" w:styleId="Char0">
    <w:name w:val="页脚 Char"/>
    <w:basedOn w:val="a0"/>
    <w:link w:val="a4"/>
    <w:rsid w:val="004F3A3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2021-04-15T16:31:00Z</dcterms:created>
  <dcterms:modified xsi:type="dcterms:W3CDTF">2021-04-15T16:31:00Z</dcterms:modified>
</cp:coreProperties>
</file>