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99" w:rsidRPr="00735799" w:rsidRDefault="00735799">
      <w:pPr>
        <w:widowControl w:val="0"/>
        <w:jc w:val="both"/>
        <w:rPr>
          <w:rFonts w:hint="eastAsia"/>
          <w:lang w:val="en-US"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center"/>
        <w:rPr>
          <w:rFonts w:eastAsia="Times New Roman"/>
          <w:sz w:val="48"/>
          <w:szCs w:val="48"/>
          <w:lang w:val="en-US" w:eastAsia="zh-CN" w:bidi="ar-SA"/>
        </w:rPr>
      </w:pPr>
      <w:bookmarkStart w:id="0" w:name="t_2_0_table"/>
      <w:bookmarkEnd w:id="0"/>
      <w:r>
        <w:rPr>
          <w:rFonts w:ascii="宋体" w:hAnsi="宋体" w:cs="宋体"/>
          <w:b/>
          <w:bCs/>
          <w:sz w:val="48"/>
          <w:szCs w:val="48"/>
          <w:lang w:val="en-US" w:eastAsia="zh-CN" w:bidi="ar-SA"/>
        </w:rPr>
        <w:t>鹏华年年红一年持有期债券型证券投资基金开放日常申购、转换转入和定期定额投资业务的公告</w:t>
      </w:r>
    </w:p>
    <w:p w:rsidR="00735799" w:rsidRDefault="00735799">
      <w:pPr>
        <w:widowControl w:val="0"/>
        <w:jc w:val="center"/>
        <w:rPr>
          <w:rFonts w:eastAsia="Times New Roman"/>
          <w:sz w:val="30"/>
          <w:szCs w:val="30"/>
          <w:lang w:val="en-US" w:eastAsia="zh-CN" w:bidi="ar-SA"/>
        </w:rPr>
      </w:pPr>
      <w:bookmarkStart w:id="1" w:name="t_2_0_0002_a2_fm1"/>
      <w:bookmarkEnd w:id="1"/>
    </w:p>
    <w:p w:rsidR="00735799" w:rsidRDefault="00735799">
      <w:pPr>
        <w:widowControl w:val="0"/>
        <w:jc w:val="center"/>
        <w:rPr>
          <w:rFonts w:eastAsia="Times New Roman"/>
          <w:sz w:val="30"/>
          <w:szCs w:val="30"/>
          <w:lang w:val="en-US" w:eastAsia="zh-CN" w:bidi="ar-SA"/>
        </w:rPr>
      </w:pPr>
    </w:p>
    <w:p w:rsidR="00735799" w:rsidRDefault="00735799">
      <w:pPr>
        <w:widowControl w:val="0"/>
        <w:jc w:val="center"/>
        <w:rPr>
          <w:rFonts w:eastAsia="Times New Roman"/>
          <w:sz w:val="30"/>
          <w:szCs w:val="30"/>
          <w:lang w:val="en-US" w:eastAsia="zh-CN" w:bidi="ar-SA"/>
        </w:rPr>
      </w:pPr>
    </w:p>
    <w:p w:rsidR="00735799" w:rsidRDefault="00735799">
      <w:pPr>
        <w:widowControl w:val="0"/>
        <w:jc w:val="center"/>
        <w:rPr>
          <w:rFonts w:eastAsia="Times New Roman"/>
          <w:sz w:val="30"/>
          <w:szCs w:val="30"/>
          <w:lang w:val="en-US" w:eastAsia="zh-CN" w:bidi="ar-SA"/>
        </w:rPr>
      </w:pPr>
    </w:p>
    <w:p w:rsidR="00735799" w:rsidRDefault="00735799">
      <w:pPr>
        <w:widowControl w:val="0"/>
        <w:jc w:val="center"/>
        <w:rPr>
          <w:rFonts w:eastAsia="Times New Roman"/>
          <w:sz w:val="30"/>
          <w:szCs w:val="30"/>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r>
        <w:rPr>
          <w:rFonts w:eastAsia="Times New Roman"/>
          <w:lang w:val="en-US" w:eastAsia="zh-CN" w:bidi="ar-SA"/>
        </w:rPr>
        <w:t> </w:t>
      </w:r>
    </w:p>
    <w:p w:rsidR="00735799" w:rsidRDefault="00735799">
      <w:pPr>
        <w:widowControl w:val="0"/>
        <w:jc w:val="both"/>
        <w:rPr>
          <w:rFonts w:eastAsia="Times New Roman"/>
          <w:lang w:val="en-US" w:eastAsia="zh-CN" w:bidi="ar-SA"/>
        </w:rPr>
      </w:pPr>
      <w:r>
        <w:rPr>
          <w:rFonts w:eastAsia="Times New Roman"/>
          <w:lang w:val="en-US" w:eastAsia="zh-CN" w:bidi="ar-SA"/>
        </w:rPr>
        <w:t> </w:t>
      </w:r>
    </w:p>
    <w:p w:rsidR="00735799" w:rsidRDefault="00735799">
      <w:pPr>
        <w:widowControl w:val="0"/>
        <w:jc w:val="both"/>
        <w:rPr>
          <w:rFonts w:eastAsia="Times New Roman"/>
          <w:lang w:val="en-US" w:eastAsia="zh-CN" w:bidi="ar-SA"/>
        </w:rPr>
      </w:pPr>
      <w:r>
        <w:rPr>
          <w:rFonts w:eastAsia="Times New Roman"/>
          <w:lang w:val="en-US" w:eastAsia="zh-CN" w:bidi="ar-SA"/>
        </w:rPr>
        <w:t> </w:t>
      </w: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ind w:left="2100" w:firstLine="420"/>
        <w:jc w:val="both"/>
        <w:rPr>
          <w:rFonts w:eastAsia="Times New Roman"/>
          <w:sz w:val="28"/>
          <w:szCs w:val="28"/>
          <w:lang w:val="en-US" w:eastAsia="zh-CN" w:bidi="ar-SA"/>
        </w:rPr>
      </w:pPr>
      <w:r>
        <w:rPr>
          <w:rFonts w:ascii="宋体" w:hAnsi="宋体" w:cs="宋体"/>
          <w:b/>
          <w:bCs/>
          <w:sz w:val="28"/>
          <w:szCs w:val="28"/>
          <w:lang w:val="en-US" w:eastAsia="zh-CN" w:bidi="ar-SA"/>
        </w:rPr>
        <w:t>公告送出日期：2021年04月1</w:t>
      </w:r>
      <w:r w:rsidR="007E3D34">
        <w:rPr>
          <w:rFonts w:ascii="宋体" w:hAnsi="宋体" w:cs="宋体" w:hint="eastAsia"/>
          <w:b/>
          <w:bCs/>
          <w:sz w:val="28"/>
          <w:szCs w:val="28"/>
          <w:lang w:val="en-US" w:bidi="ar-SA"/>
        </w:rPr>
        <w:t>5</w:t>
      </w:r>
      <w:r>
        <w:rPr>
          <w:rFonts w:ascii="宋体" w:hAnsi="宋体" w:cs="宋体"/>
          <w:b/>
          <w:bCs/>
          <w:sz w:val="28"/>
          <w:szCs w:val="28"/>
          <w:lang w:val="en-US" w:eastAsia="zh-CN" w:bidi="ar-SA"/>
        </w:rPr>
        <w:t>日</w:t>
      </w: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p>
    <w:p w:rsidR="00735799" w:rsidRDefault="00735799">
      <w:pPr>
        <w:widowControl w:val="0"/>
        <w:jc w:val="both"/>
        <w:rPr>
          <w:rFonts w:eastAsia="Times New Roman"/>
          <w:lang w:val="en-US" w:eastAsia="zh-CN" w:bidi="ar-SA"/>
        </w:rPr>
      </w:pPr>
      <w:r>
        <w:rPr>
          <w:lang w:val="en-US" w:eastAsia="zh-CN" w:bidi="ar-SA"/>
        </w:rPr>
        <w:t> </w:t>
      </w:r>
    </w:p>
    <w:p w:rsidR="00735799" w:rsidRDefault="00735799">
      <w:pPr>
        <w:widowControl w:val="0"/>
        <w:jc w:val="both"/>
        <w:rPr>
          <w:rFonts w:eastAsia="Times New Roman"/>
          <w:lang w:val="en-US" w:eastAsia="zh-CN" w:bidi="ar-SA"/>
        </w:rPr>
      </w:pPr>
      <w:r>
        <w:rPr>
          <w:lang w:val="en-US" w:eastAsia="zh-CN" w:bidi="ar-SA"/>
        </w:rPr>
        <w:t> </w:t>
      </w:r>
    </w:p>
    <w:p w:rsidR="00735799" w:rsidRDefault="00735799">
      <w:pPr>
        <w:widowControl w:val="0"/>
        <w:jc w:val="both"/>
        <w:rPr>
          <w:rFonts w:eastAsia="Times New Roman"/>
          <w:lang w:val="en-US" w:eastAsia="zh-CN" w:bidi="ar-SA"/>
        </w:rPr>
      </w:pPr>
      <w:r>
        <w:rPr>
          <w:lang w:val="en-US" w:eastAsia="zh-CN" w:bidi="ar-SA"/>
        </w:rPr>
        <w:t> </w:t>
      </w:r>
    </w:p>
    <w:p w:rsidR="00735799" w:rsidRDefault="00735799">
      <w:pPr>
        <w:widowControl w:val="0"/>
        <w:jc w:val="both"/>
        <w:rPr>
          <w:rFonts w:eastAsia="Times New Roman"/>
          <w:lang w:val="en-US" w:eastAsia="zh-CN" w:bidi="ar-SA"/>
        </w:rPr>
      </w:pPr>
      <w:r>
        <w:rPr>
          <w:lang w:val="en-US" w:eastAsia="zh-CN" w:bidi="ar-SA"/>
        </w:rPr>
        <w:t> </w:t>
      </w:r>
    </w:p>
    <w:p w:rsidR="00735799" w:rsidRDefault="00735799">
      <w:pPr>
        <w:widowControl w:val="0"/>
        <w:jc w:val="both"/>
        <w:rPr>
          <w:rFonts w:eastAsia="Times New Roman"/>
          <w:lang w:val="en-US" w:eastAsia="zh-CN" w:bidi="ar-SA"/>
        </w:rPr>
      </w:pPr>
      <w:r>
        <w:rPr>
          <w:lang w:val="en-US" w:eastAsia="zh-CN" w:bidi="ar-SA"/>
        </w:rPr>
        <w:lastRenderedPageBreak/>
        <w:t> </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1</w:t>
      </w:r>
      <w:bookmarkStart w:id="2" w:name="t_2_1_table"/>
      <w:bookmarkEnd w:id="2"/>
      <w:r>
        <w:rPr>
          <w:rFonts w:ascii="宋体" w:hAnsi="宋体" w:cs="宋体"/>
          <w:i w:val="0"/>
          <w:iCs w:val="0"/>
          <w:sz w:val="24"/>
          <w:szCs w:val="24"/>
          <w:lang w:val="en-US" w:eastAsia="zh-CN" w:bidi="ar-SA"/>
        </w:rPr>
        <w:t>公告基本信息</w:t>
      </w:r>
    </w:p>
    <w:tbl>
      <w:tblPr>
        <w:tblW w:w="864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61"/>
        <w:gridCol w:w="2640"/>
        <w:gridCol w:w="2746"/>
      </w:tblGrid>
      <w:tr w:rsidR="007E3D34" w:rsidRPr="00735799" w:rsidTr="007E3D34">
        <w:tc>
          <w:tcPr>
            <w:tcW w:w="3261" w:type="dxa"/>
            <w:tcBorders>
              <w:bottom w:val="single" w:sz="6" w:space="0" w:color="auto"/>
              <w:right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基金名称</w:t>
            </w:r>
          </w:p>
        </w:tc>
        <w:tc>
          <w:tcPr>
            <w:tcW w:w="5386" w:type="dxa"/>
            <w:gridSpan w:val="2"/>
            <w:tcBorders>
              <w:left w:val="single" w:sz="6" w:space="0" w:color="auto"/>
              <w:bottom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bookmarkStart w:id="3" w:name="t_2_1_0009_a1_fm1"/>
            <w:bookmarkEnd w:id="3"/>
            <w:r>
              <w:rPr>
                <w:rFonts w:ascii="宋体" w:hAnsi="宋体" w:cs="宋体"/>
                <w:sz w:val="21"/>
                <w:szCs w:val="21"/>
                <w:lang w:val="en-US" w:eastAsia="zh-CN" w:bidi="ar-SA"/>
              </w:rPr>
              <w:t>鹏华年年红一年持有期债券型证券投资基金</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基金简称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bookmarkStart w:id="4" w:name="t_2_1_0011_a1_fm1"/>
            <w:bookmarkEnd w:id="4"/>
            <w:r>
              <w:rPr>
                <w:rFonts w:ascii="宋体" w:hAnsi="宋体" w:cs="宋体"/>
                <w:sz w:val="21"/>
                <w:szCs w:val="21"/>
                <w:lang w:val="en-US" w:eastAsia="zh-CN" w:bidi="ar-SA"/>
              </w:rPr>
              <w:t>鹏华年年红一年持有期债券</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r>
              <w:rPr>
                <w:rFonts w:ascii="宋体" w:hAnsi="宋体" w:cs="宋体"/>
                <w:sz w:val="21"/>
                <w:szCs w:val="21"/>
                <w:lang w:val="en-US" w:eastAsia="zh-CN" w:bidi="ar-SA"/>
              </w:rPr>
              <w:t>基金主代码</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35799" w:rsidRDefault="00735799">
            <w:pPr>
              <w:widowControl w:val="0"/>
              <w:jc w:val="both"/>
              <w:rPr>
                <w:rFonts w:eastAsia="Times New Roman"/>
                <w:sz w:val="21"/>
                <w:szCs w:val="21"/>
                <w:lang w:val="en-US" w:eastAsia="zh-CN" w:bidi="ar-SA"/>
              </w:rPr>
            </w:pPr>
            <w:bookmarkStart w:id="5" w:name="t_2_1_0012_a1_fm1"/>
            <w:bookmarkEnd w:id="5"/>
            <w:r>
              <w:rPr>
                <w:rFonts w:ascii="宋体" w:hAnsi="宋体" w:cs="宋体"/>
                <w:sz w:val="21"/>
                <w:szCs w:val="21"/>
                <w:lang w:val="en-US" w:eastAsia="zh-CN" w:bidi="ar-SA"/>
              </w:rPr>
              <w:t>009920</w:t>
            </w:r>
          </w:p>
        </w:tc>
      </w:tr>
      <w:tr w:rsidR="007E3D34" w:rsidRPr="00735799" w:rsidTr="007E3D34">
        <w:trPr>
          <w:trHeight w:val="90"/>
        </w:trPr>
        <w:tc>
          <w:tcPr>
            <w:tcW w:w="3261" w:type="dxa"/>
            <w:tcBorders>
              <w:top w:val="single" w:sz="6" w:space="0" w:color="auto"/>
              <w:bottom w:val="single" w:sz="4" w:space="0" w:color="auto"/>
              <w:right w:val="single" w:sz="6" w:space="0" w:color="auto"/>
            </w:tcBorders>
            <w:tcMar>
              <w:top w:w="8" w:type="dxa"/>
              <w:left w:w="108" w:type="dxa"/>
              <w:bottom w:w="8" w:type="dxa"/>
              <w:right w:w="108" w:type="dxa"/>
            </w:tcMar>
          </w:tcPr>
          <w:p w:rsidR="00735799" w:rsidRPr="00735799" w:rsidRDefault="007E3D34" w:rsidP="007E3D34">
            <w:pPr>
              <w:widowControl w:val="0"/>
              <w:tabs>
                <w:tab w:val="left" w:pos="2280"/>
              </w:tabs>
              <w:jc w:val="both"/>
              <w:rPr>
                <w:rFonts w:hint="eastAsia"/>
                <w:sz w:val="21"/>
                <w:szCs w:val="21"/>
                <w:lang w:val="en-US" w:bidi="ar-SA"/>
              </w:rPr>
            </w:pPr>
            <w:r w:rsidRPr="00735799">
              <w:rPr>
                <w:rFonts w:hint="eastAsia"/>
                <w:sz w:val="21"/>
                <w:szCs w:val="21"/>
                <w:lang w:val="en-US" w:bidi="ar-SA"/>
              </w:rPr>
              <w:t>基金</w:t>
            </w:r>
            <w:r w:rsidRPr="00735799">
              <w:rPr>
                <w:sz w:val="21"/>
                <w:szCs w:val="21"/>
                <w:lang w:val="en-US" w:bidi="ar-SA"/>
              </w:rPr>
              <w:t>运作方式</w:t>
            </w:r>
          </w:p>
        </w:tc>
        <w:tc>
          <w:tcPr>
            <w:tcW w:w="5386" w:type="dxa"/>
            <w:gridSpan w:val="2"/>
            <w:tcBorders>
              <w:top w:val="single" w:sz="6" w:space="0" w:color="auto"/>
              <w:left w:val="single" w:sz="6" w:space="0" w:color="auto"/>
              <w:bottom w:val="single" w:sz="4" w:space="0" w:color="auto"/>
            </w:tcBorders>
            <w:tcMar>
              <w:top w:w="8" w:type="dxa"/>
              <w:left w:w="108" w:type="dxa"/>
              <w:bottom w:w="8" w:type="dxa"/>
              <w:right w:w="108" w:type="dxa"/>
            </w:tcMar>
          </w:tcPr>
          <w:p w:rsidR="00735799" w:rsidRPr="00735799" w:rsidRDefault="007E3D34">
            <w:pPr>
              <w:widowControl w:val="0"/>
              <w:jc w:val="both"/>
              <w:rPr>
                <w:rFonts w:hint="eastAsia"/>
                <w:sz w:val="21"/>
                <w:szCs w:val="21"/>
                <w:lang w:val="en-US" w:bidi="ar-SA"/>
              </w:rPr>
            </w:pPr>
            <w:bookmarkStart w:id="6" w:name="t_2_1_0018_a1_fm1"/>
            <w:bookmarkEnd w:id="6"/>
            <w:r w:rsidRPr="00735799">
              <w:rPr>
                <w:rFonts w:hint="eastAsia"/>
                <w:sz w:val="21"/>
                <w:szCs w:val="21"/>
                <w:lang w:val="en-US" w:bidi="ar-SA"/>
              </w:rPr>
              <w:t>契约</w:t>
            </w:r>
            <w:r w:rsidRPr="00735799">
              <w:rPr>
                <w:sz w:val="21"/>
                <w:szCs w:val="21"/>
                <w:lang w:val="en-US" w:bidi="ar-SA"/>
              </w:rPr>
              <w:t>型开放式</w:t>
            </w:r>
          </w:p>
        </w:tc>
      </w:tr>
      <w:tr w:rsidR="007E3D34" w:rsidRPr="00735799" w:rsidTr="007E3D34">
        <w:trPr>
          <w:trHeight w:val="180"/>
        </w:trPr>
        <w:tc>
          <w:tcPr>
            <w:tcW w:w="3261" w:type="dxa"/>
            <w:tcBorders>
              <w:top w:val="single" w:sz="4" w:space="0" w:color="auto"/>
              <w:bottom w:val="single" w:sz="6" w:space="0" w:color="auto"/>
              <w:right w:val="single" w:sz="6" w:space="0" w:color="auto"/>
            </w:tcBorders>
            <w:tcMar>
              <w:top w:w="8" w:type="dxa"/>
              <w:left w:w="108" w:type="dxa"/>
              <w:bottom w:w="8" w:type="dxa"/>
              <w:right w:w="108" w:type="dxa"/>
            </w:tcMar>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基金合同生效日</w:t>
            </w:r>
          </w:p>
        </w:tc>
        <w:tc>
          <w:tcPr>
            <w:tcW w:w="5386" w:type="dxa"/>
            <w:gridSpan w:val="2"/>
            <w:tcBorders>
              <w:top w:val="single" w:sz="4" w:space="0" w:color="auto"/>
              <w:left w:val="single" w:sz="6" w:space="0" w:color="auto"/>
              <w:bottom w:val="single" w:sz="6" w:space="0" w:color="auto"/>
            </w:tcBorders>
            <w:tcMar>
              <w:top w:w="8" w:type="dxa"/>
              <w:left w:w="108" w:type="dxa"/>
              <w:bottom w:w="8" w:type="dxa"/>
              <w:right w:w="108" w:type="dxa"/>
            </w:tcMar>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2020年08月24日</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基金管理人名称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bookmarkStart w:id="7" w:name="t_2_1_0186_a1_fm1"/>
            <w:bookmarkEnd w:id="7"/>
            <w:r>
              <w:rPr>
                <w:rFonts w:ascii="宋体" w:hAnsi="宋体" w:cs="宋体"/>
                <w:sz w:val="21"/>
                <w:szCs w:val="21"/>
                <w:lang w:val="en-US" w:eastAsia="zh-CN" w:bidi="ar-SA"/>
              </w:rPr>
              <w:t>鹏华基金管理有限公司</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基金托管人名称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bookmarkStart w:id="8" w:name="t_2_1_0213_a1_fm1"/>
            <w:bookmarkEnd w:id="8"/>
            <w:r>
              <w:rPr>
                <w:rFonts w:ascii="宋体" w:hAnsi="宋体" w:cs="宋体"/>
                <w:sz w:val="21"/>
                <w:szCs w:val="21"/>
                <w:lang w:val="en-US" w:eastAsia="zh-CN" w:bidi="ar-SA"/>
              </w:rPr>
              <w:t>交通银行股份有限公司</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基金份额登记机构名称</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bookmarkStart w:id="9" w:name="t_2_1_0310_a1_fm1"/>
            <w:bookmarkEnd w:id="9"/>
            <w:r>
              <w:rPr>
                <w:rFonts w:ascii="宋体" w:hAnsi="宋体" w:cs="宋体"/>
                <w:sz w:val="21"/>
                <w:szCs w:val="21"/>
                <w:lang w:val="en-US" w:eastAsia="zh-CN" w:bidi="ar-SA"/>
              </w:rPr>
              <w:t>鹏华基金管理有限公司</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公告依据</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bookmarkStart w:id="10" w:name="t_2_1_2631_a1_fm1"/>
            <w:bookmarkEnd w:id="10"/>
            <w:r>
              <w:rPr>
                <w:rFonts w:ascii="宋体" w:hAnsi="宋体" w:cs="宋体"/>
                <w:sz w:val="21"/>
                <w:szCs w:val="21"/>
                <w:lang w:val="en-US" w:eastAsia="zh-CN" w:bidi="ar-SA"/>
              </w:rPr>
              <w:t>《鹏华年年红一年持有期债券型证券投资基金基金合同》（以下简称“基金合同”）、《鹏华年年红一年持有期债券型证券投资基金招募说明书》（以下简称“招募说明书”）</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申购起始日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bookmarkStart w:id="11" w:name="t_2_1_2660_a1_fm1"/>
            <w:bookmarkEnd w:id="11"/>
            <w:r>
              <w:rPr>
                <w:rFonts w:ascii="宋体" w:hAnsi="宋体" w:cs="宋体"/>
                <w:sz w:val="21"/>
                <w:szCs w:val="21"/>
                <w:lang w:val="en-US" w:eastAsia="zh-CN" w:bidi="ar-SA"/>
              </w:rPr>
              <w:t>2021年04月19日</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转换转入起始日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2021年04月19日</w:t>
            </w:r>
          </w:p>
        </w:tc>
      </w:tr>
      <w:tr w:rsidR="007E3D34" w:rsidRPr="00735799" w:rsidTr="007E3D34">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定期定额投资起始日</w:t>
            </w:r>
          </w:p>
        </w:tc>
        <w:tc>
          <w:tcPr>
            <w:tcW w:w="5386"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2021年04月19日</w:t>
            </w:r>
          </w:p>
        </w:tc>
      </w:tr>
      <w:tr w:rsidR="007E3D34" w:rsidRPr="00735799">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下属基金份额类别的基金简称</w:t>
            </w:r>
          </w:p>
        </w:tc>
        <w:tc>
          <w:tcPr>
            <w:tcW w:w="264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鹏华年年红一年持有期债券A</w:t>
            </w:r>
          </w:p>
        </w:tc>
        <w:tc>
          <w:tcPr>
            <w:tcW w:w="2746" w:type="dxa"/>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鹏华年年红一年持有期债券C</w:t>
            </w:r>
          </w:p>
        </w:tc>
      </w:tr>
      <w:tr w:rsidR="007E3D34" w:rsidRPr="00735799">
        <w:tc>
          <w:tcPr>
            <w:tcW w:w="3261"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下属基金份额类别的基金代码</w:t>
            </w:r>
          </w:p>
        </w:tc>
        <w:tc>
          <w:tcPr>
            <w:tcW w:w="2640"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rPr>
                <w:rFonts w:eastAsia="Times New Roman"/>
                <w:sz w:val="21"/>
                <w:szCs w:val="21"/>
                <w:lang w:val="en-US" w:eastAsia="zh-CN" w:bidi="ar-SA"/>
              </w:rPr>
            </w:pPr>
            <w:r>
              <w:rPr>
                <w:rFonts w:ascii="宋体" w:hAnsi="宋体" w:cs="宋体"/>
                <w:sz w:val="21"/>
                <w:szCs w:val="21"/>
                <w:lang w:val="en-US" w:eastAsia="zh-CN" w:bidi="ar-SA"/>
              </w:rPr>
              <w:t>009920</w:t>
            </w:r>
          </w:p>
        </w:tc>
        <w:tc>
          <w:tcPr>
            <w:tcW w:w="2746" w:type="dxa"/>
            <w:tcBorders>
              <w:top w:val="single" w:sz="6" w:space="0" w:color="auto"/>
              <w:left w:val="single" w:sz="6" w:space="0" w:color="auto"/>
              <w:bottom w:val="single" w:sz="6" w:space="0" w:color="auto"/>
            </w:tcBorders>
            <w:tcMar>
              <w:top w:w="8" w:type="dxa"/>
              <w:left w:w="108" w:type="dxa"/>
              <w:bottom w:w="8" w:type="dxa"/>
              <w:right w:w="108" w:type="dxa"/>
            </w:tcMar>
            <w:hideMark/>
          </w:tcPr>
          <w:p w:rsidR="007E3D34" w:rsidRDefault="007E3D34" w:rsidP="007E3D34">
            <w:pPr>
              <w:widowControl w:val="0"/>
              <w:rPr>
                <w:rFonts w:eastAsia="Times New Roman"/>
                <w:sz w:val="21"/>
                <w:szCs w:val="21"/>
                <w:lang w:val="en-US" w:eastAsia="zh-CN" w:bidi="ar-SA"/>
              </w:rPr>
            </w:pPr>
            <w:r>
              <w:rPr>
                <w:rFonts w:ascii="宋体" w:hAnsi="宋体" w:cs="宋体"/>
                <w:sz w:val="21"/>
                <w:szCs w:val="21"/>
                <w:lang w:val="en-US" w:eastAsia="zh-CN" w:bidi="ar-SA"/>
              </w:rPr>
              <w:t>009921</w:t>
            </w:r>
          </w:p>
        </w:tc>
      </w:tr>
      <w:tr w:rsidR="007E3D34" w:rsidRPr="00735799">
        <w:tc>
          <w:tcPr>
            <w:tcW w:w="3261" w:type="dxa"/>
            <w:tcBorders>
              <w:top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jc w:val="both"/>
              <w:rPr>
                <w:rFonts w:eastAsia="Times New Roman"/>
                <w:sz w:val="21"/>
                <w:szCs w:val="21"/>
                <w:lang w:val="en-US" w:eastAsia="zh-CN" w:bidi="ar-SA"/>
              </w:rPr>
            </w:pPr>
            <w:r>
              <w:rPr>
                <w:rFonts w:ascii="宋体" w:hAnsi="宋体" w:cs="宋体"/>
                <w:sz w:val="21"/>
                <w:szCs w:val="21"/>
                <w:lang w:val="en-US" w:eastAsia="zh-CN" w:bidi="ar-SA"/>
              </w:rPr>
              <w:t>该类基金份额是否开放申购、转换转入、定期定额投资</w:t>
            </w:r>
          </w:p>
        </w:tc>
        <w:tc>
          <w:tcPr>
            <w:tcW w:w="2640" w:type="dxa"/>
            <w:tcBorders>
              <w:top w:val="single" w:sz="6" w:space="0" w:color="auto"/>
              <w:left w:val="single" w:sz="6" w:space="0" w:color="auto"/>
              <w:right w:val="single" w:sz="6" w:space="0" w:color="auto"/>
            </w:tcBorders>
            <w:tcMar>
              <w:top w:w="8" w:type="dxa"/>
              <w:left w:w="108" w:type="dxa"/>
              <w:bottom w:w="8" w:type="dxa"/>
              <w:right w:w="108" w:type="dxa"/>
            </w:tcMar>
            <w:hideMark/>
          </w:tcPr>
          <w:p w:rsidR="007E3D34" w:rsidRDefault="007E3D34" w:rsidP="007E3D34">
            <w:pPr>
              <w:widowControl w:val="0"/>
              <w:rPr>
                <w:rFonts w:eastAsia="Times New Roman"/>
                <w:sz w:val="21"/>
                <w:szCs w:val="21"/>
                <w:lang w:val="en-US" w:eastAsia="zh-CN" w:bidi="ar-SA"/>
              </w:rPr>
            </w:pPr>
            <w:r>
              <w:rPr>
                <w:rFonts w:ascii="宋体" w:hAnsi="宋体" w:cs="宋体"/>
                <w:sz w:val="21"/>
                <w:szCs w:val="21"/>
                <w:lang w:val="en-US" w:eastAsia="zh-CN" w:bidi="ar-SA"/>
              </w:rPr>
              <w:t>是</w:t>
            </w:r>
          </w:p>
        </w:tc>
        <w:tc>
          <w:tcPr>
            <w:tcW w:w="2746" w:type="dxa"/>
            <w:tcBorders>
              <w:top w:val="single" w:sz="6" w:space="0" w:color="auto"/>
              <w:left w:val="single" w:sz="6" w:space="0" w:color="auto"/>
            </w:tcBorders>
            <w:tcMar>
              <w:top w:w="8" w:type="dxa"/>
              <w:left w:w="108" w:type="dxa"/>
              <w:bottom w:w="8" w:type="dxa"/>
              <w:right w:w="108" w:type="dxa"/>
            </w:tcMar>
            <w:hideMark/>
          </w:tcPr>
          <w:p w:rsidR="007E3D34" w:rsidRDefault="007E3D34" w:rsidP="007E3D34">
            <w:pPr>
              <w:widowControl w:val="0"/>
              <w:rPr>
                <w:rFonts w:eastAsia="Times New Roman"/>
                <w:sz w:val="21"/>
                <w:szCs w:val="21"/>
                <w:lang w:val="en-US" w:eastAsia="zh-CN" w:bidi="ar-SA"/>
              </w:rPr>
            </w:pPr>
            <w:r>
              <w:rPr>
                <w:rFonts w:ascii="宋体" w:hAnsi="宋体" w:cs="宋体"/>
                <w:sz w:val="21"/>
                <w:szCs w:val="21"/>
                <w:lang w:val="en-US" w:eastAsia="zh-CN" w:bidi="ar-SA"/>
              </w:rPr>
              <w:t>是</w:t>
            </w:r>
          </w:p>
        </w:tc>
      </w:tr>
    </w:tbl>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2 </w:t>
      </w:r>
      <w:bookmarkStart w:id="12" w:name="t_2_2_table"/>
      <w:bookmarkEnd w:id="12"/>
      <w:r>
        <w:rPr>
          <w:rFonts w:ascii="宋体" w:hAnsi="宋体" w:cs="宋体"/>
          <w:i w:val="0"/>
          <w:iCs w:val="0"/>
          <w:sz w:val="24"/>
          <w:szCs w:val="24"/>
          <w:lang w:val="en-US" w:eastAsia="zh-CN" w:bidi="ar-SA"/>
        </w:rPr>
        <w:t>日常申购、转换转入和定期定额投资业务的办理时间</w:t>
      </w:r>
    </w:p>
    <w:p w:rsidR="00735799" w:rsidRDefault="00735799">
      <w:pPr>
        <w:widowControl w:val="0"/>
        <w:spacing w:line="360" w:lineRule="auto"/>
        <w:ind w:firstLine="420"/>
        <w:rPr>
          <w:rFonts w:eastAsia="Times New Roman"/>
          <w:sz w:val="21"/>
          <w:szCs w:val="21"/>
          <w:lang w:val="en-US" w:eastAsia="zh-CN" w:bidi="ar-SA"/>
        </w:rPr>
      </w:pPr>
      <w:bookmarkStart w:id="13" w:name="t_2_2_2819_a1_fm1"/>
      <w:bookmarkEnd w:id="13"/>
      <w:r>
        <w:rPr>
          <w:rFonts w:ascii="宋体" w:hAnsi="宋体" w:cs="宋体"/>
          <w:sz w:val="21"/>
          <w:szCs w:val="21"/>
          <w:lang w:val="en-US" w:eastAsia="zh-CN" w:bidi="ar-SA"/>
        </w:rPr>
        <w:t>鹏华年年红一年持有期债券型证券投资基金（以下简称“本基金”）自2021年04月19日起（含当日）开放日常申购、转换转入和定期定额投资业务。</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3 申购业务</w:t>
      </w:r>
    </w:p>
    <w:p w:rsidR="00735799" w:rsidRDefault="00735799">
      <w:pPr>
        <w:widowControl w:val="0"/>
        <w:spacing w:before="156" w:after="156"/>
        <w:rPr>
          <w:rFonts w:eastAsia="Times New Roman"/>
          <w:lang w:val="en-US" w:eastAsia="zh-CN" w:bidi="ar-SA"/>
        </w:rPr>
      </w:pPr>
      <w:r>
        <w:rPr>
          <w:rFonts w:ascii="宋体" w:hAnsi="宋体" w:cs="宋体"/>
          <w:b/>
          <w:bCs/>
          <w:lang w:val="en-US" w:eastAsia="zh-CN" w:bidi="ar-SA"/>
        </w:rPr>
        <w:t xml:space="preserve">3.1 </w:t>
      </w:r>
      <w:bookmarkStart w:id="14" w:name="t_2_3_1_table"/>
      <w:bookmarkEnd w:id="14"/>
      <w:r>
        <w:rPr>
          <w:rFonts w:ascii="宋体" w:hAnsi="宋体" w:cs="宋体"/>
          <w:b/>
          <w:bCs/>
          <w:lang w:val="en-US" w:eastAsia="zh-CN" w:bidi="ar-SA"/>
        </w:rPr>
        <w:t>申购金额限制</w:t>
      </w:r>
    </w:p>
    <w:p w:rsidR="00735799" w:rsidRDefault="00735799">
      <w:pPr>
        <w:widowControl w:val="0"/>
        <w:spacing w:line="360" w:lineRule="auto"/>
        <w:ind w:firstLine="420"/>
        <w:rPr>
          <w:rFonts w:eastAsia="Times New Roman"/>
          <w:sz w:val="21"/>
          <w:szCs w:val="21"/>
          <w:lang w:val="en-US" w:eastAsia="zh-CN" w:bidi="ar-SA"/>
        </w:rPr>
      </w:pPr>
      <w:bookmarkStart w:id="15" w:name="t_2_3_1_2820_a1_fm1"/>
      <w:bookmarkEnd w:id="15"/>
      <w:r>
        <w:rPr>
          <w:rFonts w:ascii="宋体" w:hAnsi="宋体" w:cs="宋体"/>
          <w:sz w:val="21"/>
          <w:szCs w:val="21"/>
          <w:lang w:val="en-US" w:eastAsia="zh-CN" w:bidi="ar-SA"/>
        </w:rPr>
        <w:t>1、投资人通过销售机构申购本基金，单笔最低申购金额为10元，各销售机构对本基金最低申购金额及交易级差有其他规定的，以各销售机构的业务规定为准。通过基金管理人直销中心申购本基金，首次最低申购金额为100万元，追加申购单笔最低金额为1万元。本基金直销中心单笔申购最低金额与申购级差限制可由基金管理人酌情调整。</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2、本基金对单个基金份额持有人不设置最高申购金额限制，但单一投资者持有基金份额数不得达到或超过基金份额总数的50%(在基金运作过程中因基金份额赎回等情形导致被动达到或超过50%的除外)。</w:t>
      </w:r>
    </w:p>
    <w:p w:rsidR="00735799" w:rsidRDefault="00735799">
      <w:pPr>
        <w:widowControl w:val="0"/>
        <w:spacing w:before="156" w:after="156"/>
        <w:rPr>
          <w:rFonts w:eastAsia="Times New Roman"/>
          <w:lang w:val="en-US" w:eastAsia="zh-CN" w:bidi="ar-SA"/>
        </w:rPr>
      </w:pPr>
      <w:r>
        <w:rPr>
          <w:rFonts w:ascii="宋体" w:hAnsi="宋体" w:cs="宋体"/>
          <w:b/>
          <w:bCs/>
          <w:lang w:val="en-US" w:eastAsia="zh-CN" w:bidi="ar-SA"/>
        </w:rPr>
        <w:t xml:space="preserve">3.2 </w:t>
      </w:r>
      <w:bookmarkStart w:id="16" w:name="t_2_3_2_table"/>
      <w:bookmarkEnd w:id="16"/>
      <w:r>
        <w:rPr>
          <w:rFonts w:ascii="宋体" w:hAnsi="宋体" w:cs="宋体"/>
          <w:b/>
          <w:bCs/>
          <w:lang w:val="en-US" w:eastAsia="zh-CN" w:bidi="ar-SA"/>
        </w:rPr>
        <w:t>申购费率</w:t>
      </w:r>
    </w:p>
    <w:p w:rsidR="00735799" w:rsidRDefault="00735799">
      <w:pPr>
        <w:widowControl w:val="0"/>
        <w:spacing w:line="360" w:lineRule="auto"/>
        <w:ind w:firstLine="420"/>
        <w:rPr>
          <w:rFonts w:eastAsia="Times New Roman"/>
          <w:sz w:val="21"/>
          <w:szCs w:val="21"/>
          <w:lang w:val="en-US" w:eastAsia="zh-CN" w:bidi="ar-SA"/>
        </w:rPr>
      </w:pPr>
      <w:bookmarkStart w:id="17" w:name="t_2_3_2_2842_a1_fm1"/>
      <w:bookmarkStart w:id="18" w:name="t_2_3_2_q_table"/>
      <w:bookmarkEnd w:id="17"/>
      <w:bookmarkEnd w:id="18"/>
      <w:r>
        <w:rPr>
          <w:rFonts w:ascii="宋体" w:hAnsi="宋体" w:cs="宋体"/>
          <w:sz w:val="21"/>
          <w:szCs w:val="21"/>
          <w:lang w:val="en-US" w:eastAsia="zh-CN" w:bidi="ar-SA"/>
        </w:rPr>
        <w:lastRenderedPageBreak/>
        <w:t>本基金A类基金份额在申购时收取申购费用，C类基金份额不收取申购费用。</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本基金A类基金份额的申购费率如下表所示：</w:t>
      </w:r>
    </w:p>
    <w:tbl>
      <w:tblPr>
        <w:tblW w:w="7983" w:type="dxa"/>
        <w:tblInd w:w="653" w:type="dxa"/>
        <w:tblBorders>
          <w:top w:val="single" w:sz="8" w:space="0" w:color="000000"/>
          <w:left w:val="single" w:sz="8" w:space="0" w:color="000000"/>
          <w:bottom w:val="single" w:sz="8" w:space="0" w:color="000000"/>
          <w:right w:val="single" w:sz="8" w:space="0" w:color="000000"/>
          <w:insideH w:val="nil"/>
          <w:insideV w:val="nil"/>
        </w:tblBorders>
        <w:tblCellMar>
          <w:top w:w="15" w:type="dxa"/>
          <w:left w:w="15" w:type="dxa"/>
          <w:bottom w:w="15" w:type="dxa"/>
          <w:right w:w="15" w:type="dxa"/>
        </w:tblCellMar>
        <w:tblLook w:val="05E0"/>
      </w:tblPr>
      <w:tblGrid>
        <w:gridCol w:w="3170"/>
        <w:gridCol w:w="2440"/>
        <w:gridCol w:w="2373"/>
      </w:tblGrid>
      <w:tr w:rsidR="00735799" w:rsidRPr="00735799" w:rsidTr="00735799">
        <w:trPr>
          <w:trHeight w:val="415"/>
        </w:trPr>
        <w:tc>
          <w:tcPr>
            <w:tcW w:w="3463" w:type="dxa"/>
            <w:tcBorders>
              <w:top w:val="single" w:sz="8" w:space="0" w:color="000000"/>
              <w:left w:val="single" w:sz="8" w:space="0" w:color="000000"/>
              <w:bottom w:val="single" w:sz="8" w:space="0" w:color="000000"/>
              <w:right w:val="single" w:sz="8" w:space="0" w:color="000000"/>
            </w:tcBorders>
            <w:shd w:val="clear" w:color="auto" w:fill="auto"/>
            <w:tcMar>
              <w:top w:w="10" w:type="dxa"/>
              <w:left w:w="118"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rFonts w:ascii="宋体" w:hAnsi="宋体" w:cs="宋体"/>
                <w:b/>
                <w:bCs/>
                <w:sz w:val="21"/>
                <w:szCs w:val="21"/>
                <w:lang w:val="en-US" w:eastAsia="zh-CN" w:bidi="ar-SA"/>
              </w:rPr>
              <w:t>申购金额</w:t>
            </w:r>
            <w:r w:rsidRPr="00735799">
              <w:rPr>
                <w:b/>
                <w:bCs/>
                <w:sz w:val="21"/>
                <w:szCs w:val="21"/>
                <w:lang w:eastAsia="en-US" w:bidi="ar-SA"/>
              </w:rPr>
              <w:t>M</w:t>
            </w:r>
            <w:r w:rsidRPr="00735799">
              <w:rPr>
                <w:rFonts w:ascii="宋体" w:hAnsi="宋体" w:cs="宋体"/>
                <w:b/>
                <w:bCs/>
                <w:sz w:val="21"/>
                <w:szCs w:val="21"/>
                <w:lang w:val="en-US" w:eastAsia="zh-CN" w:bidi="ar-SA"/>
              </w:rPr>
              <w:t>（元）</w:t>
            </w:r>
          </w:p>
        </w:tc>
        <w:tc>
          <w:tcPr>
            <w:tcW w:w="2652"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rFonts w:ascii="宋体" w:hAnsi="宋体" w:cs="宋体"/>
                <w:b/>
                <w:bCs/>
                <w:sz w:val="21"/>
                <w:szCs w:val="21"/>
                <w:lang w:val="en-US" w:eastAsia="zh-CN" w:bidi="ar-SA"/>
              </w:rPr>
              <w:t>一般申购费率</w:t>
            </w:r>
          </w:p>
        </w:tc>
        <w:tc>
          <w:tcPr>
            <w:tcW w:w="2576" w:type="dxa"/>
            <w:tcBorders>
              <w:top w:val="single" w:sz="8" w:space="0" w:color="000000"/>
              <w:bottom w:val="single" w:sz="8" w:space="0" w:color="000000"/>
              <w:right w:val="single" w:sz="8" w:space="0" w:color="000000"/>
            </w:tcBorders>
            <w:shd w:val="clear" w:color="auto" w:fill="auto"/>
            <w:tcMar>
              <w:top w:w="10"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rFonts w:ascii="宋体" w:hAnsi="宋体" w:cs="宋体"/>
                <w:b/>
                <w:bCs/>
                <w:sz w:val="21"/>
                <w:szCs w:val="21"/>
                <w:lang w:val="en-US" w:eastAsia="zh-CN" w:bidi="ar-SA"/>
              </w:rPr>
              <w:t>特定申购费率</w:t>
            </w:r>
          </w:p>
        </w:tc>
      </w:tr>
      <w:tr w:rsidR="00735799" w:rsidRPr="00735799" w:rsidTr="00735799">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M&lt;100</w:t>
            </w:r>
            <w:r w:rsidRPr="00735799">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0.80%</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0.32%</w:t>
            </w:r>
          </w:p>
        </w:tc>
      </w:tr>
      <w:tr w:rsidR="00735799" w:rsidRPr="00735799" w:rsidTr="00735799">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100</w:t>
            </w:r>
            <w:r w:rsidRPr="00735799">
              <w:rPr>
                <w:rFonts w:ascii="宋体" w:hAnsi="宋体" w:cs="宋体"/>
                <w:sz w:val="21"/>
                <w:szCs w:val="21"/>
                <w:lang w:val="en-US" w:eastAsia="zh-CN" w:bidi="ar-SA"/>
              </w:rPr>
              <w:t>万</w:t>
            </w:r>
            <w:r w:rsidRPr="00735799">
              <w:rPr>
                <w:sz w:val="21"/>
                <w:szCs w:val="21"/>
                <w:lang w:eastAsia="en-US" w:bidi="ar-SA"/>
              </w:rPr>
              <w:t>≤ M &lt;300</w:t>
            </w:r>
            <w:r w:rsidRPr="00735799">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0.40%</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0.12%</w:t>
            </w:r>
          </w:p>
        </w:tc>
      </w:tr>
      <w:tr w:rsidR="00735799" w:rsidRPr="00735799" w:rsidTr="00735799">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300</w:t>
            </w:r>
            <w:r w:rsidRPr="00735799">
              <w:rPr>
                <w:rFonts w:ascii="宋体" w:hAnsi="宋体" w:cs="宋体"/>
                <w:sz w:val="21"/>
                <w:szCs w:val="21"/>
                <w:lang w:val="en-US" w:eastAsia="zh-CN" w:bidi="ar-SA"/>
              </w:rPr>
              <w:t>万</w:t>
            </w:r>
            <w:r w:rsidRPr="00735799">
              <w:rPr>
                <w:sz w:val="21"/>
                <w:szCs w:val="21"/>
                <w:lang w:eastAsia="en-US" w:bidi="ar-SA"/>
              </w:rPr>
              <w:t>≤ M &lt;500</w:t>
            </w:r>
            <w:r w:rsidRPr="00735799">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0.10%</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0.03%</w:t>
            </w:r>
          </w:p>
        </w:tc>
      </w:tr>
      <w:tr w:rsidR="00735799" w:rsidRPr="00735799" w:rsidTr="00735799">
        <w:trPr>
          <w:cantSplit/>
          <w:trHeight w:val="415"/>
        </w:trPr>
        <w:tc>
          <w:tcPr>
            <w:tcW w:w="3463" w:type="dxa"/>
            <w:tcBorders>
              <w:left w:val="single" w:sz="8" w:space="0" w:color="000000"/>
              <w:bottom w:val="single" w:sz="8" w:space="0" w:color="000000"/>
              <w:right w:val="single" w:sz="8" w:space="0" w:color="000000"/>
            </w:tcBorders>
            <w:shd w:val="clear" w:color="auto" w:fill="auto"/>
            <w:tcMar>
              <w:top w:w="5" w:type="dxa"/>
              <w:left w:w="118"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sz w:val="21"/>
                <w:szCs w:val="21"/>
                <w:lang w:eastAsia="en-US" w:bidi="ar-SA"/>
              </w:rPr>
              <w:t>M≥ 500</w:t>
            </w:r>
            <w:r w:rsidRPr="00735799">
              <w:rPr>
                <w:rFonts w:ascii="宋体" w:hAnsi="宋体" w:cs="宋体"/>
                <w:sz w:val="21"/>
                <w:szCs w:val="21"/>
                <w:lang w:val="en-US" w:eastAsia="zh-CN" w:bidi="ar-SA"/>
              </w:rPr>
              <w:t>万</w:t>
            </w:r>
          </w:p>
        </w:tc>
        <w:tc>
          <w:tcPr>
            <w:tcW w:w="2652"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rFonts w:ascii="宋体" w:hAnsi="宋体" w:cs="宋体"/>
                <w:sz w:val="21"/>
                <w:szCs w:val="21"/>
                <w:lang w:val="en-US" w:eastAsia="zh-CN" w:bidi="ar-SA"/>
              </w:rPr>
              <w:t>每笔</w:t>
            </w:r>
            <w:r w:rsidRPr="00735799">
              <w:rPr>
                <w:sz w:val="21"/>
                <w:szCs w:val="21"/>
                <w:lang w:eastAsia="en-US" w:bidi="ar-SA"/>
              </w:rPr>
              <w:t>1000</w:t>
            </w:r>
            <w:r w:rsidRPr="00735799">
              <w:rPr>
                <w:rFonts w:ascii="宋体" w:hAnsi="宋体" w:cs="宋体"/>
                <w:sz w:val="21"/>
                <w:szCs w:val="21"/>
                <w:lang w:val="en-US" w:eastAsia="zh-CN" w:bidi="ar-SA"/>
              </w:rPr>
              <w:t>元</w:t>
            </w:r>
          </w:p>
        </w:tc>
        <w:tc>
          <w:tcPr>
            <w:tcW w:w="2576" w:type="dxa"/>
            <w:tcBorders>
              <w:bottom w:val="single" w:sz="8" w:space="0" w:color="000000"/>
              <w:right w:val="single" w:sz="8" w:space="0" w:color="000000"/>
            </w:tcBorders>
            <w:shd w:val="clear" w:color="auto" w:fill="auto"/>
            <w:tcMar>
              <w:top w:w="5" w:type="dxa"/>
              <w:left w:w="113" w:type="dxa"/>
              <w:bottom w:w="10" w:type="dxa"/>
              <w:right w:w="118" w:type="dxa"/>
            </w:tcMar>
            <w:vAlign w:val="center"/>
            <w:hideMark/>
          </w:tcPr>
          <w:p w:rsidR="00735799" w:rsidRPr="00735799" w:rsidRDefault="00735799" w:rsidP="00735799">
            <w:pPr>
              <w:jc w:val="center"/>
              <w:rPr>
                <w:rFonts w:eastAsia="Times New Roman"/>
                <w:lang w:val="en-US" w:eastAsia="zh-CN" w:bidi="ar-SA"/>
              </w:rPr>
            </w:pPr>
            <w:r w:rsidRPr="00735799">
              <w:rPr>
                <w:rFonts w:ascii="宋体" w:hAnsi="宋体" w:cs="宋体"/>
                <w:sz w:val="21"/>
                <w:szCs w:val="21"/>
                <w:lang w:val="en-US" w:eastAsia="zh-CN" w:bidi="ar-SA"/>
              </w:rPr>
              <w:t>每笔</w:t>
            </w:r>
            <w:r w:rsidRPr="00735799">
              <w:rPr>
                <w:sz w:val="21"/>
                <w:szCs w:val="21"/>
                <w:lang w:eastAsia="en-US" w:bidi="ar-SA"/>
              </w:rPr>
              <w:t>1000</w:t>
            </w:r>
            <w:r w:rsidRPr="00735799">
              <w:rPr>
                <w:rFonts w:ascii="宋体" w:hAnsi="宋体" w:cs="宋体"/>
                <w:sz w:val="21"/>
                <w:szCs w:val="21"/>
                <w:lang w:val="en-US" w:eastAsia="zh-CN" w:bidi="ar-SA"/>
              </w:rPr>
              <w:t>元</w:t>
            </w:r>
          </w:p>
        </w:tc>
      </w:tr>
    </w:tbl>
    <w:p w:rsidR="00735799" w:rsidRDefault="00735799">
      <w:pPr>
        <w:widowControl w:val="0"/>
        <w:spacing w:line="360" w:lineRule="auto"/>
        <w:ind w:firstLine="420"/>
        <w:rPr>
          <w:rFonts w:eastAsia="Times New Roman"/>
          <w:sz w:val="21"/>
          <w:szCs w:val="21"/>
          <w:lang w:val="en-US" w:eastAsia="zh-CN" w:bidi="ar-SA"/>
        </w:rPr>
      </w:pPr>
      <w:bookmarkStart w:id="19" w:name="t_2_3_2_q_2685_a1_fm1"/>
      <w:r>
        <w:rPr>
          <w:rFonts w:ascii="宋体" w:hAnsi="宋体" w:cs="宋体"/>
          <w:sz w:val="21"/>
          <w:szCs w:val="21"/>
          <w:lang w:val="en-US" w:eastAsia="zh-CN" w:bidi="ar-SA"/>
        </w:rPr>
        <w:t>注：</w:t>
      </w:r>
      <w:bookmarkEnd w:id="19"/>
      <w:r>
        <w:rPr>
          <w:rFonts w:ascii="宋体" w:hAnsi="宋体" w:cs="宋体"/>
          <w:sz w:val="21"/>
          <w:szCs w:val="21"/>
          <w:lang w:val="en-US" w:eastAsia="zh-CN" w:bidi="ar-SA"/>
        </w:rPr>
        <w:t>1、本基金的申购费用应在投资人申购A类基金份额时收取。投资人在一天之内如果有多笔申购，适用费率按单笔分别计算。</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2、申购费用由申购A类基金份额的投资人承担，不列入基金财产，主要用于本基金的市场推广、销售、登记等各项费用。</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基金A类基金份额对通过直销中心申购的养老金客户与除此之外的其他投资人实施差别的申购费率。通过基金管理人的直销中心申购本基金A类基金份额的养老金客户适用特定申购费率，其他投资人申购本基金A类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bookmarkStart w:id="20" w:name="t_2_3_3_2821_a1_fm1"/>
      <w:bookmarkEnd w:id="20"/>
      <w:r>
        <w:rPr>
          <w:rFonts w:ascii="宋体" w:hAnsi="宋体" w:cs="宋体"/>
          <w:i w:val="0"/>
          <w:iCs w:val="0"/>
          <w:sz w:val="24"/>
          <w:szCs w:val="24"/>
          <w:lang w:val="en-US" w:eastAsia="zh-CN" w:bidi="ar-SA"/>
        </w:rPr>
        <w:t>4 转换业务</w:t>
      </w:r>
    </w:p>
    <w:p w:rsidR="00735799" w:rsidRDefault="00735799">
      <w:pPr>
        <w:widowControl w:val="0"/>
        <w:spacing w:before="156" w:after="156"/>
        <w:rPr>
          <w:rFonts w:eastAsia="Times New Roman"/>
          <w:lang w:val="en-US" w:eastAsia="zh-CN" w:bidi="ar-SA"/>
        </w:rPr>
      </w:pPr>
      <w:r>
        <w:rPr>
          <w:rFonts w:ascii="宋体" w:hAnsi="宋体" w:cs="宋体"/>
          <w:b/>
          <w:bCs/>
          <w:lang w:val="en-US" w:eastAsia="zh-CN" w:bidi="ar-SA"/>
        </w:rPr>
        <w:t>4.1 转换费率</w:t>
      </w:r>
    </w:p>
    <w:p w:rsidR="00735799" w:rsidRDefault="00735799">
      <w:pPr>
        <w:widowControl w:val="0"/>
        <w:spacing w:line="360" w:lineRule="auto"/>
        <w:ind w:firstLine="420"/>
        <w:rPr>
          <w:rFonts w:eastAsia="Times New Roman"/>
          <w:sz w:val="21"/>
          <w:szCs w:val="21"/>
          <w:lang w:val="en-US" w:eastAsia="zh-CN" w:bidi="ar-SA"/>
        </w:rPr>
      </w:pPr>
      <w:bookmarkStart w:id="21" w:name="t_2_5_0179_a1_fm1"/>
      <w:bookmarkEnd w:id="21"/>
      <w:r>
        <w:rPr>
          <w:rFonts w:ascii="宋体" w:hAnsi="宋体" w:cs="宋体"/>
          <w:sz w:val="21"/>
          <w:szCs w:val="21"/>
          <w:lang w:val="en-US" w:eastAsia="zh-CN" w:bidi="ar-SA"/>
        </w:rPr>
        <w:t>本基金的转换按照转出基金的赎回费用加上转出与转入基金申购费用补差的标准收取费用。具体转换费用组成如下：</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1、赎回费用</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的赎回费率按持有年限递减，具体各基金的赎回费率请参见各基金的招募说明书或相关业务公告，并可在本公司网站（www.phfund.com）查询。基金转换费用中转出基金的赎回费总额归入转出基金的基金财产比例详见转出基金招募说明书（更新）的约定。</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2、申购费用补差</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（1）当转出基金申购费低于转入基金申购费时，则按差额收取申购费用补差；当转出基金申购费高于或等于转入基金申购费时，不收取费用补差。</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（2）免申购费用的基金转入本基金，转换申购费用补差为本基金的申购费。</w:t>
      </w:r>
    </w:p>
    <w:p w:rsidR="00735799" w:rsidRDefault="00735799">
      <w:pPr>
        <w:widowControl w:val="0"/>
        <w:spacing w:before="156" w:after="156"/>
        <w:jc w:val="both"/>
        <w:rPr>
          <w:rFonts w:eastAsia="Times New Roman"/>
          <w:lang w:val="en-US" w:eastAsia="zh-CN" w:bidi="ar-SA"/>
        </w:rPr>
      </w:pPr>
      <w:r>
        <w:rPr>
          <w:rFonts w:ascii="宋体" w:hAnsi="宋体" w:cs="宋体"/>
          <w:b/>
          <w:bCs/>
          <w:lang w:val="en-US" w:eastAsia="zh-CN" w:bidi="ar-SA"/>
        </w:rPr>
        <w:t>4.2 其他与转换相关的事项</w:t>
      </w:r>
    </w:p>
    <w:p w:rsidR="00735799" w:rsidRDefault="00735799">
      <w:pPr>
        <w:widowControl w:val="0"/>
        <w:spacing w:line="360" w:lineRule="auto"/>
        <w:ind w:firstLine="420"/>
        <w:rPr>
          <w:rFonts w:eastAsia="Times New Roman"/>
          <w:sz w:val="21"/>
          <w:szCs w:val="21"/>
          <w:lang w:val="en-US" w:eastAsia="zh-CN" w:bidi="ar-SA"/>
        </w:rPr>
      </w:pPr>
      <w:bookmarkStart w:id="22" w:name="t_2_5_2824_a1_fm1"/>
      <w:bookmarkEnd w:id="22"/>
      <w:r>
        <w:rPr>
          <w:rFonts w:ascii="宋体" w:hAnsi="宋体" w:cs="宋体"/>
          <w:sz w:val="21"/>
          <w:szCs w:val="21"/>
          <w:lang w:val="en-US" w:eastAsia="zh-CN" w:bidi="ar-SA"/>
        </w:rPr>
        <w:t>1、转换业务适用基金范围</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消费优选混合型证券投资基金、鹏华丰盛稳固收益债券型证券投资基金、鹏华新兴产业混合型证券投资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鹏华稳健回报混合型证券投资基金、鹏华安和混合型证券投资基金（包括A类份额和C类份额）、鹏华丰诚债券型证券投资基金（包括A类份额和C类份额）、鹏华安庆混合型证券投资基金（包括A类份额和C类份额）、鹏华安惠混合型证券投资基金（包括A类份额和C类份额）、鹏华中证高股息龙头交易型开放式指数证券投资基金联接基金（包括A类份额和C类份额）、鹏华股息精选混合型证券投资基金、鹏华成长价值混合型证券投资基金（包括A类份额和C类份额）、鹏华普利债券型证券投资基金（包括A类份额和C类份额）、鹏华优质企业混合型证券投资基金、鹏华中债1-3年农发行债券指数证券投资基金（包括A类份额和C类份额）、鹏华中债-市场隐含评级AAA信用债（1-3年）指数证券投资基金（包括A类份额和C类份额）、鹏华中债-0-3年AA+优选信用债指数证券投资基金（包括A类份额和C类份额）、鹏华匠心精选混合型证券投资基金（包括A类份额和C类份额）、鹏华新兴成长混合型证券投资基金（包括A类份额和C类份额）、鹏华安睿两年持有期混合型证券投资基金（包括A类份额和C类份额）、鹏华招华一年持有期混合型证券投资基金（包括A类份额和C类份额）、鹏华丰颐债券型证券投资基金、鹏华科技创新混合型证券投资基金、鹏华安润混合型证券投资基金（包括A类份额和C类份额）、鹏华成长智选混合型证券投资基金（包括A类份额和C类份额）、鹏华安裕5个月持有期混合型证券投资基金、鹏华高质量增长混合型证券投资基金（包括A类份额和C类份额）、鹏华优选成长混合型证券投资基金（包括A类份额和C类份额）、鹏华汇智优选混合型证券投资基金（包括A类份额和C类份额）、鹏华安享一年持有期混合型证券投资基金（包括A类份额和C类份额）之间的基金转换。</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注：我司旗下定期开放产品在开放期间开通转换业务的，也适用于与本基金在开放期间的基金转换。</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2、基金转换份额的计算</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基金转换计算公式如下：</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转出基金赎回手续费＝转出份额×转出净值×转出基金赎回手续费率</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转出金额=转出份额×转出基金当日基金份额净值－转出基金赎回手续费</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补差费（外扣）＝转出金额×转入基金的申购费率/（1＋转入基金申购费率）－转出金额×转出基金申购费率/（1＋转出基金申购费率）</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转换费用＝转出基金赎回手续费＋补差费</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转入份额＝（转出金额－补差费）/转入基金当日基金份额净值</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例如：某基金份额持有人（非养老金客户）持有鹏华价值精选股票型证券投资基金 10,000 份，30天后决定转换为本基金 A 类</w:t>
      </w:r>
      <w:r>
        <w:rPr>
          <w:rFonts w:ascii="宋体" w:hAnsi="宋体" w:cs="宋体"/>
          <w:sz w:val="21"/>
          <w:szCs w:val="21"/>
          <w:lang w:val="en-US" w:eastAsia="zh-CN" w:bidi="ar-SA"/>
        </w:rPr>
        <w:t>份额</w:t>
      </w:r>
      <w:r>
        <w:rPr>
          <w:rFonts w:ascii="宋体" w:hAnsi="宋体" w:cs="宋体"/>
          <w:sz w:val="21"/>
          <w:szCs w:val="21"/>
          <w:lang w:val="zh-CN" w:bidi="ar-SA"/>
        </w:rPr>
        <w:t xml:space="preserve">，鹏华价值精选股票型证券投资基金对应前端申购费率为 1.50%，赎回费率为 0.5%，假设转换当日转出基金份额净值是 1.08 元，转入基金的份额净值是 1.05 元，并且转入基金对应的前端申购费率为 0.8%，则可得到的转换份额为：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 xml:space="preserve">转出基金赎回手续费＝10,000×1.08×0.5%=54元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 xml:space="preserve">转出金额=10,000×1.08-54=10,746元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 xml:space="preserve">补差费（外扣）＝0元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转换费用＝</w:t>
      </w:r>
      <w:r w:rsidR="00F02F2D">
        <w:rPr>
          <w:rFonts w:ascii="宋体" w:hAnsi="宋体" w:cs="宋体"/>
          <w:sz w:val="21"/>
          <w:szCs w:val="21"/>
          <w:lang w:val="zh-CN" w:bidi="ar-SA"/>
        </w:rPr>
        <w:t>54+0=54</w:t>
      </w:r>
      <w:r>
        <w:rPr>
          <w:rFonts w:ascii="宋体" w:hAnsi="宋体" w:cs="宋体"/>
          <w:sz w:val="21"/>
          <w:szCs w:val="21"/>
          <w:lang w:val="zh-CN" w:bidi="ar-SA"/>
        </w:rPr>
        <w:t xml:space="preserve">元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转入份额＝（10,746－0）/1.05＝10,234.29</w:t>
      </w:r>
      <w:r w:rsidR="00F02F2D">
        <w:rPr>
          <w:rFonts w:ascii="宋体" w:hAnsi="宋体" w:cs="宋体" w:hint="eastAsia"/>
          <w:sz w:val="21"/>
          <w:szCs w:val="21"/>
          <w:lang w:val="zh-CN" w:bidi="ar-SA"/>
        </w:rPr>
        <w:t>份</w:t>
      </w:r>
      <w:r>
        <w:rPr>
          <w:rFonts w:ascii="宋体" w:hAnsi="宋体" w:cs="宋体"/>
          <w:sz w:val="21"/>
          <w:szCs w:val="21"/>
          <w:lang w:val="zh-CN" w:bidi="ar-SA"/>
        </w:rPr>
        <w:t xml:space="preserve"> </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zh-CN" w:bidi="ar-SA"/>
        </w:rPr>
        <w:t>即：某基金份额持有人（非养老金客户）持有鹏华价值精选股票型证券投资基金 10,000 份，30天后决定转换为本基金 A 类</w:t>
      </w:r>
      <w:r>
        <w:rPr>
          <w:rFonts w:ascii="宋体" w:hAnsi="宋体" w:cs="宋体"/>
          <w:sz w:val="21"/>
          <w:szCs w:val="21"/>
          <w:lang w:val="en-US" w:eastAsia="zh-CN" w:bidi="ar-SA"/>
        </w:rPr>
        <w:t>份额</w:t>
      </w:r>
      <w:r>
        <w:rPr>
          <w:rFonts w:ascii="宋体" w:hAnsi="宋体" w:cs="宋体"/>
          <w:sz w:val="21"/>
          <w:szCs w:val="21"/>
          <w:lang w:val="zh-CN" w:bidi="ar-SA"/>
        </w:rPr>
        <w:t>，假设转换当日转出基金份额净值是 1.08 元，转入基金的基金份额净值是 1.05 元，则可得到的转换份额为10,234.29份。</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3、转换业务规则</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（1）基金转换只能在同一销售机构进行，且办理基金转换业务的销售机构须同时具备拟转出基金及拟转入基金的合法授权代理资格，并开通了相应的基金转换业务。</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 </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（3）基金转换后，转入的基金份额的持有期将自转入的基金份额被确认之日起重新开始计算。</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对于转出基金的单个基金账户最低余额，请参见各基金的招募说明书或相关业务公告，若某笔转换将导致投资人在销售机构托管的转出基金份额余额不足最低余额时，该笔转换业务应包括账户内全部基金份额，否则，剩余部分的基金份额将被强制赎回。</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（5）基金转换以申请当日基金份额净值为基础计算。投资人采用“份额转换”的原则提交申请。转出基金份额必须是可用份额，并遵循赎回处理的原则。</w:t>
      </w:r>
    </w:p>
    <w:p w:rsidR="00735799" w:rsidRDefault="00735799">
      <w:pPr>
        <w:pStyle w:val="2"/>
        <w:keepLines/>
        <w:widowControl w:val="0"/>
        <w:spacing w:before="156" w:after="156"/>
        <w:jc w:val="both"/>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 xml:space="preserve">5 </w:t>
      </w:r>
      <w:bookmarkStart w:id="23" w:name="t_2_6_table"/>
      <w:bookmarkEnd w:id="23"/>
      <w:r>
        <w:rPr>
          <w:rFonts w:ascii="宋体" w:hAnsi="宋体" w:cs="宋体"/>
          <w:i w:val="0"/>
          <w:iCs w:val="0"/>
          <w:sz w:val="24"/>
          <w:szCs w:val="24"/>
          <w:lang w:val="en-US" w:eastAsia="zh-CN" w:bidi="ar-SA"/>
        </w:rPr>
        <w:t>定期定额投资业务</w:t>
      </w:r>
    </w:p>
    <w:p w:rsidR="00735799" w:rsidRDefault="00735799">
      <w:pPr>
        <w:widowControl w:val="0"/>
        <w:spacing w:line="360" w:lineRule="auto"/>
        <w:ind w:firstLine="420"/>
        <w:rPr>
          <w:rFonts w:eastAsia="Times New Roman"/>
          <w:sz w:val="21"/>
          <w:szCs w:val="21"/>
          <w:lang w:val="en-US" w:eastAsia="zh-CN" w:bidi="ar-SA"/>
        </w:rPr>
      </w:pPr>
      <w:bookmarkStart w:id="24" w:name="t_2_6_2825_a1_fm1"/>
      <w:bookmarkEnd w:id="24"/>
      <w:r>
        <w:rPr>
          <w:rFonts w:ascii="宋体" w:hAnsi="宋体" w:cs="宋体"/>
          <w:sz w:val="21"/>
          <w:szCs w:val="21"/>
          <w:lang w:val="en-US" w:eastAsia="zh-CN" w:bidi="ar-SA"/>
        </w:rPr>
        <w:t>“定期定额投资业务”是基金申购业务的一种方式。投资者可以通过销售机构提交申请，约定每期扣款时间、扣款金额及扣款方式，由销售机构于约定扣款日在投资者指定资金账户内自动完成扣款及基金申购业务。</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定期定额投资业务的申购费率及计算公式等同于一般申购业务。对于满足不同条件的定期定额投资业务申请,如定期定额申购期限适逢基金费率优惠期,或通过电子交易平台等特殊渠道递交的定期定额投资业务申请,或基金管理人认为适合的其他条件，基金管理人可对该部分投资者适用不同的申购费率，并及时公告。投资者办理该业务具体费率以销售机构当时有效的业务规定或相关公告为准。</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（1）扣款日期和扣款金额</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投资者办理定期定额投资业务前，须指定本人的一个人民币结算账户作为扣款账户，并经办理本业务的销售机构认可。投资者须遵循各销售机构有关扣款日期的规定，并与销售机构约定每月固定扣款金额。本基金定期定额投资每期最低扣款金额为人民币20元（含20元），各销售机构可根据需要设置等于或高于20元的最低扣款金额，具体最低扣款金额以销售机构的规定为准。 </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（2）交易确认</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业务的申购需遵循“未知价”和“金额申购”的原则，申购价格以基金申购申请日的基金份额净值为基准进行计算。基金申购申请日（T日）为本业务每月实际扣款日（如遇非基金开放日则顺延至基金下一开放日），基金份额将在T＋1工作日确认成功后直接计入投资人的基金账户内。基金份额确认查询起始日为T＋2工作日。</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（3）变更和终止</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投资者办理“定期定额投资业务”的变更和终止，须携带本人有效身份证件及相关凭证到原办理该业务网点申请办理，办理程序遵循各销售机构的规定。</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6 基金销售机构</w:t>
      </w:r>
    </w:p>
    <w:p w:rsidR="00735799" w:rsidRDefault="00735799">
      <w:pPr>
        <w:widowControl w:val="0"/>
        <w:spacing w:before="156" w:after="156"/>
        <w:jc w:val="both"/>
        <w:rPr>
          <w:rFonts w:eastAsia="Times New Roman"/>
          <w:lang w:val="en-US" w:eastAsia="zh-CN" w:bidi="ar-SA"/>
        </w:rPr>
      </w:pPr>
      <w:r>
        <w:rPr>
          <w:rFonts w:ascii="宋体" w:hAnsi="宋体" w:cs="宋体"/>
          <w:b/>
          <w:bCs/>
          <w:lang w:val="en-US" w:eastAsia="zh-CN" w:bidi="ar-SA"/>
        </w:rPr>
        <w:t>6.1 直销机构</w:t>
      </w:r>
    </w:p>
    <w:p w:rsidR="00735799" w:rsidRDefault="00735799">
      <w:pPr>
        <w:widowControl w:val="0"/>
        <w:spacing w:line="360" w:lineRule="auto"/>
        <w:ind w:firstLine="420"/>
        <w:rPr>
          <w:rFonts w:eastAsia="Times New Roman"/>
          <w:sz w:val="21"/>
          <w:szCs w:val="21"/>
          <w:lang w:val="en-US" w:eastAsia="zh-CN" w:bidi="ar-SA"/>
        </w:rPr>
      </w:pPr>
      <w:bookmarkStart w:id="25" w:name="t_2_7_2833_a1_fm1"/>
      <w:bookmarkEnd w:id="25"/>
      <w:r>
        <w:rPr>
          <w:rFonts w:ascii="宋体" w:hAnsi="宋体" w:cs="宋体"/>
          <w:sz w:val="21"/>
          <w:szCs w:val="21"/>
          <w:lang w:val="en-US" w:eastAsia="zh-CN" w:bidi="ar-SA"/>
        </w:rPr>
        <w:t xml:space="preserve">鹏华基金管理有限公司直销中心，包括本公司设在深圳、北京、上海、武汉、广州的直销中心。 </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办公地址：深圳市福田区福华三路168号深圳国际商会中心43层 </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网址：www.phfund.com</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全国统一客服务电话：400-6788-533</w:t>
      </w:r>
    </w:p>
    <w:p w:rsidR="00735799" w:rsidRDefault="00735799">
      <w:pPr>
        <w:widowControl w:val="0"/>
        <w:spacing w:before="156" w:after="156"/>
        <w:jc w:val="both"/>
        <w:rPr>
          <w:rFonts w:eastAsia="Times New Roman"/>
          <w:lang w:val="en-US" w:eastAsia="zh-CN" w:bidi="ar-SA"/>
        </w:rPr>
      </w:pPr>
      <w:r>
        <w:rPr>
          <w:rFonts w:ascii="宋体" w:hAnsi="宋体" w:cs="宋体"/>
          <w:b/>
          <w:bCs/>
          <w:lang w:val="en-US" w:eastAsia="zh-CN" w:bidi="ar-SA"/>
        </w:rPr>
        <w:t>6.2 其他销售机构</w:t>
      </w:r>
    </w:p>
    <w:p w:rsidR="00735799" w:rsidRDefault="00735799" w:rsidP="007E3D34">
      <w:pPr>
        <w:widowControl w:val="0"/>
        <w:spacing w:line="360" w:lineRule="auto"/>
        <w:ind w:leftChars="200" w:left="585" w:hangingChars="50" w:hanging="105"/>
        <w:rPr>
          <w:rFonts w:eastAsia="Times New Roman"/>
          <w:sz w:val="21"/>
          <w:szCs w:val="21"/>
          <w:lang w:val="en-US" w:eastAsia="zh-CN" w:bidi="ar-SA"/>
        </w:rPr>
      </w:pPr>
      <w:r>
        <w:rPr>
          <w:rFonts w:ascii="宋体" w:hAnsi="宋体" w:cs="宋体"/>
          <w:sz w:val="21"/>
          <w:szCs w:val="21"/>
          <w:lang w:val="en-US" w:eastAsia="zh-CN" w:bidi="ar-SA"/>
        </w:rPr>
        <w:t>1、银行销售机构:平安银行。</w:t>
      </w:r>
      <w:r>
        <w:rPr>
          <w:rFonts w:ascii="宋体" w:hAnsi="宋体" w:cs="宋体"/>
          <w:sz w:val="21"/>
          <w:szCs w:val="21"/>
          <w:lang w:val="en-US" w:eastAsia="zh-CN" w:bidi="ar-SA"/>
        </w:rPr>
        <w:br/>
        <w:t>2、证券（期货）销售机构:无。</w:t>
      </w:r>
      <w:r w:rsidR="007E3D34">
        <w:rPr>
          <w:rFonts w:ascii="宋体" w:hAnsi="宋体" w:cs="宋体"/>
          <w:sz w:val="21"/>
          <w:szCs w:val="21"/>
          <w:lang w:val="en-US" w:eastAsia="zh-CN" w:bidi="ar-SA"/>
        </w:rPr>
        <w:br/>
      </w:r>
      <w:r>
        <w:rPr>
          <w:rFonts w:ascii="宋体" w:hAnsi="宋体" w:cs="宋体"/>
          <w:sz w:val="21"/>
          <w:szCs w:val="21"/>
          <w:lang w:val="en-US" w:eastAsia="zh-CN" w:bidi="ar-SA"/>
        </w:rPr>
        <w:t>3、第三方销售机构:蚂蚁基金。</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7 基金份额净值公告/基金收益公告的披露安排</w:t>
      </w:r>
    </w:p>
    <w:p w:rsidR="00735799" w:rsidRDefault="00735799">
      <w:pPr>
        <w:widowControl w:val="0"/>
        <w:spacing w:line="360" w:lineRule="auto"/>
        <w:ind w:firstLine="420"/>
        <w:rPr>
          <w:rFonts w:eastAsia="Times New Roman"/>
          <w:sz w:val="21"/>
          <w:szCs w:val="21"/>
          <w:lang w:val="en-US" w:eastAsia="zh-CN" w:bidi="ar-SA"/>
        </w:rPr>
      </w:pPr>
      <w:bookmarkStart w:id="26" w:name="t_2_8_2756_a1_fm1"/>
      <w:bookmarkEnd w:id="26"/>
      <w:r>
        <w:rPr>
          <w:rFonts w:ascii="宋体" w:hAnsi="宋体" w:cs="宋体"/>
          <w:sz w:val="21"/>
          <w:szCs w:val="21"/>
          <w:lang w:val="en-US" w:eastAsia="zh-CN" w:bidi="ar-SA"/>
        </w:rPr>
        <w:t>在开始办理基金份额申购或者赎回后，本基金在不晚于每个开放日的次日，通过</w:t>
      </w:r>
      <w:r w:rsidR="00F02F2D">
        <w:rPr>
          <w:rFonts w:ascii="宋体" w:hAnsi="宋体" w:cs="宋体" w:hint="eastAsia"/>
          <w:sz w:val="21"/>
          <w:szCs w:val="21"/>
          <w:lang w:val="en-US" w:bidi="ar-SA"/>
        </w:rPr>
        <w:t>规</w:t>
      </w:r>
      <w:r>
        <w:rPr>
          <w:rFonts w:ascii="宋体" w:hAnsi="宋体" w:cs="宋体"/>
          <w:sz w:val="21"/>
          <w:szCs w:val="21"/>
          <w:lang w:val="en-US" w:eastAsia="zh-CN" w:bidi="ar-SA"/>
        </w:rPr>
        <w:t>定网站、基金销售机构网站或者营业网点，披露开放日的基金份额净值和基金份额累计净值。</w:t>
      </w:r>
    </w:p>
    <w:p w:rsidR="00735799" w:rsidRDefault="00735799">
      <w:pPr>
        <w:pStyle w:val="2"/>
        <w:keepLines/>
        <w:widowControl w:val="0"/>
        <w:spacing w:before="156" w:after="156"/>
        <w:rPr>
          <w:rFonts w:ascii="Times New Roman" w:eastAsia="Times New Roman" w:hAnsi="Times New Roman" w:cs="Times New Roman"/>
          <w:lang w:val="en-US" w:eastAsia="zh-CN" w:bidi="ar-SA"/>
        </w:rPr>
      </w:pPr>
      <w:r>
        <w:rPr>
          <w:rFonts w:ascii="宋体" w:hAnsi="宋体" w:cs="宋体"/>
          <w:i w:val="0"/>
          <w:iCs w:val="0"/>
          <w:sz w:val="24"/>
          <w:szCs w:val="24"/>
          <w:lang w:val="en-US" w:eastAsia="zh-CN" w:bidi="ar-SA"/>
        </w:rPr>
        <w:t>8 其他需要提示的事项</w:t>
      </w:r>
    </w:p>
    <w:p w:rsidR="00735799" w:rsidRDefault="00735799">
      <w:pPr>
        <w:pStyle w:val="MsoNormal0"/>
        <w:spacing w:line="360" w:lineRule="auto"/>
        <w:ind w:firstLine="420"/>
        <w:rPr>
          <w:rFonts w:ascii="宋体" w:hAnsi="宋体" w:cs="宋体"/>
          <w:sz w:val="21"/>
          <w:szCs w:val="21"/>
          <w:lang w:val="en-US" w:eastAsia="zh-CN" w:bidi="ar-SA"/>
        </w:rPr>
      </w:pPr>
      <w:bookmarkStart w:id="27" w:name="t_2_9_2646_a1_fm1"/>
      <w:bookmarkEnd w:id="27"/>
      <w:r>
        <w:rPr>
          <w:rFonts w:ascii="宋体" w:hAnsi="宋体" w:cs="宋体"/>
          <w:sz w:val="21"/>
          <w:szCs w:val="21"/>
          <w:lang w:val="en-US" w:eastAsia="zh-CN" w:bidi="ar-SA"/>
        </w:rPr>
        <w:t>1、对于单笔认</w:t>
      </w:r>
      <w:r>
        <w:rPr>
          <w:rFonts w:ascii="宋体" w:hAnsi="宋体" w:cs="宋体"/>
          <w:sz w:val="21"/>
          <w:szCs w:val="21"/>
          <w:lang w:bidi="ar-SA"/>
        </w:rPr>
        <w:t>/</w:t>
      </w:r>
      <w:r>
        <w:rPr>
          <w:rFonts w:ascii="宋体" w:hAnsi="宋体" w:cs="宋体"/>
          <w:sz w:val="21"/>
          <w:szCs w:val="21"/>
          <w:lang w:val="en-US" w:eastAsia="zh-CN" w:bidi="ar-SA"/>
        </w:rPr>
        <w:t>申购的基金份额，最短持有期为一年，最短持有期内基金份额持有人不能提出赎回申请，最短持有期到期日及之后基金份额持有人可以提出赎回申请。</w:t>
      </w:r>
    </w:p>
    <w:p w:rsidR="00735799" w:rsidRDefault="00735799">
      <w:pPr>
        <w:pStyle w:val="MsoNormal0"/>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基金管理人自在基金合同生效之日申购的基金份额的最短持有期到期日之日起开始办理赎回，具体业务办理时间在赎回开始公告中规定。对于每份基金份额，仅在最短持有期到期日后（含当日），基金份额持有人可就该基金份额提出赎回申请。如果投资人多次申购本基金，则其持有的每一份基金份额的最短持有期到期日可能不同。</w:t>
      </w: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本公告仅对本基金开放申购、转换转入和定期定额投资业务的有关事项予以说明。投资人欲了解本基金相关业务规则的详细情况，请阅读刊登在中国证监会规定信息披露媒介上的《鹏华年年红一年持有期债券型证券投资基金招募说明书》。</w:t>
      </w:r>
    </w:p>
    <w:p w:rsidR="00735799" w:rsidRDefault="00735799">
      <w:pPr>
        <w:widowControl w:val="0"/>
        <w:spacing w:line="360" w:lineRule="auto"/>
        <w:ind w:firstLine="420"/>
        <w:rPr>
          <w:rFonts w:eastAsia="Times New Roman"/>
          <w:sz w:val="21"/>
          <w:szCs w:val="21"/>
          <w:lang w:val="en-US" w:eastAsia="zh-CN" w:bidi="ar-SA"/>
        </w:rPr>
      </w:pPr>
    </w:p>
    <w:p w:rsidR="00735799" w:rsidRDefault="00735799">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风险提示：本基金管理人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请投资人投资本基金前认真阅读本基金的基金合同、招募说明书和基金产品资料概要</w:t>
      </w:r>
      <w:r w:rsidR="004C4EC3">
        <w:rPr>
          <w:rFonts w:ascii="宋体" w:hAnsi="宋体" w:cs="宋体" w:hint="eastAsia"/>
          <w:sz w:val="21"/>
          <w:szCs w:val="21"/>
          <w:lang w:val="en-US" w:bidi="ar-SA"/>
        </w:rPr>
        <w:t>及其</w:t>
      </w:r>
      <w:r w:rsidR="004C4EC3">
        <w:rPr>
          <w:rFonts w:ascii="宋体" w:hAnsi="宋体" w:cs="宋体"/>
          <w:sz w:val="21"/>
          <w:szCs w:val="21"/>
          <w:lang w:val="en-US" w:bidi="ar-SA"/>
        </w:rPr>
        <w:t>更新</w:t>
      </w:r>
      <w:r>
        <w:rPr>
          <w:rFonts w:ascii="宋体" w:hAnsi="宋体" w:cs="宋体"/>
          <w:sz w:val="21"/>
          <w:szCs w:val="21"/>
          <w:lang w:val="en-US" w:eastAsia="zh-CN" w:bidi="ar-SA"/>
        </w:rPr>
        <w:t>，并根据自身风险承受能力选择适合自己的基金产品。敬请投资人注意投资风险。</w:t>
      </w:r>
    </w:p>
    <w:p w:rsidR="00735799" w:rsidRDefault="00735799">
      <w:pPr>
        <w:widowControl w:val="0"/>
        <w:spacing w:line="360" w:lineRule="auto"/>
        <w:rPr>
          <w:rFonts w:eastAsia="Times New Roman"/>
          <w:sz w:val="21"/>
          <w:szCs w:val="21"/>
          <w:lang w:val="en-US" w:eastAsia="zh-CN" w:bidi="ar-SA"/>
        </w:rPr>
      </w:pPr>
    </w:p>
    <w:p w:rsidR="00735799" w:rsidRDefault="00735799">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735799" w:rsidRDefault="00735799">
      <w:pPr>
        <w:widowControl w:val="0"/>
        <w:spacing w:line="360" w:lineRule="auto"/>
        <w:ind w:firstLine="420"/>
        <w:jc w:val="right"/>
        <w:rPr>
          <w:rFonts w:eastAsia="Times New Roman"/>
          <w:sz w:val="21"/>
          <w:szCs w:val="21"/>
          <w:lang w:val="en-US" w:eastAsia="zh-CN" w:bidi="ar-SA"/>
        </w:rPr>
      </w:pPr>
      <w:r>
        <w:rPr>
          <w:rFonts w:ascii="宋体" w:hAnsi="宋体" w:cs="宋体"/>
          <w:sz w:val="21"/>
          <w:szCs w:val="21"/>
          <w:lang w:val="en-US" w:eastAsia="zh-CN" w:bidi="ar-SA"/>
        </w:rPr>
        <w:t>2021年04月15日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E0" w:rsidRDefault="001225E0" w:rsidP="00F02F2D">
      <w:r>
        <w:separator/>
      </w:r>
    </w:p>
  </w:endnote>
  <w:endnote w:type="continuationSeparator" w:id="0">
    <w:p w:rsidR="001225E0" w:rsidRDefault="001225E0" w:rsidP="00F02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E0" w:rsidRDefault="001225E0" w:rsidP="00F02F2D">
      <w:r>
        <w:separator/>
      </w:r>
    </w:p>
  </w:footnote>
  <w:footnote w:type="continuationSeparator" w:id="0">
    <w:p w:rsidR="001225E0" w:rsidRDefault="001225E0" w:rsidP="00F02F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A4475"/>
    <w:rsid w:val="001225E0"/>
    <w:rsid w:val="00260033"/>
    <w:rsid w:val="0042342A"/>
    <w:rsid w:val="004C4EC3"/>
    <w:rsid w:val="00656E19"/>
    <w:rsid w:val="00735799"/>
    <w:rsid w:val="007E3D34"/>
    <w:rsid w:val="00A77B3E"/>
    <w:rsid w:val="00CA2A55"/>
    <w:rsid w:val="00F02F2D"/>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soNormal0">
    <w:name w:val="MsoNormal"/>
    <w:basedOn w:val="a"/>
  </w:style>
  <w:style w:type="table" w:customStyle="1" w:styleId="Table">
    <w:name w:val="Table"/>
    <w:basedOn w:val="a1"/>
    <w:tblPr>
      <w:tblInd w:w="0" w:type="dxa"/>
      <w:tblCellMar>
        <w:top w:w="0" w:type="dxa"/>
        <w:left w:w="108" w:type="dxa"/>
        <w:bottom w:w="0" w:type="dxa"/>
        <w:right w:w="108" w:type="dxa"/>
      </w:tblCellMar>
    </w:tblPr>
  </w:style>
  <w:style w:type="paragraph" w:styleId="a3">
    <w:name w:val="header"/>
    <w:basedOn w:val="a"/>
    <w:link w:val="Char"/>
    <w:rsid w:val="00F02F2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02F2D"/>
    <w:rPr>
      <w:sz w:val="18"/>
      <w:szCs w:val="18"/>
    </w:rPr>
  </w:style>
  <w:style w:type="paragraph" w:styleId="a4">
    <w:name w:val="footer"/>
    <w:basedOn w:val="a"/>
    <w:link w:val="Char0"/>
    <w:rsid w:val="00F02F2D"/>
    <w:pPr>
      <w:tabs>
        <w:tab w:val="center" w:pos="4153"/>
        <w:tab w:val="right" w:pos="8306"/>
      </w:tabs>
      <w:snapToGrid w:val="0"/>
    </w:pPr>
    <w:rPr>
      <w:sz w:val="18"/>
      <w:szCs w:val="18"/>
    </w:rPr>
  </w:style>
  <w:style w:type="character" w:customStyle="1" w:styleId="Char0">
    <w:name w:val="页脚 Char"/>
    <w:link w:val="a4"/>
    <w:rsid w:val="00F02F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2021-04-14T07:10:00Z</cp:lastPrinted>
  <dcterms:created xsi:type="dcterms:W3CDTF">2021-04-14T17:29:00Z</dcterms:created>
  <dcterms:modified xsi:type="dcterms:W3CDTF">2021-04-14T17:29:00Z</dcterms:modified>
</cp:coreProperties>
</file>