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63" w:rsidRDefault="00452063">
      <w:pPr>
        <w:widowControl w:val="0"/>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鹏华基金管理有限公司关于旗下部分基金参与宁波银行股份有限公司申购（不含定期定额投资）费率优惠活动的公告</w:t>
      </w:r>
    </w:p>
    <w:p w:rsidR="00452063" w:rsidRDefault="00452063">
      <w:pPr>
        <w:widowControl w:val="0"/>
        <w:jc w:val="both"/>
        <w:rPr>
          <w:rFonts w:eastAsia="Times New Roman"/>
          <w:sz w:val="21"/>
          <w:szCs w:val="21"/>
          <w:lang w:val="en-US" w:eastAsia="zh-CN" w:bidi="ar-SA"/>
        </w:rPr>
      </w:pP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宁波银行股份有限公司（以下简称“宁波银行”）协商一致，决定参加宁波银行申购（不含定期定额投资）费率优惠活动。现将有关事项公告如下：</w:t>
      </w:r>
    </w:p>
    <w:p w:rsidR="00452063" w:rsidRDefault="00452063">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通过宁波银行易管家平台申购（不含定期定额投资）本公司下述适用基金的投资者。</w:t>
      </w:r>
    </w:p>
    <w:p w:rsidR="00452063" w:rsidRDefault="00452063">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二、优惠活动时间</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本次费率优惠活动时间为2021年04月14日起，具体结束时间以宁波银行或本公司相关公告确定。</w:t>
      </w:r>
    </w:p>
    <w:p w:rsidR="00452063" w:rsidRDefault="00452063">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三、适用基金</w:t>
      </w:r>
    </w:p>
    <w:tbl>
      <w:tblPr>
        <w:tblW w:w="6658" w:type="dxa"/>
        <w:tblInd w:w="25" w:type="dxa"/>
        <w:tblCellMar>
          <w:top w:w="15" w:type="dxa"/>
          <w:left w:w="15" w:type="dxa"/>
          <w:bottom w:w="15" w:type="dxa"/>
          <w:right w:w="15" w:type="dxa"/>
        </w:tblCellMar>
        <w:tblLook w:val="04A0"/>
      </w:tblPr>
      <w:tblGrid>
        <w:gridCol w:w="1450"/>
        <w:gridCol w:w="5208"/>
      </w:tblGrid>
      <w:tr w:rsidR="00452063" w:rsidRPr="00452063" w:rsidTr="00DB4D19">
        <w:trPr>
          <w:trHeight w:val="345"/>
        </w:trPr>
        <w:tc>
          <w:tcPr>
            <w:tcW w:w="1450" w:type="dxa"/>
            <w:tcBorders>
              <w:top w:val="single" w:sz="4" w:space="0" w:color="000000"/>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rsidP="00DB4D19">
            <w:pPr>
              <w:jc w:val="center"/>
              <w:rPr>
                <w:rFonts w:ascii="宋体" w:hAnsi="宋体"/>
                <w:sz w:val="21"/>
                <w:szCs w:val="21"/>
                <w:lang w:val="en-US" w:eastAsia="zh-CN" w:bidi="ar-SA"/>
              </w:rPr>
            </w:pPr>
            <w:r w:rsidRPr="00452063">
              <w:rPr>
                <w:rFonts w:ascii="宋体" w:hAnsi="宋体" w:cs="微软雅黑"/>
                <w:b/>
                <w:bCs/>
                <w:color w:val="000000"/>
                <w:sz w:val="21"/>
                <w:szCs w:val="21"/>
                <w:lang w:val="en-US" w:eastAsia="zh-CN" w:bidi="ar-SA"/>
              </w:rPr>
              <w:t>基金代码</w:t>
            </w:r>
          </w:p>
        </w:tc>
        <w:tc>
          <w:tcPr>
            <w:tcW w:w="5208" w:type="dxa"/>
            <w:tcBorders>
              <w:top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rsidP="00DB4D19">
            <w:pPr>
              <w:jc w:val="center"/>
              <w:rPr>
                <w:rFonts w:ascii="宋体" w:hAnsi="宋体"/>
                <w:sz w:val="21"/>
                <w:szCs w:val="21"/>
                <w:lang w:val="en-US" w:eastAsia="zh-CN" w:bidi="ar-SA"/>
              </w:rPr>
            </w:pPr>
            <w:r w:rsidRPr="00452063">
              <w:rPr>
                <w:rFonts w:ascii="宋体" w:hAnsi="宋体" w:cs="微软雅黑"/>
                <w:b/>
                <w:bCs/>
                <w:sz w:val="21"/>
                <w:szCs w:val="21"/>
                <w:lang w:val="en-US" w:eastAsia="zh-CN" w:bidi="ar-SA"/>
              </w:rPr>
              <w:t>基金名称</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160615</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鹏华沪深300指数证券投资基金A类（LOF）</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160616</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鹏华中证500指数证券投资基金A类（LOF）</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206012</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鹏华价值精选股票型证券投资基金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160603</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鹏华普天收益证券投资基金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005812</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鹏华产业精选灵活配置混合型证券投资基金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009570</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鹏华匠心精选混合型证券投资基金A类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010264</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鹏华成长智选混合型证券投资基金A类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010894</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鹏华汇智优选混合型证券投资基金A类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011333</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鹏华品质优选混合型证券投资基金A类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160605</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鹏华中国50开放式证券投资基金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160610</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鹏华动力增长混合型证券投资基金(LOF)</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160611</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鹏华优质治理混合型证券投资基金(LOF)</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160613</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鹏华盛世创新混合型证券投资基金（LOF）</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206001</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鹏华弘泰灵活配置混合型证券投资基金A类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206009</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鹏华新兴产业混合型证券投资基金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206013</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鹏华宏观灵活配置混合型证券投资基金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007000</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鹏华中债1-3年国开行债券指数证券投资基金A类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008956</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鹏华中债3-5年国开行债券指数证券投资基金A类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009483</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鹏华普利债券型证券投资基金A类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lastRenderedPageBreak/>
              <w:t>160602</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鹏华普天债券投资基金A类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160608</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鹏华普天债券投资基金B类</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160612</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鹏华丰收债券型证券投资基金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160617</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鹏华丰润债券型证券投资基金（LOF）</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160618</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鹏华丰泽债券型证券投资基金(LOF)</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206008</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鹏华丰盛稳固收益债券型证券投资基金</w:t>
            </w:r>
          </w:p>
        </w:tc>
      </w:tr>
      <w:tr w:rsidR="00452063" w:rsidRPr="00452063" w:rsidTr="00DB4D19">
        <w:trPr>
          <w:trHeight w:val="345"/>
        </w:trPr>
        <w:tc>
          <w:tcPr>
            <w:tcW w:w="1450"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center"/>
            <w:hideMark/>
          </w:tcPr>
          <w:p w:rsidR="00452063" w:rsidRPr="00452063" w:rsidRDefault="00452063">
            <w:pPr>
              <w:rPr>
                <w:rFonts w:ascii="宋体" w:hAnsi="宋体"/>
                <w:sz w:val="21"/>
                <w:szCs w:val="21"/>
                <w:lang w:val="en-US" w:eastAsia="zh-CN" w:bidi="ar-SA"/>
              </w:rPr>
            </w:pPr>
            <w:r w:rsidRPr="00452063">
              <w:rPr>
                <w:rFonts w:ascii="宋体" w:hAnsi="宋体" w:cs="微软雅黑"/>
                <w:color w:val="000000"/>
                <w:sz w:val="21"/>
                <w:szCs w:val="21"/>
                <w:lang w:val="en-US" w:eastAsia="zh-CN" w:bidi="ar-SA"/>
              </w:rPr>
              <w:t>206018</w:t>
            </w:r>
          </w:p>
        </w:tc>
        <w:tc>
          <w:tcPr>
            <w:tcW w:w="5208" w:type="dxa"/>
            <w:tcBorders>
              <w:bottom w:val="single" w:sz="4" w:space="0" w:color="000000"/>
              <w:right w:val="single" w:sz="4" w:space="0" w:color="000000"/>
            </w:tcBorders>
            <w:noWrap/>
            <w:tcMar>
              <w:top w:w="20" w:type="dxa"/>
              <w:left w:w="20" w:type="dxa"/>
              <w:bottom w:w="20" w:type="dxa"/>
              <w:right w:w="20" w:type="dxa"/>
            </w:tcMar>
            <w:vAlign w:val="bottom"/>
            <w:hideMark/>
          </w:tcPr>
          <w:p w:rsidR="00452063" w:rsidRPr="00452063" w:rsidRDefault="00452063">
            <w:pPr>
              <w:rPr>
                <w:rFonts w:ascii="宋体" w:hAnsi="宋体"/>
                <w:sz w:val="21"/>
                <w:szCs w:val="21"/>
                <w:lang w:val="en-US" w:eastAsia="zh-CN" w:bidi="ar-SA"/>
              </w:rPr>
            </w:pPr>
            <w:r w:rsidRPr="00452063">
              <w:rPr>
                <w:rFonts w:ascii="宋体" w:hAnsi="宋体" w:cs="微软雅黑"/>
                <w:sz w:val="21"/>
                <w:szCs w:val="21"/>
                <w:lang w:val="en-US" w:eastAsia="zh-CN" w:bidi="ar-SA"/>
              </w:rPr>
              <w:t>鹏华产业债债券型证券投资基金</w:t>
            </w:r>
          </w:p>
        </w:tc>
      </w:tr>
    </w:tbl>
    <w:p w:rsidR="00452063" w:rsidRDefault="00452063">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四、优惠活动内容</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活动期间，投资者通过宁波银行易管家平台申购（不含定期定额投资）本公司上述适用基金的，可享受申购费率1折优惠。申购费率按笔收取固定金额的，不享受申购费率折扣优惠。</w:t>
      </w:r>
    </w:p>
    <w:p w:rsidR="00452063" w:rsidRDefault="00452063">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五、重要提示</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1、本次优惠活动内容发生调整的，以宁波银行或本公司相关公告为准；</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2、优惠活动详情请参见宁波银行的相关公告或宣传资料。投资者欲了解上述基金产品的详细情况，请仔细阅读上述基金的《基金合同》、《招募说明书》、基金产品资料概要及其更新等法律文件；</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3、宁波银行保留对本次优惠活动的解释权，本公司对于本公告享有解释权。</w:t>
      </w:r>
    </w:p>
    <w:p w:rsidR="00452063" w:rsidRDefault="00452063">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六、投资者可通过以下途径咨询有关详情</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1、宁波银行股份有限公司</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客户服务电话：95574</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网站：www.nbcb.com.cn</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客户服务电话：400-6788-533</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452063" w:rsidRDefault="00452063">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452063" w:rsidRDefault="00452063">
      <w:pPr>
        <w:widowControl w:val="0"/>
        <w:ind w:firstLine="420"/>
        <w:jc w:val="both"/>
        <w:rPr>
          <w:rFonts w:eastAsia="Times New Roman"/>
          <w:sz w:val="21"/>
          <w:szCs w:val="21"/>
          <w:lang w:val="en-US" w:eastAsia="zh-CN" w:bidi="ar-SA"/>
        </w:rPr>
      </w:pPr>
    </w:p>
    <w:p w:rsidR="00452063" w:rsidRDefault="00452063">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452063" w:rsidRDefault="00452063">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2021年04月14日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DC" w:rsidRDefault="000F4ADC" w:rsidP="000F4ADC">
      <w:r>
        <w:separator/>
      </w:r>
    </w:p>
  </w:endnote>
  <w:endnote w:type="continuationSeparator" w:id="0">
    <w:p w:rsidR="000F4ADC" w:rsidRDefault="000F4ADC" w:rsidP="000F4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DC" w:rsidRDefault="000F4ADC" w:rsidP="000F4ADC">
      <w:r>
        <w:separator/>
      </w:r>
    </w:p>
  </w:footnote>
  <w:footnote w:type="continuationSeparator" w:id="0">
    <w:p w:rsidR="000F4ADC" w:rsidRDefault="000F4ADC" w:rsidP="000F4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F4ADC"/>
    <w:rsid w:val="00452063"/>
    <w:rsid w:val="006F7479"/>
    <w:rsid w:val="00A77B3E"/>
    <w:rsid w:val="00CA2A55"/>
    <w:rsid w:val="00DB4D19"/>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0F4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4ADC"/>
    <w:rPr>
      <w:sz w:val="18"/>
      <w:szCs w:val="18"/>
    </w:rPr>
  </w:style>
  <w:style w:type="paragraph" w:styleId="a4">
    <w:name w:val="footer"/>
    <w:basedOn w:val="a"/>
    <w:link w:val="Char0"/>
    <w:rsid w:val="000F4ADC"/>
    <w:pPr>
      <w:tabs>
        <w:tab w:val="center" w:pos="4153"/>
        <w:tab w:val="right" w:pos="8306"/>
      </w:tabs>
      <w:snapToGrid w:val="0"/>
    </w:pPr>
    <w:rPr>
      <w:sz w:val="18"/>
      <w:szCs w:val="18"/>
    </w:rPr>
  </w:style>
  <w:style w:type="character" w:customStyle="1" w:styleId="Char0">
    <w:name w:val="页脚 Char"/>
    <w:basedOn w:val="a0"/>
    <w:link w:val="a4"/>
    <w:rsid w:val="000F4AD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cp:lastModifiedBy>ZHONGM</cp:lastModifiedBy>
  <cp:revision>2</cp:revision>
  <cp:lastPrinted>2021-04-13T01:00:00Z</cp:lastPrinted>
  <dcterms:created xsi:type="dcterms:W3CDTF">2021-04-13T16:29:00Z</dcterms:created>
  <dcterms:modified xsi:type="dcterms:W3CDTF">2021-04-13T16:29:00Z</dcterms:modified>
</cp:coreProperties>
</file>