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CF" w:rsidRDefault="00A82CC5">
      <w:pPr>
        <w:spacing w:line="225" w:lineRule="atLeast"/>
        <w:jc w:val="center"/>
        <w:rPr>
          <w:rFonts w:ascii="宋体" w:eastAsia="宋体" w:hAnsi="宋体" w:cs="Times New Roman"/>
          <w:b/>
          <w:bCs/>
          <w:sz w:val="28"/>
          <w:szCs w:val="28"/>
        </w:rPr>
      </w:pPr>
      <w:r>
        <w:rPr>
          <w:rFonts w:ascii="宋体" w:eastAsia="宋体" w:hAnsi="宋体" w:cs="Times New Roman" w:hint="eastAsia"/>
          <w:b/>
          <w:bCs/>
          <w:sz w:val="28"/>
          <w:szCs w:val="28"/>
        </w:rPr>
        <w:t>惠升基金管理有限责任公司关于旗下</w:t>
      </w:r>
      <w:r>
        <w:rPr>
          <w:rFonts w:ascii="宋体" w:eastAsia="宋体" w:hAnsi="宋体" w:cs="Times New Roman" w:hint="eastAsia"/>
          <w:b/>
          <w:bCs/>
          <w:sz w:val="28"/>
          <w:szCs w:val="28"/>
        </w:rPr>
        <w:t>9</w:t>
      </w:r>
      <w:r>
        <w:rPr>
          <w:rFonts w:ascii="宋体" w:eastAsia="宋体" w:hAnsi="宋体" w:cs="Times New Roman" w:hint="eastAsia"/>
          <w:b/>
          <w:bCs/>
          <w:sz w:val="28"/>
          <w:szCs w:val="28"/>
        </w:rPr>
        <w:t>只公开募集证券投资基金增加侧袋机制并相应修改法律文件的公告</w:t>
      </w:r>
      <w:bookmarkStart w:id="0" w:name="_GoBack"/>
      <w:bookmarkEnd w:id="0"/>
    </w:p>
    <w:p w:rsidR="004805CF" w:rsidRDefault="004805CF">
      <w:pPr>
        <w:adjustRightInd w:val="0"/>
        <w:spacing w:line="360" w:lineRule="auto"/>
        <w:ind w:firstLineChars="200" w:firstLine="480"/>
        <w:rPr>
          <w:rFonts w:ascii="Arial" w:eastAsia="宋体" w:hAnsi="Arial" w:cs="Arial"/>
          <w:sz w:val="24"/>
          <w:szCs w:val="20"/>
        </w:rPr>
      </w:pP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根据《中华人民共和国证券投资基金法》、《公开募集证券投资基金运作管理办法》、《公开募集证券投资基金侧袋机制指引（试行）》等法律法规的规定及各基金基金合同的约定，经与各基金基金托管人协商一致，并向中国证监会备案，惠升基金管理有限责任公司（以下简称“本公司”）旗下</w:t>
      </w:r>
      <w:r>
        <w:rPr>
          <w:rFonts w:eastAsia="宋体" w:cstheme="minorHAnsi"/>
          <w:kern w:val="0"/>
          <w:szCs w:val="21"/>
        </w:rPr>
        <w:t>9</w:t>
      </w:r>
      <w:r>
        <w:rPr>
          <w:rFonts w:eastAsia="宋体" w:cstheme="minorHAnsi" w:hint="eastAsia"/>
          <w:kern w:val="0"/>
          <w:szCs w:val="21"/>
        </w:rPr>
        <w:t>只公募基金就增加侧袋机制相关内容修订基金合同等法律文件。本次修订将自</w:t>
      </w:r>
      <w:r>
        <w:rPr>
          <w:rFonts w:eastAsia="宋体" w:cstheme="minorHAnsi" w:hint="eastAsia"/>
          <w:kern w:val="0"/>
          <w:szCs w:val="21"/>
        </w:rPr>
        <w:t>2021</w:t>
      </w:r>
      <w:r>
        <w:rPr>
          <w:rFonts w:eastAsia="宋体" w:cstheme="minorHAnsi" w:hint="eastAsia"/>
          <w:kern w:val="0"/>
          <w:szCs w:val="21"/>
        </w:rPr>
        <w:t>年</w:t>
      </w:r>
      <w:r>
        <w:rPr>
          <w:rFonts w:ascii="宋体" w:hAnsi="宋体" w:cs="Arial"/>
          <w:color w:val="000000"/>
          <w:szCs w:val="21"/>
        </w:rPr>
        <w:t>4</w:t>
      </w:r>
      <w:r>
        <w:rPr>
          <w:rFonts w:eastAsia="宋体" w:cstheme="minorHAnsi" w:hint="eastAsia"/>
          <w:kern w:val="0"/>
          <w:szCs w:val="21"/>
        </w:rPr>
        <w:t>月</w:t>
      </w:r>
      <w:r>
        <w:rPr>
          <w:rFonts w:ascii="宋体" w:hAnsi="宋体" w:cs="Arial"/>
          <w:color w:val="000000"/>
          <w:szCs w:val="21"/>
        </w:rPr>
        <w:t>13</w:t>
      </w:r>
      <w:r>
        <w:rPr>
          <w:rFonts w:eastAsia="宋体" w:cstheme="minorHAnsi" w:hint="eastAsia"/>
          <w:kern w:val="0"/>
          <w:szCs w:val="21"/>
        </w:rPr>
        <w:t>日起正式生效。现将基金合同、托管协议及招募说明书（更新）修订情况公告如下：</w:t>
      </w:r>
      <w:r>
        <w:rPr>
          <w:rFonts w:eastAsia="宋体" w:cstheme="minorHAnsi" w:hint="eastAsia"/>
          <w:kern w:val="0"/>
          <w:szCs w:val="21"/>
        </w:rPr>
        <w:t xml:space="preserve"> </w:t>
      </w:r>
    </w:p>
    <w:p w:rsidR="004805CF" w:rsidRDefault="00A82CC5">
      <w:pPr>
        <w:spacing w:line="360" w:lineRule="auto"/>
        <w:ind w:firstLineChars="200" w:firstLine="422"/>
        <w:rPr>
          <w:rFonts w:eastAsia="宋体" w:cstheme="minorHAnsi"/>
          <w:b/>
          <w:kern w:val="0"/>
          <w:szCs w:val="21"/>
        </w:rPr>
      </w:pPr>
      <w:r>
        <w:rPr>
          <w:rFonts w:eastAsia="宋体" w:cstheme="minorHAnsi" w:hint="eastAsia"/>
          <w:b/>
          <w:kern w:val="0"/>
          <w:szCs w:val="21"/>
        </w:rPr>
        <w:t>一、本次修订基金列表</w:t>
      </w:r>
      <w:r>
        <w:rPr>
          <w:rFonts w:eastAsia="宋体" w:cstheme="minorHAnsi"/>
          <w:b/>
          <w:kern w:val="0"/>
          <w:szCs w:val="21"/>
        </w:rPr>
        <w:t xml:space="preserve"> </w:t>
      </w: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792"/>
      </w:tblGrid>
      <w:tr w:rsidR="004805CF">
        <w:tc>
          <w:tcPr>
            <w:tcW w:w="988" w:type="dxa"/>
            <w:shd w:val="clear" w:color="auto" w:fill="auto"/>
            <w:vAlign w:val="center"/>
          </w:tcPr>
          <w:p w:rsidR="004805CF" w:rsidRDefault="00A82CC5">
            <w:pPr>
              <w:adjustRightInd w:val="0"/>
              <w:snapToGrid w:val="0"/>
              <w:spacing w:line="360" w:lineRule="auto"/>
              <w:jc w:val="center"/>
              <w:rPr>
                <w:rFonts w:ascii="宋体" w:eastAsia="宋体" w:hAnsi="宋体" w:cstheme="minorHAnsi"/>
                <w:b/>
                <w:kern w:val="0"/>
                <w:szCs w:val="21"/>
              </w:rPr>
            </w:pPr>
            <w:r>
              <w:rPr>
                <w:rFonts w:ascii="宋体" w:eastAsia="宋体" w:hAnsi="宋体" w:cstheme="minorHAnsi" w:hint="eastAsia"/>
                <w:b/>
                <w:kern w:val="0"/>
                <w:szCs w:val="21"/>
              </w:rPr>
              <w:t>序号</w:t>
            </w:r>
          </w:p>
        </w:tc>
        <w:tc>
          <w:tcPr>
            <w:tcW w:w="6792" w:type="dxa"/>
            <w:shd w:val="clear" w:color="auto" w:fill="auto"/>
            <w:vAlign w:val="center"/>
          </w:tcPr>
          <w:p w:rsidR="004805CF" w:rsidRDefault="00A82CC5">
            <w:pPr>
              <w:adjustRightInd w:val="0"/>
              <w:snapToGrid w:val="0"/>
              <w:spacing w:line="360" w:lineRule="auto"/>
              <w:jc w:val="center"/>
              <w:rPr>
                <w:rFonts w:ascii="宋体" w:eastAsia="宋体" w:hAnsi="宋体" w:cstheme="minorHAnsi"/>
                <w:b/>
                <w:kern w:val="0"/>
                <w:szCs w:val="21"/>
              </w:rPr>
            </w:pPr>
            <w:r>
              <w:rPr>
                <w:rFonts w:ascii="宋体" w:eastAsia="宋体" w:hAnsi="宋体" w:cstheme="minorHAnsi" w:hint="eastAsia"/>
                <w:b/>
                <w:kern w:val="0"/>
                <w:szCs w:val="21"/>
              </w:rPr>
              <w:t>基金全称</w:t>
            </w:r>
          </w:p>
        </w:tc>
      </w:tr>
      <w:tr w:rsidR="004805CF">
        <w:tc>
          <w:tcPr>
            <w:tcW w:w="988" w:type="dxa"/>
            <w:tcBorders>
              <w:top w:val="single" w:sz="4" w:space="0" w:color="auto"/>
              <w:left w:val="single" w:sz="4" w:space="0" w:color="auto"/>
              <w:bottom w:val="single" w:sz="4" w:space="0" w:color="auto"/>
              <w:right w:val="single" w:sz="4" w:space="0" w:color="auto"/>
            </w:tcBorders>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color w:val="000000"/>
                <w:szCs w:val="21"/>
              </w:rPr>
              <w:t>1</w:t>
            </w:r>
          </w:p>
        </w:tc>
        <w:tc>
          <w:tcPr>
            <w:tcW w:w="6792" w:type="dxa"/>
            <w:tcBorders>
              <w:top w:val="single" w:sz="4" w:space="0" w:color="auto"/>
              <w:left w:val="single" w:sz="4" w:space="0" w:color="auto"/>
              <w:bottom w:val="single" w:sz="4" w:space="0" w:color="auto"/>
              <w:right w:val="single" w:sz="4" w:space="0" w:color="auto"/>
            </w:tcBorders>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惠升和风纯债债券型证券投资基金</w:t>
            </w:r>
          </w:p>
        </w:tc>
      </w:tr>
      <w:tr w:rsidR="004805CF">
        <w:tc>
          <w:tcPr>
            <w:tcW w:w="988" w:type="dxa"/>
            <w:tcBorders>
              <w:top w:val="single" w:sz="4" w:space="0" w:color="auto"/>
              <w:left w:val="single" w:sz="4" w:space="0" w:color="auto"/>
              <w:bottom w:val="single" w:sz="4" w:space="0" w:color="auto"/>
              <w:right w:val="single" w:sz="4" w:space="0" w:color="auto"/>
            </w:tcBorders>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hint="eastAsia"/>
                <w:color w:val="000000"/>
                <w:szCs w:val="21"/>
              </w:rPr>
              <w:t>2</w:t>
            </w:r>
          </w:p>
        </w:tc>
        <w:tc>
          <w:tcPr>
            <w:tcW w:w="6792" w:type="dxa"/>
            <w:tcBorders>
              <w:top w:val="single" w:sz="4" w:space="0" w:color="auto"/>
              <w:left w:val="single" w:sz="4" w:space="0" w:color="auto"/>
              <w:bottom w:val="single" w:sz="4" w:space="0" w:color="auto"/>
              <w:right w:val="single" w:sz="4" w:space="0" w:color="auto"/>
            </w:tcBorders>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惠升和裕纯债债券型证券投资基金</w:t>
            </w:r>
          </w:p>
        </w:tc>
      </w:tr>
      <w:tr w:rsidR="004805CF">
        <w:tc>
          <w:tcPr>
            <w:tcW w:w="988" w:type="dxa"/>
            <w:tcBorders>
              <w:top w:val="single" w:sz="4" w:space="0" w:color="auto"/>
              <w:left w:val="single" w:sz="4" w:space="0" w:color="auto"/>
              <w:bottom w:val="single" w:sz="4" w:space="0" w:color="auto"/>
              <w:right w:val="single" w:sz="4" w:space="0" w:color="auto"/>
            </w:tcBorders>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hint="eastAsia"/>
                <w:color w:val="000000"/>
                <w:szCs w:val="21"/>
              </w:rPr>
              <w:t>3</w:t>
            </w:r>
          </w:p>
        </w:tc>
        <w:tc>
          <w:tcPr>
            <w:tcW w:w="6792" w:type="dxa"/>
            <w:tcBorders>
              <w:top w:val="single" w:sz="4" w:space="0" w:color="auto"/>
              <w:left w:val="single" w:sz="4" w:space="0" w:color="auto"/>
              <w:bottom w:val="single" w:sz="4" w:space="0" w:color="auto"/>
              <w:right w:val="single" w:sz="4" w:space="0" w:color="auto"/>
            </w:tcBorders>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惠升和悦债券型证券投资基金</w:t>
            </w:r>
          </w:p>
        </w:tc>
      </w:tr>
      <w:tr w:rsidR="004805CF">
        <w:tc>
          <w:tcPr>
            <w:tcW w:w="988" w:type="dxa"/>
            <w:tcBorders>
              <w:top w:val="single" w:sz="4" w:space="0" w:color="auto"/>
              <w:left w:val="single" w:sz="4" w:space="0" w:color="auto"/>
              <w:bottom w:val="single" w:sz="4" w:space="0" w:color="auto"/>
              <w:right w:val="single" w:sz="4" w:space="0" w:color="auto"/>
            </w:tcBorders>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hint="eastAsia"/>
                <w:color w:val="000000"/>
                <w:szCs w:val="21"/>
              </w:rPr>
              <w:t>4</w:t>
            </w:r>
          </w:p>
        </w:tc>
        <w:tc>
          <w:tcPr>
            <w:tcW w:w="6792" w:type="dxa"/>
            <w:tcBorders>
              <w:top w:val="single" w:sz="4" w:space="0" w:color="auto"/>
              <w:left w:val="single" w:sz="4" w:space="0" w:color="auto"/>
              <w:bottom w:val="single" w:sz="4" w:space="0" w:color="auto"/>
              <w:right w:val="single" w:sz="4" w:space="0" w:color="auto"/>
            </w:tcBorders>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惠升和煦</w:t>
            </w:r>
            <w:r>
              <w:rPr>
                <w:rFonts w:hint="eastAsia"/>
              </w:rPr>
              <w:t>88</w:t>
            </w:r>
            <w:r>
              <w:rPr>
                <w:rFonts w:hint="eastAsia"/>
              </w:rPr>
              <w:t>个月定期开放债券型证券投资基金</w:t>
            </w:r>
          </w:p>
        </w:tc>
      </w:tr>
      <w:tr w:rsidR="004805CF">
        <w:tc>
          <w:tcPr>
            <w:tcW w:w="988" w:type="dxa"/>
            <w:shd w:val="clear" w:color="auto" w:fill="auto"/>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cstheme="minorHAnsi" w:hint="eastAsia"/>
                <w:kern w:val="0"/>
                <w:szCs w:val="21"/>
              </w:rPr>
              <w:t>5</w:t>
            </w:r>
          </w:p>
        </w:tc>
        <w:tc>
          <w:tcPr>
            <w:tcW w:w="6792" w:type="dxa"/>
            <w:tcBorders>
              <w:top w:val="single" w:sz="4" w:space="0" w:color="auto"/>
              <w:left w:val="single" w:sz="4" w:space="0" w:color="auto"/>
              <w:bottom w:val="single" w:sz="4" w:space="0" w:color="auto"/>
              <w:right w:val="single" w:sz="4" w:space="0" w:color="auto"/>
            </w:tcBorders>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惠升惠泽灵活配置混合型发起式证券投资基金</w:t>
            </w:r>
          </w:p>
        </w:tc>
      </w:tr>
      <w:tr w:rsidR="004805CF">
        <w:tc>
          <w:tcPr>
            <w:tcW w:w="988" w:type="dxa"/>
            <w:shd w:val="clear" w:color="auto" w:fill="auto"/>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cstheme="minorHAnsi" w:hint="eastAsia"/>
                <w:kern w:val="0"/>
                <w:szCs w:val="21"/>
              </w:rPr>
              <w:t>6</w:t>
            </w:r>
          </w:p>
        </w:tc>
        <w:tc>
          <w:tcPr>
            <w:tcW w:w="6792" w:type="dxa"/>
            <w:tcBorders>
              <w:top w:val="single" w:sz="4" w:space="0" w:color="auto"/>
              <w:left w:val="single" w:sz="4" w:space="0" w:color="auto"/>
              <w:bottom w:val="single" w:sz="4" w:space="0" w:color="auto"/>
              <w:right w:val="single" w:sz="4" w:space="0" w:color="auto"/>
            </w:tcBorders>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惠升惠新灵活配置混合型证券投资基金</w:t>
            </w:r>
          </w:p>
        </w:tc>
      </w:tr>
      <w:tr w:rsidR="004805CF">
        <w:tc>
          <w:tcPr>
            <w:tcW w:w="988" w:type="dxa"/>
            <w:shd w:val="clear" w:color="auto" w:fill="auto"/>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cstheme="minorHAnsi" w:hint="eastAsia"/>
                <w:kern w:val="0"/>
                <w:szCs w:val="21"/>
              </w:rPr>
              <w:t>7</w:t>
            </w:r>
          </w:p>
        </w:tc>
        <w:tc>
          <w:tcPr>
            <w:tcW w:w="6792" w:type="dxa"/>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惠升惠民混合型证券投资基金</w:t>
            </w:r>
          </w:p>
        </w:tc>
      </w:tr>
      <w:tr w:rsidR="004805CF">
        <w:tc>
          <w:tcPr>
            <w:tcW w:w="988" w:type="dxa"/>
            <w:shd w:val="clear" w:color="auto" w:fill="auto"/>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cstheme="minorHAnsi" w:hint="eastAsia"/>
                <w:kern w:val="0"/>
                <w:szCs w:val="21"/>
              </w:rPr>
              <w:t>8</w:t>
            </w:r>
          </w:p>
        </w:tc>
        <w:tc>
          <w:tcPr>
            <w:tcW w:w="6792" w:type="dxa"/>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惠升惠兴混合型证券投资基金</w:t>
            </w:r>
          </w:p>
        </w:tc>
      </w:tr>
      <w:tr w:rsidR="004805CF">
        <w:tc>
          <w:tcPr>
            <w:tcW w:w="988" w:type="dxa"/>
            <w:shd w:val="clear" w:color="auto" w:fill="auto"/>
            <w:noWrap/>
            <w:vAlign w:val="center"/>
          </w:tcPr>
          <w:p w:rsidR="004805CF" w:rsidRDefault="00A82CC5">
            <w:pPr>
              <w:adjustRightInd w:val="0"/>
              <w:snapToGrid w:val="0"/>
              <w:spacing w:line="360" w:lineRule="auto"/>
              <w:jc w:val="center"/>
              <w:rPr>
                <w:rFonts w:ascii="宋体" w:eastAsia="宋体" w:hAnsi="宋体" w:cstheme="minorHAnsi"/>
                <w:kern w:val="0"/>
                <w:szCs w:val="21"/>
              </w:rPr>
            </w:pPr>
            <w:r>
              <w:rPr>
                <w:rFonts w:ascii="宋体" w:eastAsia="宋体" w:hAnsi="宋体" w:cstheme="minorHAnsi" w:hint="eastAsia"/>
                <w:kern w:val="0"/>
                <w:szCs w:val="21"/>
              </w:rPr>
              <w:t>9</w:t>
            </w:r>
          </w:p>
        </w:tc>
        <w:tc>
          <w:tcPr>
            <w:tcW w:w="6792" w:type="dxa"/>
            <w:shd w:val="clear" w:color="auto" w:fill="auto"/>
            <w:noWrap/>
          </w:tcPr>
          <w:p w:rsidR="004805CF" w:rsidRDefault="00A82CC5">
            <w:pPr>
              <w:adjustRightInd w:val="0"/>
              <w:snapToGrid w:val="0"/>
              <w:spacing w:line="360" w:lineRule="auto"/>
              <w:jc w:val="left"/>
              <w:rPr>
                <w:rFonts w:ascii="宋体" w:eastAsia="宋体" w:hAnsi="宋体" w:cstheme="minorHAnsi"/>
                <w:kern w:val="0"/>
                <w:szCs w:val="21"/>
              </w:rPr>
            </w:pPr>
            <w:r>
              <w:rPr>
                <w:rFonts w:hint="eastAsia"/>
              </w:rPr>
              <w:t>惠升医药健康</w:t>
            </w:r>
            <w:r>
              <w:rPr>
                <w:rFonts w:hint="eastAsia"/>
              </w:rPr>
              <w:t>6</w:t>
            </w:r>
            <w:r>
              <w:rPr>
                <w:rFonts w:hint="eastAsia"/>
              </w:rPr>
              <w:t>个月持有期混合型证券投资基金</w:t>
            </w:r>
          </w:p>
        </w:tc>
      </w:tr>
    </w:tbl>
    <w:p w:rsidR="004805CF" w:rsidRDefault="004805CF">
      <w:pPr>
        <w:spacing w:line="360" w:lineRule="auto"/>
        <w:ind w:firstLineChars="200" w:firstLine="422"/>
        <w:rPr>
          <w:rFonts w:eastAsia="宋体" w:cstheme="minorHAnsi"/>
          <w:b/>
          <w:kern w:val="0"/>
          <w:szCs w:val="21"/>
        </w:rPr>
      </w:pPr>
    </w:p>
    <w:p w:rsidR="004805CF" w:rsidRDefault="00A82CC5">
      <w:pPr>
        <w:spacing w:line="360" w:lineRule="auto"/>
        <w:ind w:firstLineChars="200" w:firstLine="422"/>
        <w:rPr>
          <w:rFonts w:eastAsia="宋体" w:cstheme="minorHAnsi"/>
          <w:b/>
          <w:kern w:val="0"/>
          <w:szCs w:val="21"/>
        </w:rPr>
      </w:pPr>
      <w:r>
        <w:rPr>
          <w:rFonts w:eastAsia="宋体" w:cstheme="minorHAnsi" w:hint="eastAsia"/>
          <w:b/>
          <w:kern w:val="0"/>
          <w:szCs w:val="21"/>
        </w:rPr>
        <w:t>二、基金合同、托管协议及招募说明书（更新）修订方案</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（一）基金合同修订内容</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1</w:t>
      </w:r>
      <w:r>
        <w:rPr>
          <w:rFonts w:asciiTheme="minorEastAsia" w:hAnsiTheme="minorEastAsia" w:hint="eastAsia"/>
          <w:color w:val="000000"/>
          <w:szCs w:val="21"/>
        </w:rPr>
        <w:t>、“前言”章节</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增加</w:t>
      </w:r>
      <w:r>
        <w:rPr>
          <w:rFonts w:asciiTheme="minorEastAsia" w:hAnsiTheme="minorEastAsia" w:hint="eastAsia"/>
          <w:color w:val="000000"/>
          <w:szCs w:val="21"/>
        </w:rPr>
        <w:t>：“</w:t>
      </w:r>
      <w:r>
        <w:rPr>
          <w:rFonts w:asciiTheme="minorEastAsia" w:hAnsiTheme="minorEastAsia" w:hint="eastAsia"/>
          <w:b/>
          <w:color w:val="000000"/>
          <w:szCs w:val="21"/>
          <w:u w:val="single"/>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并删除</w:t>
      </w:r>
      <w:r>
        <w:rPr>
          <w:rFonts w:asciiTheme="minorEastAsia" w:hAnsiTheme="minorEastAsia" w:hint="eastAsia"/>
          <w:color w:val="000000"/>
          <w:szCs w:val="21"/>
        </w:rPr>
        <w:t>：“</w:t>
      </w:r>
      <w:r>
        <w:rPr>
          <w:rFonts w:asciiTheme="minorEastAsia" w:hAnsiTheme="minorEastAsia" w:hint="eastAsia"/>
          <w:b/>
          <w:strike/>
          <w:color w:val="000000"/>
          <w:szCs w:val="21"/>
        </w:rPr>
        <w:t>本基金合同约定的基金产品资料概要编制、披露与更新要求，自《信息披露办法》实施之日起一年后开始执行。</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lastRenderedPageBreak/>
        <w:t>2</w:t>
      </w:r>
      <w:r>
        <w:rPr>
          <w:rFonts w:asciiTheme="minorEastAsia" w:hAnsiTheme="minorEastAsia" w:hint="eastAsia"/>
          <w:color w:val="000000"/>
          <w:szCs w:val="21"/>
        </w:rPr>
        <w:t>、“释义”章节</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增加</w:t>
      </w:r>
      <w:r>
        <w:rPr>
          <w:rFonts w:asciiTheme="minorEastAsia" w:hAnsiTheme="minorEastAsia" w:hint="eastAsia"/>
          <w:color w:val="000000"/>
          <w:szCs w:val="21"/>
        </w:rPr>
        <w:t>：“</w:t>
      </w:r>
      <w:r>
        <w:rPr>
          <w:rFonts w:asciiTheme="minorEastAsia" w:hAnsiTheme="minorEastAsia" w:hint="eastAsia"/>
          <w:b/>
          <w:color w:val="000000"/>
          <w:szCs w:val="21"/>
          <w:u w:val="single"/>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特定资产：包括：（</w:t>
      </w:r>
      <w:r>
        <w:rPr>
          <w:rFonts w:asciiTheme="minorEastAsia" w:hAnsiTheme="minorEastAsia" w:hint="eastAsia"/>
          <w:b/>
          <w:color w:val="000000"/>
          <w:szCs w:val="21"/>
          <w:u w:val="single"/>
        </w:rPr>
        <w:t>1</w:t>
      </w:r>
      <w:r>
        <w:rPr>
          <w:rFonts w:asciiTheme="minorEastAsia" w:hAnsiTheme="minorEastAsia" w:hint="eastAsia"/>
          <w:b/>
          <w:color w:val="000000"/>
          <w:szCs w:val="21"/>
          <w:u w:val="single"/>
        </w:rPr>
        <w:t>）无可参考的活跃市场价格且采用估值技术仍导致公允价值存在重大不确定性的资产；（</w:t>
      </w:r>
      <w:r>
        <w:rPr>
          <w:rFonts w:asciiTheme="minorEastAsia" w:hAnsiTheme="minorEastAsia" w:hint="eastAsia"/>
          <w:b/>
          <w:color w:val="000000"/>
          <w:szCs w:val="21"/>
          <w:u w:val="single"/>
        </w:rPr>
        <w:t>2</w:t>
      </w:r>
      <w:r>
        <w:rPr>
          <w:rFonts w:asciiTheme="minorEastAsia" w:hAnsiTheme="minorEastAsia" w:hint="eastAsia"/>
          <w:b/>
          <w:color w:val="000000"/>
          <w:szCs w:val="21"/>
          <w:u w:val="single"/>
        </w:rPr>
        <w:t>）按摊余成本计量且计提资产减值准备仍导致资产价值存在重大不确定性的资产；（</w:t>
      </w:r>
      <w:r>
        <w:rPr>
          <w:rFonts w:asciiTheme="minorEastAsia" w:hAnsiTheme="minorEastAsia" w:hint="eastAsia"/>
          <w:b/>
          <w:color w:val="000000"/>
          <w:szCs w:val="21"/>
          <w:u w:val="single"/>
        </w:rPr>
        <w:t>3</w:t>
      </w:r>
      <w:r>
        <w:rPr>
          <w:rFonts w:asciiTheme="minorEastAsia" w:hAnsiTheme="minorEastAsia" w:hint="eastAsia"/>
          <w:b/>
          <w:color w:val="000000"/>
          <w:szCs w:val="21"/>
          <w:u w:val="single"/>
        </w:rPr>
        <w:t>）其他资产价值存在重大不确定性的资产</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3</w:t>
      </w:r>
      <w:r>
        <w:rPr>
          <w:rFonts w:asciiTheme="minorEastAsia" w:hAnsiTheme="minorEastAsia" w:hint="eastAsia"/>
          <w:color w:val="000000"/>
          <w:szCs w:val="21"/>
        </w:rPr>
        <w:t>、“基金份额的申购与赎回”章节</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hint="eastAsia"/>
          <w:color w:val="000000"/>
          <w:szCs w:val="21"/>
        </w:rPr>
        <w:t>增加：“</w:t>
      </w:r>
      <w:r>
        <w:rPr>
          <w:rFonts w:asciiTheme="minorEastAsia" w:hAnsiTheme="minorEastAsia" w:hint="eastAsia"/>
          <w:b/>
          <w:color w:val="000000"/>
          <w:szCs w:val="21"/>
          <w:u w:val="single"/>
        </w:rPr>
        <w:t>实施侧袋机制</w:t>
      </w:r>
      <w:r>
        <w:rPr>
          <w:rFonts w:asciiTheme="minorEastAsia" w:hAnsiTheme="minorEastAsia" w:hint="eastAsia"/>
          <w:b/>
          <w:color w:val="000000"/>
          <w:szCs w:val="21"/>
          <w:u w:val="single"/>
        </w:rPr>
        <w:t>期间本基金的申购与赎回</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本基金实施侧袋机制的，本基金的申购和赎回安排详见招募说明书或相关公告。</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4</w:t>
      </w:r>
      <w:r>
        <w:rPr>
          <w:rFonts w:asciiTheme="minorEastAsia" w:hAnsiTheme="minorEastAsia" w:hint="eastAsia"/>
          <w:color w:val="000000"/>
          <w:szCs w:val="21"/>
        </w:rPr>
        <w:t>、“基金合同当事人及权利义务”章节</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完善表述：“</w:t>
      </w:r>
      <w:r>
        <w:rPr>
          <w:rFonts w:asciiTheme="minorEastAsia" w:hAnsiTheme="minorEastAsia" w:hint="eastAsia"/>
          <w:b/>
          <w:color w:val="000000"/>
          <w:szCs w:val="21"/>
          <w:u w:val="single"/>
        </w:rPr>
        <w:t>除法律法规另有规定或本基金合同另有约定外，</w:t>
      </w:r>
      <w:r>
        <w:rPr>
          <w:rFonts w:asciiTheme="minorEastAsia" w:hAnsiTheme="minorEastAsia" w:hint="eastAsia"/>
          <w:color w:val="000000"/>
          <w:szCs w:val="21"/>
        </w:rPr>
        <w:t>同一类别每份基金份额具有同等的合法权益。”</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5</w:t>
      </w:r>
      <w:r>
        <w:rPr>
          <w:rFonts w:asciiTheme="minorEastAsia" w:hAnsiTheme="minorEastAsia" w:hint="eastAsia"/>
          <w:color w:val="000000"/>
          <w:szCs w:val="21"/>
        </w:rPr>
        <w:t>、“基金份额持有人大会”章节</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完善表述：“</w:t>
      </w:r>
      <w:r>
        <w:rPr>
          <w:rFonts w:asciiTheme="minorEastAsia" w:hAnsiTheme="minorEastAsia" w:hint="eastAsia"/>
          <w:b/>
          <w:color w:val="000000"/>
          <w:szCs w:val="21"/>
          <w:u w:val="single"/>
        </w:rPr>
        <w:t>除法律法规另有规定或本基金合同另有约定外，</w:t>
      </w:r>
      <w:r>
        <w:rPr>
          <w:rFonts w:asciiTheme="minorEastAsia" w:hAnsiTheme="minorEastAsia" w:hint="eastAsia"/>
          <w:color w:val="000000"/>
          <w:szCs w:val="21"/>
        </w:rPr>
        <w:t>基金份额持有人持有的每一基金份额拥有平等的投票权。基金份额持有人大会不设立日常机构。”</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并增加</w:t>
      </w:r>
      <w:r>
        <w:rPr>
          <w:rFonts w:asciiTheme="minorEastAsia" w:hAnsiTheme="minorEastAsia" w:hint="eastAsia"/>
          <w:color w:val="000000"/>
          <w:szCs w:val="21"/>
        </w:rPr>
        <w:t>：“</w:t>
      </w:r>
      <w:r>
        <w:rPr>
          <w:rFonts w:asciiTheme="minorEastAsia" w:hAnsiTheme="minorEastAsia" w:hint="eastAsia"/>
          <w:b/>
          <w:color w:val="000000"/>
          <w:szCs w:val="21"/>
          <w:u w:val="single"/>
        </w:rPr>
        <w:t>实施侧袋机制期间基金份额持有人大会的特殊约定</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若本基金实施侧袋机制，则相关基金份额或表决权的比</w:t>
      </w:r>
      <w:r>
        <w:rPr>
          <w:rFonts w:asciiTheme="minorEastAsia" w:hAnsiTheme="minorEastAsia" w:hint="eastAsia"/>
          <w:b/>
          <w:color w:val="000000"/>
          <w:szCs w:val="21"/>
          <w:u w:val="single"/>
        </w:rPr>
        <w:t>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1</w:t>
      </w:r>
      <w:r>
        <w:rPr>
          <w:rFonts w:asciiTheme="minorEastAsia" w:hAnsiTheme="minorEastAsia" w:hint="eastAsia"/>
          <w:b/>
          <w:color w:val="000000"/>
          <w:szCs w:val="21"/>
          <w:u w:val="single"/>
        </w:rPr>
        <w:t>、基金份额持有人行使提议权、召集权、提名权所需单独或合计代表相关基金份额</w:t>
      </w:r>
      <w:r>
        <w:rPr>
          <w:rFonts w:asciiTheme="minorEastAsia" w:hAnsiTheme="minorEastAsia" w:hint="eastAsia"/>
          <w:b/>
          <w:color w:val="000000"/>
          <w:szCs w:val="21"/>
          <w:u w:val="single"/>
        </w:rPr>
        <w:t>10%</w:t>
      </w:r>
      <w:r>
        <w:rPr>
          <w:rFonts w:asciiTheme="minorEastAsia" w:hAnsiTheme="minorEastAsia" w:hint="eastAsia"/>
          <w:b/>
          <w:color w:val="000000"/>
          <w:szCs w:val="21"/>
          <w:u w:val="single"/>
        </w:rPr>
        <w:t>以上（含</w:t>
      </w:r>
      <w:r>
        <w:rPr>
          <w:rFonts w:asciiTheme="minorEastAsia" w:hAnsiTheme="minorEastAsia" w:hint="eastAsia"/>
          <w:b/>
          <w:color w:val="000000"/>
          <w:szCs w:val="21"/>
          <w:u w:val="single"/>
        </w:rPr>
        <w:t>10%</w:t>
      </w:r>
      <w:r>
        <w:rPr>
          <w:rFonts w:asciiTheme="minorEastAsia" w:hAnsiTheme="minorEastAsia" w:hint="eastAsia"/>
          <w:b/>
          <w:color w:val="000000"/>
          <w:szCs w:val="21"/>
          <w:u w:val="single"/>
        </w:rPr>
        <w:t>）；</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2</w:t>
      </w:r>
      <w:r>
        <w:rPr>
          <w:rFonts w:asciiTheme="minorEastAsia" w:hAnsiTheme="minorEastAsia" w:hint="eastAsia"/>
          <w:b/>
          <w:color w:val="000000"/>
          <w:szCs w:val="21"/>
          <w:u w:val="single"/>
        </w:rPr>
        <w:t>、现场开会的到会者在权益登记日代表的基金份额不少于本基金在权益登记日相关基金份额的二分之一（含二分之一）；</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3</w:t>
      </w:r>
      <w:r>
        <w:rPr>
          <w:rFonts w:asciiTheme="minorEastAsia" w:hAnsiTheme="minorEastAsia" w:hint="eastAsia"/>
          <w:b/>
          <w:color w:val="000000"/>
          <w:szCs w:val="21"/>
          <w:u w:val="single"/>
        </w:rPr>
        <w:t>、通讯开会的直接出具表决意见或授权他人代表出具表决意见的基金份额持有人所持有的基金份额不小于在权益</w:t>
      </w:r>
      <w:r>
        <w:rPr>
          <w:rFonts w:asciiTheme="minorEastAsia" w:hAnsiTheme="minorEastAsia" w:hint="eastAsia"/>
          <w:b/>
          <w:color w:val="000000"/>
          <w:szCs w:val="21"/>
          <w:u w:val="single"/>
        </w:rPr>
        <w:t>登记日相关基金份额的二分之一（含二分之一）；</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4</w:t>
      </w:r>
      <w:r>
        <w:rPr>
          <w:rFonts w:asciiTheme="minorEastAsia" w:hAnsiTheme="minorEastAsia" w:hint="eastAsia"/>
          <w:b/>
          <w:color w:val="000000"/>
          <w:szCs w:val="21"/>
          <w:u w:val="single"/>
        </w:rPr>
        <w:t>、当参与基金份额持有人大会投票的基金份额持有人所持有的基金份额小于在权益登记日相关基金份额的二分之一，召集人在原公告的基金份额持有人大会召开时间的</w:t>
      </w:r>
      <w:r>
        <w:rPr>
          <w:rFonts w:asciiTheme="minorEastAsia" w:hAnsiTheme="minorEastAsia" w:hint="eastAsia"/>
          <w:b/>
          <w:color w:val="000000"/>
          <w:szCs w:val="21"/>
          <w:u w:val="single"/>
        </w:rPr>
        <w:t>3</w:t>
      </w:r>
      <w:r>
        <w:rPr>
          <w:rFonts w:asciiTheme="minorEastAsia" w:hAnsiTheme="minorEastAsia" w:hint="eastAsia"/>
          <w:b/>
          <w:color w:val="000000"/>
          <w:szCs w:val="21"/>
          <w:u w:val="single"/>
        </w:rPr>
        <w:t>个月以后、</w:t>
      </w:r>
      <w:r>
        <w:rPr>
          <w:rFonts w:asciiTheme="minorEastAsia" w:hAnsiTheme="minorEastAsia" w:hint="eastAsia"/>
          <w:b/>
          <w:color w:val="000000"/>
          <w:szCs w:val="21"/>
          <w:u w:val="single"/>
        </w:rPr>
        <w:t>6</w:t>
      </w:r>
      <w:r>
        <w:rPr>
          <w:rFonts w:asciiTheme="minorEastAsia" w:hAnsiTheme="minorEastAsia" w:hint="eastAsia"/>
          <w:b/>
          <w:color w:val="000000"/>
          <w:szCs w:val="21"/>
          <w:u w:val="single"/>
        </w:rPr>
        <w:t>个月以内就原定审议事项重新召集的基金份额持有人大会应当有代表三分之一以上</w:t>
      </w:r>
      <w:r>
        <w:rPr>
          <w:rFonts w:asciiTheme="minorEastAsia" w:hAnsiTheme="minorEastAsia" w:hint="eastAsia"/>
          <w:b/>
          <w:color w:val="000000"/>
          <w:szCs w:val="21"/>
          <w:u w:val="single"/>
        </w:rPr>
        <w:lastRenderedPageBreak/>
        <w:t>（含三分之一）相关基金份额的持有人参与或授权他人参与基金份额持有人大会投票；</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5</w:t>
      </w:r>
      <w:r>
        <w:rPr>
          <w:rFonts w:asciiTheme="minorEastAsia" w:hAnsiTheme="minorEastAsia" w:hint="eastAsia"/>
          <w:b/>
          <w:color w:val="000000"/>
          <w:szCs w:val="21"/>
          <w:u w:val="single"/>
        </w:rPr>
        <w:t>、现场开会由出席大会的基金份额持有人和代理人所持表决权的</w:t>
      </w:r>
      <w:r>
        <w:rPr>
          <w:rFonts w:asciiTheme="minorEastAsia" w:hAnsiTheme="minorEastAsia" w:hint="eastAsia"/>
          <w:b/>
          <w:color w:val="000000"/>
          <w:szCs w:val="21"/>
          <w:u w:val="single"/>
        </w:rPr>
        <w:t>50%</w:t>
      </w:r>
      <w:r>
        <w:rPr>
          <w:rFonts w:asciiTheme="minorEastAsia" w:hAnsiTheme="minorEastAsia" w:hint="eastAsia"/>
          <w:b/>
          <w:color w:val="000000"/>
          <w:szCs w:val="21"/>
          <w:u w:val="single"/>
        </w:rPr>
        <w:t>以上（含</w:t>
      </w:r>
      <w:r>
        <w:rPr>
          <w:rFonts w:asciiTheme="minorEastAsia" w:hAnsiTheme="minorEastAsia" w:hint="eastAsia"/>
          <w:b/>
          <w:color w:val="000000"/>
          <w:szCs w:val="21"/>
          <w:u w:val="single"/>
        </w:rPr>
        <w:t>50%</w:t>
      </w:r>
      <w:r>
        <w:rPr>
          <w:rFonts w:asciiTheme="minorEastAsia" w:hAnsiTheme="minorEastAsia" w:hint="eastAsia"/>
          <w:b/>
          <w:color w:val="000000"/>
          <w:szCs w:val="21"/>
          <w:u w:val="single"/>
        </w:rPr>
        <w:t>）选举产生一名基金份额持有人作为该次基金份额持有人大会的主持人；</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6</w:t>
      </w:r>
      <w:r>
        <w:rPr>
          <w:rFonts w:asciiTheme="minorEastAsia" w:hAnsiTheme="minorEastAsia" w:hint="eastAsia"/>
          <w:b/>
          <w:color w:val="000000"/>
          <w:szCs w:val="21"/>
          <w:u w:val="single"/>
        </w:rPr>
        <w:t>、一般决</w:t>
      </w:r>
      <w:r>
        <w:rPr>
          <w:rFonts w:asciiTheme="minorEastAsia" w:hAnsiTheme="minorEastAsia" w:hint="eastAsia"/>
          <w:b/>
          <w:color w:val="000000"/>
          <w:szCs w:val="21"/>
          <w:u w:val="single"/>
        </w:rPr>
        <w:t>议须经参加大会的基金份额持有人或其代理人所持表决权的二分之一以上（含二分之一）通过；</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7</w:t>
      </w:r>
      <w:r>
        <w:rPr>
          <w:rFonts w:asciiTheme="minorEastAsia" w:hAnsiTheme="minorEastAsia" w:hint="eastAsia"/>
          <w:b/>
          <w:color w:val="000000"/>
          <w:szCs w:val="21"/>
          <w:u w:val="single"/>
        </w:rPr>
        <w:t>、特别决议应当经参加大会的基金份额持有人或其代理人所持表决权的三分之二以上（含三分之二）通过。</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同一主侧袋账户内的每份基金份额具有平等的表决权。</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6</w:t>
      </w:r>
      <w:r>
        <w:rPr>
          <w:rFonts w:asciiTheme="minorEastAsia" w:hAnsiTheme="minorEastAsia" w:hint="eastAsia"/>
          <w:color w:val="000000"/>
          <w:szCs w:val="21"/>
        </w:rPr>
        <w:t>、“基金的投资”章节</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增加</w:t>
      </w:r>
      <w:r>
        <w:rPr>
          <w:rFonts w:asciiTheme="minorEastAsia" w:hAnsiTheme="minorEastAsia" w:hint="eastAsia"/>
          <w:color w:val="000000"/>
          <w:szCs w:val="21"/>
        </w:rPr>
        <w:t>“</w:t>
      </w:r>
      <w:r>
        <w:rPr>
          <w:rFonts w:asciiTheme="minorEastAsia" w:hAnsiTheme="minorEastAsia" w:hint="eastAsia"/>
          <w:b/>
          <w:color w:val="000000"/>
          <w:szCs w:val="21"/>
          <w:u w:val="single"/>
        </w:rPr>
        <w:t>侧袋机制的实施和投资运作安排</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4805CF" w:rsidRDefault="00A82CC5">
      <w:pPr>
        <w:adjustRightInd w:val="0"/>
        <w:spacing w:line="360" w:lineRule="auto"/>
        <w:ind w:firstLineChars="200" w:firstLine="422"/>
        <w:rPr>
          <w:rFonts w:asciiTheme="minorEastAsia" w:hAnsiTheme="minorEastAsia"/>
          <w:b/>
          <w:color w:val="000000"/>
          <w:szCs w:val="21"/>
          <w:u w:val="single"/>
        </w:rPr>
      </w:pPr>
      <w:r>
        <w:rPr>
          <w:rFonts w:asciiTheme="minorEastAsia" w:hAnsiTheme="minorEastAsia" w:hint="eastAsia"/>
          <w:b/>
          <w:color w:val="000000"/>
          <w:szCs w:val="21"/>
          <w:u w:val="single"/>
        </w:rPr>
        <w:t>侧袋机制实施期间，本部分约定的投资组合比例、投资策略、组合限制、业绩比较基准、风险收益特征等约定仅适用于主袋账户。</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侧袋账户的实施条件、实施程序、运作安排、投资安排、特定资产的处置变现和支付等对投资者权益有重大影响的事项详见招募说明书的规定。</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7</w:t>
      </w:r>
      <w:r>
        <w:rPr>
          <w:rFonts w:asciiTheme="minorEastAsia" w:hAnsiTheme="minorEastAsia" w:hint="eastAsia"/>
          <w:color w:val="000000"/>
          <w:szCs w:val="21"/>
        </w:rPr>
        <w:t>、“基金资产估值”章节</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将原表述：“当前一估值日基金资产净值</w:t>
      </w:r>
      <w:r>
        <w:rPr>
          <w:rFonts w:asciiTheme="minorEastAsia" w:hAnsiTheme="minorEastAsia" w:hint="eastAsia"/>
          <w:color w:val="000000"/>
          <w:szCs w:val="21"/>
        </w:rPr>
        <w:t>50%</w:t>
      </w:r>
      <w:r>
        <w:rPr>
          <w:rFonts w:asciiTheme="minorEastAsia" w:hAnsiTheme="minorEastAsia" w:hint="eastAsia"/>
          <w:color w:val="000000"/>
          <w:szCs w:val="21"/>
        </w:rPr>
        <w:t>以上的</w:t>
      </w:r>
      <w:r>
        <w:rPr>
          <w:rFonts w:asciiTheme="minorEastAsia" w:hAnsiTheme="minorEastAsia" w:hint="eastAsia"/>
          <w:b/>
          <w:strike/>
          <w:color w:val="000000"/>
          <w:szCs w:val="21"/>
        </w:rPr>
        <w:t>资产出现无可参考的活跃市场价格且采用估值技术仍导致公允价值存在重大不确定性时</w:t>
      </w:r>
      <w:r>
        <w:rPr>
          <w:rFonts w:asciiTheme="minorEastAsia" w:hAnsiTheme="minorEastAsia" w:hint="eastAsia"/>
          <w:color w:val="000000"/>
          <w:szCs w:val="21"/>
        </w:rPr>
        <w:t>，经与基金托管人协商确认后，基金管理人应当暂停估值；”</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修改为</w:t>
      </w:r>
      <w:r>
        <w:rPr>
          <w:rFonts w:asciiTheme="minorEastAsia" w:hAnsiTheme="minorEastAsia" w:hint="eastAsia"/>
          <w:color w:val="000000"/>
          <w:szCs w:val="21"/>
        </w:rPr>
        <w:t>：“当</w:t>
      </w:r>
      <w:r>
        <w:rPr>
          <w:rFonts w:asciiTheme="minorEastAsia" w:hAnsiTheme="minorEastAsia" w:hint="eastAsia"/>
          <w:b/>
          <w:color w:val="000000"/>
          <w:szCs w:val="21"/>
          <w:u w:val="single"/>
        </w:rPr>
        <w:t>特定资产占</w:t>
      </w:r>
      <w:r>
        <w:rPr>
          <w:rFonts w:asciiTheme="minorEastAsia" w:hAnsiTheme="minorEastAsia" w:hint="eastAsia"/>
          <w:color w:val="000000"/>
          <w:szCs w:val="21"/>
        </w:rPr>
        <w:t>前一估值日基金资产净值</w:t>
      </w:r>
      <w:r>
        <w:rPr>
          <w:rFonts w:asciiTheme="minorEastAsia" w:hAnsiTheme="minorEastAsia" w:hint="eastAsia"/>
          <w:color w:val="000000"/>
          <w:szCs w:val="21"/>
        </w:rPr>
        <w:t>50%</w:t>
      </w:r>
      <w:r>
        <w:rPr>
          <w:rFonts w:asciiTheme="minorEastAsia" w:hAnsiTheme="minorEastAsia" w:hint="eastAsia"/>
          <w:color w:val="000000"/>
          <w:szCs w:val="21"/>
        </w:rPr>
        <w:t>以上的，经与基金托管人协商确认后，基金管理人应当暂停估值；”</w:t>
      </w:r>
      <w:r>
        <w:rPr>
          <w:rFonts w:asciiTheme="minorEastAsia" w:hAnsiTheme="minorEastAsia" w:hint="eastAsia"/>
          <w:color w:val="000000"/>
          <w:szCs w:val="21"/>
        </w:rPr>
        <w:t xml:space="preserve"> </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并增加</w:t>
      </w:r>
      <w:r>
        <w:rPr>
          <w:rFonts w:asciiTheme="minorEastAsia" w:hAnsiTheme="minorEastAsia" w:hint="eastAsia"/>
          <w:color w:val="000000"/>
          <w:szCs w:val="21"/>
        </w:rPr>
        <w:t>：“</w:t>
      </w:r>
      <w:r>
        <w:rPr>
          <w:rFonts w:asciiTheme="minorEastAsia" w:hAnsiTheme="minorEastAsia" w:hint="eastAsia"/>
          <w:b/>
          <w:color w:val="000000"/>
          <w:szCs w:val="21"/>
          <w:u w:val="single"/>
        </w:rPr>
        <w:t>实施侧袋机制期间的基金资产估值</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本基金实施侧袋机制的，应根据本部分的约定对主袋账户资产进行估值并披露主袋账户的基金份额净值和基金份额累计净值，暂停披露侧袋账户份额净值。</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8</w:t>
      </w:r>
      <w:r>
        <w:rPr>
          <w:rFonts w:asciiTheme="minorEastAsia" w:hAnsiTheme="minorEastAsia" w:hint="eastAsia"/>
          <w:color w:val="000000"/>
          <w:szCs w:val="21"/>
        </w:rPr>
        <w:t>、“基金费用与税收”章节</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增加</w:t>
      </w:r>
      <w:r>
        <w:rPr>
          <w:rFonts w:asciiTheme="minorEastAsia" w:hAnsiTheme="minorEastAsia" w:hint="eastAsia"/>
          <w:color w:val="000000"/>
          <w:szCs w:val="21"/>
        </w:rPr>
        <w:t>：“</w:t>
      </w:r>
      <w:r>
        <w:rPr>
          <w:rFonts w:asciiTheme="minorEastAsia" w:hAnsiTheme="minorEastAsia" w:hint="eastAsia"/>
          <w:b/>
          <w:color w:val="000000"/>
          <w:szCs w:val="21"/>
          <w:u w:val="single"/>
        </w:rPr>
        <w:t>实施侧袋机制期间的基金费用</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本基金实施侧袋机制的，与侧袋账户有关的费用可以从侧袋账户中列支，但应待侧袋账户资产变现后方可列支，有关费用可酌情收取或减免，但不得收取管理费，详见招募说明书的规定。</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9</w:t>
      </w:r>
      <w:r>
        <w:rPr>
          <w:rFonts w:asciiTheme="minorEastAsia" w:hAnsiTheme="minorEastAsia" w:hint="eastAsia"/>
          <w:color w:val="000000"/>
          <w:szCs w:val="21"/>
        </w:rPr>
        <w:t>、“基金的收益与分配”章节</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增加</w:t>
      </w:r>
      <w:r>
        <w:rPr>
          <w:rFonts w:asciiTheme="minorEastAsia" w:hAnsiTheme="minorEastAsia" w:hint="eastAsia"/>
          <w:color w:val="000000"/>
          <w:szCs w:val="21"/>
        </w:rPr>
        <w:t>：“</w:t>
      </w:r>
      <w:r>
        <w:rPr>
          <w:rFonts w:asciiTheme="minorEastAsia" w:hAnsiTheme="minorEastAsia" w:hint="eastAsia"/>
          <w:b/>
          <w:color w:val="000000"/>
          <w:szCs w:val="21"/>
          <w:u w:val="single"/>
        </w:rPr>
        <w:t>实施侧袋机制期间的收益分配</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本基金实施侧袋机制的，侧袋账户不进行收益分配，详见招募说明书的规定。</w:t>
      </w:r>
      <w:r>
        <w:rPr>
          <w:rFonts w:asciiTheme="minorEastAsia" w:hAnsiTheme="minorEastAsia" w:hint="eastAsia"/>
          <w:color w:val="000000"/>
          <w:szCs w:val="21"/>
        </w:rPr>
        <w:t>”</w:t>
      </w:r>
    </w:p>
    <w:p w:rsidR="004805CF" w:rsidRDefault="00A82CC5">
      <w:pPr>
        <w:adjustRightInd w:val="0"/>
        <w:spacing w:line="360" w:lineRule="auto"/>
        <w:ind w:firstLineChars="200" w:firstLine="420"/>
        <w:rPr>
          <w:rFonts w:asciiTheme="minorEastAsia" w:hAnsiTheme="minorEastAsia"/>
          <w:color w:val="000000"/>
          <w:szCs w:val="21"/>
        </w:rPr>
      </w:pPr>
      <w:r>
        <w:rPr>
          <w:rFonts w:asciiTheme="minorEastAsia" w:hAnsiTheme="minorEastAsia"/>
          <w:color w:val="000000"/>
          <w:szCs w:val="21"/>
        </w:rPr>
        <w:t>10</w:t>
      </w:r>
      <w:r>
        <w:rPr>
          <w:rFonts w:asciiTheme="minorEastAsia" w:hAnsiTheme="minorEastAsia" w:hint="eastAsia"/>
          <w:color w:val="000000"/>
          <w:szCs w:val="21"/>
        </w:rPr>
        <w:t>、“基金的信息披露”章节</w:t>
      </w:r>
    </w:p>
    <w:p w:rsidR="004805CF" w:rsidRDefault="00A82CC5">
      <w:pPr>
        <w:adjustRightInd w:val="0"/>
        <w:spacing w:line="360" w:lineRule="auto"/>
        <w:ind w:firstLineChars="200" w:firstLine="420"/>
        <w:rPr>
          <w:rFonts w:asciiTheme="minorEastAsia" w:hAnsiTheme="minorEastAsia"/>
          <w:b/>
          <w:color w:val="000000"/>
          <w:szCs w:val="21"/>
          <w:u w:val="single"/>
        </w:rPr>
      </w:pPr>
      <w:r>
        <w:rPr>
          <w:rFonts w:asciiTheme="minorEastAsia" w:hAnsiTheme="minorEastAsia"/>
          <w:color w:val="000000"/>
          <w:szCs w:val="21"/>
        </w:rPr>
        <w:t>增加</w:t>
      </w:r>
      <w:r>
        <w:rPr>
          <w:rFonts w:asciiTheme="minorEastAsia" w:hAnsiTheme="minorEastAsia" w:hint="eastAsia"/>
          <w:color w:val="000000"/>
          <w:szCs w:val="21"/>
        </w:rPr>
        <w:t>：“</w:t>
      </w:r>
      <w:r>
        <w:rPr>
          <w:rFonts w:asciiTheme="minorEastAsia" w:hAnsiTheme="minorEastAsia" w:hint="eastAsia"/>
          <w:b/>
          <w:color w:val="000000"/>
          <w:szCs w:val="21"/>
          <w:u w:val="single"/>
        </w:rPr>
        <w:t>实施侧袋机制期间的信息披露</w:t>
      </w:r>
    </w:p>
    <w:p w:rsidR="004805CF" w:rsidRDefault="00A82CC5">
      <w:pPr>
        <w:adjustRightInd w:val="0"/>
        <w:spacing w:line="360" w:lineRule="auto"/>
        <w:ind w:firstLineChars="200" w:firstLine="422"/>
        <w:rPr>
          <w:rFonts w:asciiTheme="minorEastAsia" w:hAnsiTheme="minorEastAsia"/>
          <w:color w:val="000000"/>
          <w:szCs w:val="21"/>
        </w:rPr>
      </w:pPr>
      <w:r>
        <w:rPr>
          <w:rFonts w:asciiTheme="minorEastAsia" w:hAnsiTheme="minorEastAsia" w:hint="eastAsia"/>
          <w:b/>
          <w:color w:val="000000"/>
          <w:szCs w:val="21"/>
          <w:u w:val="single"/>
        </w:rPr>
        <w:t>本基金实施侧袋机制的，相关信息披露义务人应当根据法律法规、基金合同和招募说明书的规定进行信息披露，详见招募说明书</w:t>
      </w:r>
      <w:r>
        <w:rPr>
          <w:rFonts w:asciiTheme="minorEastAsia" w:hAnsiTheme="minorEastAsia" w:hint="eastAsia"/>
          <w:b/>
          <w:color w:val="000000"/>
          <w:szCs w:val="21"/>
          <w:u w:val="single"/>
        </w:rPr>
        <w:t>的规定。</w:t>
      </w:r>
      <w:r>
        <w:rPr>
          <w:rFonts w:asciiTheme="minorEastAsia" w:hAnsiTheme="minorEastAsia" w:hint="eastAsia"/>
          <w:color w:val="000000"/>
          <w:szCs w:val="21"/>
        </w:rPr>
        <w:t>”</w:t>
      </w:r>
    </w:p>
    <w:p w:rsidR="004805CF" w:rsidRDefault="004805CF">
      <w:pPr>
        <w:adjustRightInd w:val="0"/>
        <w:spacing w:line="360" w:lineRule="auto"/>
        <w:ind w:firstLineChars="200" w:firstLine="420"/>
        <w:rPr>
          <w:rFonts w:asciiTheme="minorEastAsia" w:hAnsiTheme="minorEastAsia"/>
          <w:color w:val="000000"/>
          <w:szCs w:val="21"/>
        </w:rPr>
      </w:pPr>
    </w:p>
    <w:p w:rsidR="004805CF" w:rsidRDefault="00A82CC5">
      <w:pPr>
        <w:adjustRightInd w:val="0"/>
        <w:spacing w:line="360" w:lineRule="auto"/>
        <w:ind w:firstLineChars="200" w:firstLine="420"/>
        <w:rPr>
          <w:rFonts w:asciiTheme="minorEastAsia" w:hAnsiTheme="minorEastAsia" w:cs="Arial"/>
          <w:b/>
          <w:szCs w:val="21"/>
          <w:u w:val="single"/>
        </w:rPr>
      </w:pPr>
      <w:r>
        <w:rPr>
          <w:rFonts w:asciiTheme="minorEastAsia" w:hAnsiTheme="minorEastAsia" w:hint="eastAsia"/>
          <w:color w:val="000000"/>
          <w:szCs w:val="21"/>
        </w:rPr>
        <w:t>（二）托管协议、招募说明书（更新）涉及到上述相关内容也已进行相应修订，并在招募说明书（更新）中增加基金启用侧袋机制的风险揭示内容。</w:t>
      </w:r>
    </w:p>
    <w:p w:rsidR="004805CF" w:rsidRDefault="004805CF">
      <w:pPr>
        <w:adjustRightInd w:val="0"/>
        <w:spacing w:line="360" w:lineRule="auto"/>
        <w:ind w:firstLineChars="200" w:firstLine="480"/>
        <w:rPr>
          <w:rFonts w:ascii="Arial" w:eastAsia="宋体" w:hAnsi="Arial" w:cs="Arial"/>
          <w:sz w:val="24"/>
          <w:szCs w:val="20"/>
        </w:rPr>
      </w:pPr>
    </w:p>
    <w:p w:rsidR="004805CF" w:rsidRDefault="00A82CC5">
      <w:pPr>
        <w:spacing w:line="360" w:lineRule="auto"/>
        <w:ind w:firstLineChars="200" w:firstLine="422"/>
        <w:rPr>
          <w:rFonts w:eastAsia="宋体" w:cstheme="minorHAnsi"/>
          <w:b/>
          <w:kern w:val="0"/>
          <w:szCs w:val="21"/>
        </w:rPr>
      </w:pPr>
      <w:r>
        <w:rPr>
          <w:rFonts w:eastAsia="宋体" w:cstheme="minorHAnsi" w:hint="eastAsia"/>
          <w:b/>
          <w:kern w:val="0"/>
          <w:szCs w:val="21"/>
        </w:rPr>
        <w:t>三、重要提示</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本次修订基金合同系因相应的法律法规发生变动而应当对基金合同进行修改，属于基金合同规定的基金管理人与基金托管人可以协商一致变更基金合同的事项，对基金份额持有人利益无实质性不利影响，也不涉及基金合同当事人权利义务关系发生重大变化，无需召开基金份额持有人大会，并已履行了规定的程序，符合相关法律法规及基金合同的规定。</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本次修订更新后的基金合同、托管协议将自</w:t>
      </w:r>
      <w:r>
        <w:rPr>
          <w:rFonts w:eastAsia="宋体" w:cstheme="minorHAnsi" w:hint="eastAsia"/>
          <w:kern w:val="0"/>
          <w:szCs w:val="21"/>
        </w:rPr>
        <w:t>2021</w:t>
      </w:r>
      <w:r>
        <w:rPr>
          <w:rFonts w:eastAsia="宋体" w:cstheme="minorHAnsi" w:hint="eastAsia"/>
          <w:kern w:val="0"/>
          <w:szCs w:val="21"/>
        </w:rPr>
        <w:t>年</w:t>
      </w:r>
      <w:r>
        <w:rPr>
          <w:rFonts w:ascii="宋体" w:hAnsi="宋体" w:cs="Arial"/>
          <w:color w:val="000000"/>
          <w:szCs w:val="21"/>
        </w:rPr>
        <w:t>4</w:t>
      </w:r>
      <w:r>
        <w:rPr>
          <w:rFonts w:eastAsia="宋体" w:cstheme="minorHAnsi" w:hint="eastAsia"/>
          <w:kern w:val="0"/>
          <w:szCs w:val="21"/>
        </w:rPr>
        <w:t>月</w:t>
      </w:r>
      <w:r>
        <w:rPr>
          <w:rFonts w:ascii="宋体" w:hAnsi="宋体" w:cs="Arial"/>
          <w:color w:val="000000"/>
          <w:szCs w:val="21"/>
        </w:rPr>
        <w:t>13</w:t>
      </w:r>
      <w:r>
        <w:rPr>
          <w:rFonts w:eastAsia="宋体" w:cstheme="minorHAnsi" w:hint="eastAsia"/>
          <w:kern w:val="0"/>
          <w:szCs w:val="21"/>
        </w:rPr>
        <w:t>日起生效。本公司于公告日在本公司网站上同</w:t>
      </w:r>
      <w:r>
        <w:rPr>
          <w:rFonts w:eastAsia="宋体" w:cstheme="minorHAnsi"/>
          <w:kern w:val="0"/>
          <w:szCs w:val="21"/>
        </w:rPr>
        <w:t>时</w:t>
      </w:r>
      <w:r>
        <w:rPr>
          <w:rFonts w:eastAsia="宋体" w:cstheme="minorHAnsi" w:hint="eastAsia"/>
          <w:kern w:val="0"/>
          <w:szCs w:val="21"/>
        </w:rPr>
        <w:t>公布经修改后的基金合同、托管协议；招募说明书（更新）、基金产品资料概要涉及前述内容的，将一并修改，并依照《公开募集证券投资基金信息披露管理办法》的有关规定在规定媒介上公告。</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投资者可通过以下途径咨询有关详情：</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本公司客户服务电话：</w:t>
      </w:r>
      <w:r>
        <w:rPr>
          <w:rFonts w:eastAsia="宋体" w:cstheme="minorHAnsi"/>
          <w:kern w:val="0"/>
          <w:szCs w:val="21"/>
        </w:rPr>
        <w:t>400</w:t>
      </w:r>
      <w:r>
        <w:rPr>
          <w:rFonts w:eastAsia="宋体" w:cstheme="minorHAnsi" w:hint="eastAsia"/>
          <w:kern w:val="0"/>
          <w:szCs w:val="21"/>
        </w:rPr>
        <w:t>-</w:t>
      </w:r>
      <w:r>
        <w:rPr>
          <w:rFonts w:eastAsia="宋体" w:cstheme="minorHAnsi"/>
          <w:kern w:val="0"/>
          <w:szCs w:val="21"/>
        </w:rPr>
        <w:t>000</w:t>
      </w:r>
      <w:r>
        <w:rPr>
          <w:rFonts w:eastAsia="宋体" w:cstheme="minorHAnsi" w:hint="eastAsia"/>
          <w:kern w:val="0"/>
          <w:szCs w:val="21"/>
        </w:rPr>
        <w:t>-</w:t>
      </w:r>
      <w:r>
        <w:rPr>
          <w:rFonts w:eastAsia="宋体" w:cstheme="minorHAnsi"/>
          <w:kern w:val="0"/>
          <w:szCs w:val="21"/>
        </w:rPr>
        <w:t>5588</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本公司网址：</w:t>
      </w:r>
      <w:r>
        <w:rPr>
          <w:rFonts w:eastAsia="宋体" w:cstheme="minorHAnsi"/>
          <w:kern w:val="0"/>
          <w:szCs w:val="21"/>
        </w:rPr>
        <w:t>www.risingamc.com</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本公告的解释权归惠升基金管理有限责任公司所有。</w:t>
      </w:r>
    </w:p>
    <w:p w:rsidR="004805CF" w:rsidRDefault="00A82CC5">
      <w:pPr>
        <w:spacing w:line="360" w:lineRule="auto"/>
        <w:ind w:firstLineChars="200" w:firstLine="420"/>
        <w:rPr>
          <w:rFonts w:eastAsia="宋体" w:cstheme="minorHAnsi"/>
          <w:kern w:val="0"/>
          <w:szCs w:val="21"/>
        </w:rPr>
      </w:pPr>
      <w:r>
        <w:rPr>
          <w:rFonts w:eastAsia="宋体" w:cstheme="minorHAnsi" w:hint="eastAsia"/>
          <w:kern w:val="0"/>
          <w:szCs w:val="21"/>
        </w:rPr>
        <w:t>本公告仅对本公司旗下</w:t>
      </w:r>
      <w:r>
        <w:rPr>
          <w:rFonts w:eastAsia="宋体" w:cstheme="minorHAnsi"/>
          <w:kern w:val="0"/>
          <w:szCs w:val="21"/>
        </w:rPr>
        <w:t>9</w:t>
      </w:r>
      <w:r>
        <w:rPr>
          <w:rFonts w:eastAsia="宋体" w:cstheme="minorHAnsi" w:hint="eastAsia"/>
          <w:kern w:val="0"/>
          <w:szCs w:val="21"/>
        </w:rPr>
        <w:t>只基金修改法律文件的有关事项予以说明。投资者欲了解基金的详细情况，请仔细阅读各基金基金合同、招募说明书、基金产品资料概要及相关法律文件。</w:t>
      </w:r>
    </w:p>
    <w:p w:rsidR="004805CF" w:rsidRDefault="004805CF">
      <w:pPr>
        <w:spacing w:line="360" w:lineRule="auto"/>
        <w:ind w:firstLineChars="200" w:firstLine="420"/>
        <w:rPr>
          <w:rFonts w:eastAsia="宋体" w:cstheme="minorHAnsi"/>
          <w:kern w:val="0"/>
          <w:szCs w:val="21"/>
        </w:rPr>
      </w:pPr>
    </w:p>
    <w:p w:rsidR="004805CF" w:rsidRDefault="00A82CC5">
      <w:pPr>
        <w:spacing w:line="360" w:lineRule="auto"/>
        <w:ind w:firstLineChars="200" w:firstLine="422"/>
        <w:rPr>
          <w:rFonts w:eastAsia="宋体" w:cstheme="minorHAnsi"/>
          <w:b/>
          <w:kern w:val="0"/>
          <w:szCs w:val="21"/>
        </w:rPr>
      </w:pPr>
      <w:r>
        <w:rPr>
          <w:rFonts w:eastAsia="宋体" w:cstheme="minorHAnsi" w:hint="eastAsia"/>
          <w:b/>
          <w:kern w:val="0"/>
          <w:szCs w:val="21"/>
        </w:rPr>
        <w:t>风险提示：</w:t>
      </w:r>
    </w:p>
    <w:p w:rsidR="004805CF" w:rsidRDefault="00A82CC5">
      <w:pPr>
        <w:spacing w:line="360" w:lineRule="auto"/>
        <w:ind w:firstLineChars="200" w:firstLine="420"/>
        <w:rPr>
          <w:szCs w:val="21"/>
        </w:rPr>
      </w:pPr>
      <w:r>
        <w:rPr>
          <w:rFonts w:hint="eastAsia"/>
          <w:szCs w:val="21"/>
        </w:rPr>
        <w:t>本基金管理人承诺以诚实信用、勤勉尽责的原则管理和运用基金资产，但不保证基金一定盈利，也不保证最低收益。</w:t>
      </w:r>
    </w:p>
    <w:p w:rsidR="004805CF" w:rsidRDefault="00A82CC5">
      <w:pPr>
        <w:spacing w:line="360" w:lineRule="auto"/>
        <w:ind w:firstLineChars="200" w:firstLine="420"/>
        <w:rPr>
          <w:rFonts w:eastAsia="宋体" w:cstheme="minorHAnsi"/>
          <w:kern w:val="0"/>
          <w:szCs w:val="21"/>
        </w:rPr>
      </w:pPr>
      <w:r>
        <w:rPr>
          <w:rFonts w:hint="eastAsia"/>
          <w:szCs w:val="21"/>
        </w:rPr>
        <w:t>本基金管理人提醒投资者，投资者投资基金前应认真阅读基金合同、招募说明书等文件。敬请投资者注意投资风险。基金的过往业绩不预示未来表现，基金管理人管理的其他基金的业绩并不构成基金业绩表现的保证。</w:t>
      </w:r>
    </w:p>
    <w:p w:rsidR="004805CF" w:rsidRDefault="004805CF">
      <w:pPr>
        <w:spacing w:line="360" w:lineRule="auto"/>
        <w:ind w:firstLineChars="200" w:firstLine="420"/>
        <w:rPr>
          <w:rFonts w:eastAsia="宋体" w:cstheme="minorHAnsi"/>
          <w:kern w:val="0"/>
          <w:szCs w:val="21"/>
        </w:rPr>
      </w:pPr>
    </w:p>
    <w:p w:rsidR="004805CF" w:rsidRDefault="00A82CC5">
      <w:pPr>
        <w:spacing w:line="360" w:lineRule="auto"/>
        <w:ind w:firstLineChars="200" w:firstLine="420"/>
        <w:rPr>
          <w:rFonts w:eastAsia="宋体" w:cstheme="minorHAnsi"/>
          <w:kern w:val="0"/>
          <w:szCs w:val="21"/>
        </w:rPr>
      </w:pPr>
      <w:r>
        <w:rPr>
          <w:rFonts w:eastAsia="宋体" w:cstheme="minorHAnsi"/>
          <w:kern w:val="0"/>
          <w:szCs w:val="21"/>
        </w:rPr>
        <w:t>特此公告。</w:t>
      </w:r>
    </w:p>
    <w:p w:rsidR="004805CF" w:rsidRDefault="004805CF">
      <w:pPr>
        <w:spacing w:line="360" w:lineRule="auto"/>
        <w:ind w:firstLineChars="200" w:firstLine="420"/>
        <w:rPr>
          <w:rFonts w:eastAsia="宋体" w:cstheme="minorHAnsi"/>
          <w:kern w:val="0"/>
          <w:szCs w:val="21"/>
        </w:rPr>
      </w:pPr>
    </w:p>
    <w:p w:rsidR="004805CF" w:rsidRDefault="00A82CC5">
      <w:pPr>
        <w:spacing w:line="360" w:lineRule="auto"/>
        <w:ind w:firstLineChars="200" w:firstLine="420"/>
        <w:jc w:val="right"/>
        <w:rPr>
          <w:rFonts w:eastAsia="宋体" w:cstheme="minorHAnsi"/>
          <w:kern w:val="0"/>
          <w:szCs w:val="21"/>
        </w:rPr>
      </w:pPr>
      <w:r>
        <w:rPr>
          <w:rFonts w:eastAsia="宋体" w:cstheme="minorHAnsi" w:hint="eastAsia"/>
          <w:kern w:val="0"/>
          <w:szCs w:val="21"/>
        </w:rPr>
        <w:t>惠升基金管理有限责任公司</w:t>
      </w:r>
    </w:p>
    <w:p w:rsidR="004805CF" w:rsidRDefault="00A82CC5">
      <w:pPr>
        <w:spacing w:line="360" w:lineRule="auto"/>
        <w:ind w:firstLineChars="200" w:firstLine="420"/>
        <w:jc w:val="right"/>
        <w:rPr>
          <w:rFonts w:eastAsia="宋体" w:cstheme="minorHAnsi"/>
          <w:kern w:val="0"/>
          <w:szCs w:val="21"/>
        </w:rPr>
      </w:pPr>
      <w:r>
        <w:rPr>
          <w:rFonts w:eastAsia="宋体" w:cstheme="minorHAnsi"/>
          <w:kern w:val="0"/>
          <w:szCs w:val="21"/>
        </w:rPr>
        <w:t>2</w:t>
      </w:r>
      <w:r>
        <w:rPr>
          <w:rFonts w:eastAsia="宋体" w:cstheme="minorHAnsi" w:hint="eastAsia"/>
          <w:kern w:val="0"/>
          <w:szCs w:val="21"/>
        </w:rPr>
        <w:t>021</w:t>
      </w:r>
      <w:r>
        <w:rPr>
          <w:rFonts w:eastAsia="宋体" w:cstheme="minorHAnsi"/>
          <w:kern w:val="0"/>
          <w:szCs w:val="21"/>
        </w:rPr>
        <w:t>年</w:t>
      </w:r>
      <w:r>
        <w:rPr>
          <w:rFonts w:ascii="宋体" w:hAnsi="宋体" w:cs="Arial"/>
          <w:color w:val="000000"/>
          <w:szCs w:val="21"/>
        </w:rPr>
        <w:t>4</w:t>
      </w:r>
      <w:r>
        <w:rPr>
          <w:rFonts w:eastAsia="宋体" w:cstheme="minorHAnsi" w:hint="eastAsia"/>
          <w:kern w:val="0"/>
          <w:szCs w:val="21"/>
        </w:rPr>
        <w:t>月</w:t>
      </w:r>
      <w:r>
        <w:rPr>
          <w:rFonts w:ascii="宋体" w:hAnsi="宋体" w:cs="Arial"/>
          <w:color w:val="000000"/>
          <w:szCs w:val="21"/>
        </w:rPr>
        <w:t>13</w:t>
      </w:r>
      <w:r>
        <w:rPr>
          <w:rFonts w:eastAsia="宋体" w:cstheme="minorHAnsi"/>
          <w:kern w:val="0"/>
          <w:szCs w:val="21"/>
        </w:rPr>
        <w:t>日</w:t>
      </w:r>
    </w:p>
    <w:p w:rsidR="004805CF" w:rsidRDefault="004805CF">
      <w:pPr>
        <w:adjustRightInd w:val="0"/>
        <w:spacing w:line="360" w:lineRule="auto"/>
        <w:ind w:firstLineChars="200" w:firstLine="480"/>
        <w:rPr>
          <w:rFonts w:ascii="Arial" w:eastAsia="宋体" w:hAnsi="Arial" w:cs="Arial"/>
          <w:sz w:val="24"/>
          <w:szCs w:val="20"/>
        </w:rPr>
      </w:pPr>
    </w:p>
    <w:sectPr w:rsidR="004805CF" w:rsidSect="004805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CF" w:rsidRDefault="004805CF" w:rsidP="004805CF">
      <w:r>
        <w:separator/>
      </w:r>
    </w:p>
  </w:endnote>
  <w:endnote w:type="continuationSeparator" w:id="0">
    <w:p w:rsidR="004805CF" w:rsidRDefault="004805CF" w:rsidP="00480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sdtPr>
    <w:sdtContent>
      <w:p w:rsidR="004805CF" w:rsidRDefault="004805CF">
        <w:pPr>
          <w:pStyle w:val="a5"/>
          <w:jc w:val="center"/>
        </w:pPr>
        <w:r>
          <w:fldChar w:fldCharType="begin"/>
        </w:r>
        <w:r w:rsidR="00A82CC5">
          <w:instrText>PAGE   \* MERGEFORMAT</w:instrText>
        </w:r>
        <w:r>
          <w:fldChar w:fldCharType="separate"/>
        </w:r>
        <w:r w:rsidR="00A82CC5" w:rsidRPr="00A82CC5">
          <w:rPr>
            <w:noProof/>
            <w:lang w:val="zh-CN"/>
          </w:rPr>
          <w:t>1</w:t>
        </w:r>
        <w:r>
          <w:fldChar w:fldCharType="end"/>
        </w:r>
      </w:p>
    </w:sdtContent>
  </w:sdt>
  <w:p w:rsidR="004805CF" w:rsidRDefault="004805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CF" w:rsidRDefault="004805CF" w:rsidP="004805CF">
      <w:r>
        <w:separator/>
      </w:r>
    </w:p>
  </w:footnote>
  <w:footnote w:type="continuationSeparator" w:id="0">
    <w:p w:rsidR="004805CF" w:rsidRDefault="004805CF" w:rsidP="00480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6E94"/>
    <w:rsid w:val="00015041"/>
    <w:rsid w:val="00022FF0"/>
    <w:rsid w:val="00035F8C"/>
    <w:rsid w:val="00042A2D"/>
    <w:rsid w:val="00045268"/>
    <w:rsid w:val="000574B8"/>
    <w:rsid w:val="0009268B"/>
    <w:rsid w:val="000936A8"/>
    <w:rsid w:val="000B51AA"/>
    <w:rsid w:val="000C09CA"/>
    <w:rsid w:val="000C5CC2"/>
    <w:rsid w:val="001016D9"/>
    <w:rsid w:val="001053D3"/>
    <w:rsid w:val="00106435"/>
    <w:rsid w:val="00106B19"/>
    <w:rsid w:val="001530F9"/>
    <w:rsid w:val="001553B1"/>
    <w:rsid w:val="00193266"/>
    <w:rsid w:val="001A20A2"/>
    <w:rsid w:val="001C2D77"/>
    <w:rsid w:val="001D69EF"/>
    <w:rsid w:val="00211533"/>
    <w:rsid w:val="00211EBB"/>
    <w:rsid w:val="00247090"/>
    <w:rsid w:val="00295E8A"/>
    <w:rsid w:val="002A77B1"/>
    <w:rsid w:val="002C5A67"/>
    <w:rsid w:val="002F6248"/>
    <w:rsid w:val="00325849"/>
    <w:rsid w:val="00347900"/>
    <w:rsid w:val="00384BDC"/>
    <w:rsid w:val="00387923"/>
    <w:rsid w:val="00391360"/>
    <w:rsid w:val="003A5694"/>
    <w:rsid w:val="003B121C"/>
    <w:rsid w:val="003D72B7"/>
    <w:rsid w:val="003E0B90"/>
    <w:rsid w:val="00423819"/>
    <w:rsid w:val="00427C7B"/>
    <w:rsid w:val="00433113"/>
    <w:rsid w:val="004657BE"/>
    <w:rsid w:val="00475C91"/>
    <w:rsid w:val="00476C21"/>
    <w:rsid w:val="00477CF7"/>
    <w:rsid w:val="004805CF"/>
    <w:rsid w:val="004829FE"/>
    <w:rsid w:val="0049317E"/>
    <w:rsid w:val="00495603"/>
    <w:rsid w:val="00495C95"/>
    <w:rsid w:val="004977F4"/>
    <w:rsid w:val="004A70FC"/>
    <w:rsid w:val="004B015D"/>
    <w:rsid w:val="004D10E3"/>
    <w:rsid w:val="004F40D5"/>
    <w:rsid w:val="00503161"/>
    <w:rsid w:val="00563D20"/>
    <w:rsid w:val="00573590"/>
    <w:rsid w:val="00594B47"/>
    <w:rsid w:val="00596F4E"/>
    <w:rsid w:val="005A786D"/>
    <w:rsid w:val="005B43E7"/>
    <w:rsid w:val="005D07F2"/>
    <w:rsid w:val="00603E9C"/>
    <w:rsid w:val="00614B1C"/>
    <w:rsid w:val="00627D0A"/>
    <w:rsid w:val="00656EA6"/>
    <w:rsid w:val="006906D4"/>
    <w:rsid w:val="006950E8"/>
    <w:rsid w:val="006B3905"/>
    <w:rsid w:val="006C2057"/>
    <w:rsid w:val="00710121"/>
    <w:rsid w:val="007137DD"/>
    <w:rsid w:val="00714FDC"/>
    <w:rsid w:val="00721A47"/>
    <w:rsid w:val="007243C2"/>
    <w:rsid w:val="007679C3"/>
    <w:rsid w:val="00780767"/>
    <w:rsid w:val="00783D16"/>
    <w:rsid w:val="007A6B2A"/>
    <w:rsid w:val="007C4D3B"/>
    <w:rsid w:val="007C7ADE"/>
    <w:rsid w:val="00810365"/>
    <w:rsid w:val="00816FD5"/>
    <w:rsid w:val="008335EA"/>
    <w:rsid w:val="00856DCC"/>
    <w:rsid w:val="00886ACE"/>
    <w:rsid w:val="0089045E"/>
    <w:rsid w:val="008A5D38"/>
    <w:rsid w:val="008B1D6D"/>
    <w:rsid w:val="008F62C2"/>
    <w:rsid w:val="008F6508"/>
    <w:rsid w:val="00900F93"/>
    <w:rsid w:val="0091652D"/>
    <w:rsid w:val="00920CDB"/>
    <w:rsid w:val="00941977"/>
    <w:rsid w:val="00950AFA"/>
    <w:rsid w:val="00962D7C"/>
    <w:rsid w:val="009666D3"/>
    <w:rsid w:val="0097230D"/>
    <w:rsid w:val="00985C4C"/>
    <w:rsid w:val="009860D7"/>
    <w:rsid w:val="00987733"/>
    <w:rsid w:val="00990CB6"/>
    <w:rsid w:val="009965CF"/>
    <w:rsid w:val="009B4FC8"/>
    <w:rsid w:val="009B7389"/>
    <w:rsid w:val="009D443C"/>
    <w:rsid w:val="009D6F22"/>
    <w:rsid w:val="009F59A0"/>
    <w:rsid w:val="009F7689"/>
    <w:rsid w:val="00A073F0"/>
    <w:rsid w:val="00A27DF7"/>
    <w:rsid w:val="00A508F2"/>
    <w:rsid w:val="00A53AC8"/>
    <w:rsid w:val="00A5407B"/>
    <w:rsid w:val="00A725F0"/>
    <w:rsid w:val="00A82CC5"/>
    <w:rsid w:val="00A960C8"/>
    <w:rsid w:val="00AA0697"/>
    <w:rsid w:val="00AD5860"/>
    <w:rsid w:val="00AD600B"/>
    <w:rsid w:val="00B27B3F"/>
    <w:rsid w:val="00B50C8E"/>
    <w:rsid w:val="00B53202"/>
    <w:rsid w:val="00B647E5"/>
    <w:rsid w:val="00B71AAA"/>
    <w:rsid w:val="00B71C92"/>
    <w:rsid w:val="00B85540"/>
    <w:rsid w:val="00B90302"/>
    <w:rsid w:val="00B936FF"/>
    <w:rsid w:val="00BC4D7F"/>
    <w:rsid w:val="00BD1826"/>
    <w:rsid w:val="00C111B4"/>
    <w:rsid w:val="00C11661"/>
    <w:rsid w:val="00C14358"/>
    <w:rsid w:val="00C15B99"/>
    <w:rsid w:val="00C1664B"/>
    <w:rsid w:val="00C4196A"/>
    <w:rsid w:val="00C53172"/>
    <w:rsid w:val="00C54BB7"/>
    <w:rsid w:val="00C626BE"/>
    <w:rsid w:val="00C74AF3"/>
    <w:rsid w:val="00C7596A"/>
    <w:rsid w:val="00C76A6F"/>
    <w:rsid w:val="00C82D69"/>
    <w:rsid w:val="00C85BD4"/>
    <w:rsid w:val="00C934CE"/>
    <w:rsid w:val="00CD50FC"/>
    <w:rsid w:val="00CE7732"/>
    <w:rsid w:val="00D019D0"/>
    <w:rsid w:val="00D0710D"/>
    <w:rsid w:val="00D20EC0"/>
    <w:rsid w:val="00D2607C"/>
    <w:rsid w:val="00D729F2"/>
    <w:rsid w:val="00D73A93"/>
    <w:rsid w:val="00D8377B"/>
    <w:rsid w:val="00D93860"/>
    <w:rsid w:val="00DA3244"/>
    <w:rsid w:val="00DB7D29"/>
    <w:rsid w:val="00DD1067"/>
    <w:rsid w:val="00DE07DE"/>
    <w:rsid w:val="00DF4E70"/>
    <w:rsid w:val="00E00719"/>
    <w:rsid w:val="00E348E2"/>
    <w:rsid w:val="00E36BFD"/>
    <w:rsid w:val="00E412DB"/>
    <w:rsid w:val="00E57CFE"/>
    <w:rsid w:val="00EC29D1"/>
    <w:rsid w:val="00ED0E7E"/>
    <w:rsid w:val="00ED2B2E"/>
    <w:rsid w:val="00EF4183"/>
    <w:rsid w:val="00F02B62"/>
    <w:rsid w:val="00F047EB"/>
    <w:rsid w:val="00F16C14"/>
    <w:rsid w:val="00F3006F"/>
    <w:rsid w:val="00F42507"/>
    <w:rsid w:val="00F465FB"/>
    <w:rsid w:val="00F509C4"/>
    <w:rsid w:val="00F532C0"/>
    <w:rsid w:val="00F8241E"/>
    <w:rsid w:val="00F84605"/>
    <w:rsid w:val="00FA1EA6"/>
    <w:rsid w:val="00FC2B8C"/>
    <w:rsid w:val="00FD4786"/>
    <w:rsid w:val="00FD619C"/>
    <w:rsid w:val="00FD7B82"/>
    <w:rsid w:val="00FE5778"/>
    <w:rsid w:val="00FF5431"/>
    <w:rsid w:val="0FFD3F3D"/>
    <w:rsid w:val="1A8C248B"/>
    <w:rsid w:val="37BD2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805CF"/>
    <w:pPr>
      <w:jc w:val="left"/>
    </w:pPr>
  </w:style>
  <w:style w:type="paragraph" w:styleId="a4">
    <w:name w:val="Balloon Text"/>
    <w:basedOn w:val="a"/>
    <w:link w:val="Char0"/>
    <w:uiPriority w:val="99"/>
    <w:semiHidden/>
    <w:unhideWhenUsed/>
    <w:rsid w:val="004805CF"/>
    <w:rPr>
      <w:sz w:val="18"/>
      <w:szCs w:val="18"/>
    </w:rPr>
  </w:style>
  <w:style w:type="paragraph" w:styleId="a5">
    <w:name w:val="footer"/>
    <w:basedOn w:val="a"/>
    <w:link w:val="Char1"/>
    <w:uiPriority w:val="99"/>
    <w:unhideWhenUsed/>
    <w:qFormat/>
    <w:rsid w:val="004805C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805C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805CF"/>
    <w:rPr>
      <w:rFonts w:ascii="Times New Roman" w:hAnsi="Times New Roman" w:cs="Times New Roman"/>
      <w:sz w:val="24"/>
      <w:szCs w:val="24"/>
    </w:rPr>
  </w:style>
  <w:style w:type="paragraph" w:styleId="a8">
    <w:name w:val="annotation subject"/>
    <w:basedOn w:val="a3"/>
    <w:next w:val="a3"/>
    <w:link w:val="Char3"/>
    <w:uiPriority w:val="99"/>
    <w:semiHidden/>
    <w:unhideWhenUsed/>
    <w:qFormat/>
    <w:rsid w:val="004805CF"/>
    <w:rPr>
      <w:b/>
      <w:bCs/>
    </w:rPr>
  </w:style>
  <w:style w:type="character" w:styleId="a9">
    <w:name w:val="annotation reference"/>
    <w:basedOn w:val="a0"/>
    <w:uiPriority w:val="99"/>
    <w:semiHidden/>
    <w:unhideWhenUsed/>
    <w:qFormat/>
    <w:rsid w:val="004805CF"/>
    <w:rPr>
      <w:sz w:val="21"/>
      <w:szCs w:val="21"/>
    </w:rPr>
  </w:style>
  <w:style w:type="character" w:customStyle="1" w:styleId="Char2">
    <w:name w:val="页眉 Char"/>
    <w:basedOn w:val="a0"/>
    <w:link w:val="a6"/>
    <w:uiPriority w:val="99"/>
    <w:qFormat/>
    <w:rsid w:val="004805CF"/>
    <w:rPr>
      <w:sz w:val="18"/>
      <w:szCs w:val="18"/>
    </w:rPr>
  </w:style>
  <w:style w:type="character" w:customStyle="1" w:styleId="Char1">
    <w:name w:val="页脚 Char"/>
    <w:basedOn w:val="a0"/>
    <w:link w:val="a5"/>
    <w:uiPriority w:val="99"/>
    <w:qFormat/>
    <w:rsid w:val="004805CF"/>
    <w:rPr>
      <w:sz w:val="18"/>
      <w:szCs w:val="18"/>
    </w:rPr>
  </w:style>
  <w:style w:type="character" w:customStyle="1" w:styleId="Char0">
    <w:name w:val="批注框文本 Char"/>
    <w:basedOn w:val="a0"/>
    <w:link w:val="a4"/>
    <w:uiPriority w:val="99"/>
    <w:semiHidden/>
    <w:qFormat/>
    <w:rsid w:val="004805CF"/>
    <w:rPr>
      <w:sz w:val="18"/>
      <w:szCs w:val="18"/>
    </w:rPr>
  </w:style>
  <w:style w:type="character" w:customStyle="1" w:styleId="Char">
    <w:name w:val="批注文字 Char"/>
    <w:basedOn w:val="a0"/>
    <w:link w:val="a3"/>
    <w:uiPriority w:val="99"/>
    <w:semiHidden/>
    <w:qFormat/>
    <w:rsid w:val="004805CF"/>
  </w:style>
  <w:style w:type="character" w:customStyle="1" w:styleId="Char3">
    <w:name w:val="批注主题 Char"/>
    <w:basedOn w:val="Char"/>
    <w:link w:val="a8"/>
    <w:uiPriority w:val="99"/>
    <w:semiHidden/>
    <w:qFormat/>
    <w:rsid w:val="004805CF"/>
    <w:rPr>
      <w:b/>
      <w:bCs/>
    </w:rPr>
  </w:style>
  <w:style w:type="paragraph" w:customStyle="1" w:styleId="1">
    <w:name w:val="修订1"/>
    <w:hidden/>
    <w:uiPriority w:val="99"/>
    <w:semiHidden/>
    <w:qFormat/>
    <w:rsid w:val="004805C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2879</Characters>
  <Application>Microsoft Office Word</Application>
  <DocSecurity>4</DocSecurity>
  <Lines>23</Lines>
  <Paragraphs>6</Paragraphs>
  <ScaleCrop>false</ScaleCrop>
  <Company>Microsoft</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2021-04-12T16:46:00Z</dcterms:created>
  <dcterms:modified xsi:type="dcterms:W3CDTF">2021-04-12T16:46:00Z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13DA0DEFA0A848D989F32344C3C81833</vt:lpwstr>
  </property>
</Properties>
</file>