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111C" w:rsidRDefault="007A111C">
      <w:pPr>
        <w:jc w:val="center"/>
        <w:rPr>
          <w:rFonts w:cs="Times New Roman"/>
          <w:b/>
          <w:sz w:val="48"/>
          <w:szCs w:val="48"/>
        </w:rPr>
      </w:pPr>
    </w:p>
    <w:p w:rsidR="007A111C" w:rsidRDefault="007A111C">
      <w:pPr>
        <w:jc w:val="center"/>
        <w:rPr>
          <w:rFonts w:cs="Times New Roman"/>
          <w:b/>
          <w:sz w:val="48"/>
          <w:szCs w:val="48"/>
        </w:rPr>
      </w:pPr>
    </w:p>
    <w:p w:rsidR="007143B0" w:rsidRDefault="007143B0">
      <w:pPr>
        <w:jc w:val="center"/>
      </w:pPr>
      <w:r>
        <w:rPr>
          <w:rFonts w:cs="Times New Roman" w:hint="eastAsia"/>
          <w:b/>
          <w:sz w:val="48"/>
          <w:szCs w:val="48"/>
        </w:rPr>
        <w:t>工银瑞信圆丰三年持有期混合型证券投资基金开放日常申购、定期定额投资业务的公告</w:t>
      </w:r>
    </w:p>
    <w:p w:rsidR="007143B0" w:rsidRDefault="007143B0">
      <w:pPr>
        <w:spacing w:line="360" w:lineRule="auto"/>
        <w:jc w:val="center"/>
        <w:rPr>
          <w:rFonts w:hint="eastAsia"/>
          <w:sz w:val="24"/>
          <w:szCs w:val="30"/>
        </w:rPr>
      </w:pPr>
      <w:r>
        <w:rPr>
          <w:rFonts w:hint="eastAsia"/>
          <w:sz w:val="24"/>
          <w:szCs w:val="30"/>
        </w:rPr>
        <w:t xml:space="preserve">　 </w:t>
      </w:r>
    </w:p>
    <w:p w:rsidR="007143B0" w:rsidRDefault="007143B0">
      <w:pPr>
        <w:spacing w:line="360" w:lineRule="auto"/>
        <w:jc w:val="center"/>
        <w:rPr>
          <w:rFonts w:hint="eastAsia"/>
          <w:sz w:val="24"/>
          <w:szCs w:val="30"/>
        </w:rPr>
      </w:pPr>
      <w:r>
        <w:rPr>
          <w:rFonts w:hint="eastAsia"/>
          <w:sz w:val="24"/>
          <w:szCs w:val="30"/>
        </w:rPr>
        <w:t xml:space="preserve">　 </w:t>
      </w:r>
    </w:p>
    <w:p w:rsidR="007143B0" w:rsidRDefault="007143B0">
      <w:pPr>
        <w:spacing w:line="360" w:lineRule="auto"/>
        <w:jc w:val="center"/>
        <w:rPr>
          <w:rFonts w:hint="eastAsia"/>
          <w:sz w:val="24"/>
          <w:szCs w:val="30"/>
        </w:rPr>
      </w:pPr>
      <w:r>
        <w:rPr>
          <w:rFonts w:hint="eastAsia"/>
          <w:sz w:val="24"/>
          <w:szCs w:val="30"/>
        </w:rPr>
        <w:t xml:space="preserve">　 </w:t>
      </w:r>
    </w:p>
    <w:p w:rsidR="007143B0" w:rsidRDefault="007143B0">
      <w:pPr>
        <w:spacing w:line="360" w:lineRule="auto"/>
        <w:jc w:val="center"/>
        <w:rPr>
          <w:rFonts w:hint="eastAsia"/>
          <w:sz w:val="24"/>
          <w:szCs w:val="30"/>
        </w:rPr>
      </w:pPr>
      <w:r>
        <w:rPr>
          <w:rFonts w:hint="eastAsia"/>
          <w:sz w:val="24"/>
          <w:szCs w:val="30"/>
        </w:rPr>
        <w:t xml:space="preserve">　 </w:t>
      </w: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F97097" w:rsidRDefault="00F97097">
      <w:pPr>
        <w:spacing w:line="360" w:lineRule="auto"/>
        <w:jc w:val="center"/>
        <w:rPr>
          <w:sz w:val="24"/>
          <w:szCs w:val="30"/>
        </w:rPr>
      </w:pPr>
    </w:p>
    <w:p w:rsidR="00F97097" w:rsidRDefault="00F97097">
      <w:pPr>
        <w:spacing w:line="360" w:lineRule="auto"/>
        <w:jc w:val="center"/>
        <w:rPr>
          <w:rFonts w:hint="eastAsia"/>
          <w:sz w:val="24"/>
          <w:szCs w:val="30"/>
        </w:rPr>
      </w:pPr>
    </w:p>
    <w:p w:rsidR="00026585" w:rsidRDefault="00026585">
      <w:pPr>
        <w:spacing w:line="360" w:lineRule="auto"/>
        <w:jc w:val="center"/>
        <w:rPr>
          <w:sz w:val="24"/>
          <w:szCs w:val="30"/>
        </w:rPr>
      </w:pPr>
    </w:p>
    <w:p w:rsidR="00026585" w:rsidRDefault="00026585">
      <w:pPr>
        <w:spacing w:line="360" w:lineRule="auto"/>
        <w:jc w:val="center"/>
        <w:rPr>
          <w:sz w:val="24"/>
          <w:szCs w:val="30"/>
        </w:rPr>
      </w:pPr>
    </w:p>
    <w:p w:rsidR="007143B0" w:rsidRDefault="007143B0" w:rsidP="007A111C">
      <w:pPr>
        <w:spacing w:line="360" w:lineRule="auto"/>
        <w:jc w:val="center"/>
        <w:rPr>
          <w:rFonts w:hint="eastAsia"/>
          <w:sz w:val="24"/>
          <w:szCs w:val="30"/>
        </w:rPr>
      </w:pPr>
      <w:r>
        <w:rPr>
          <w:rFonts w:hint="eastAsia"/>
          <w:sz w:val="24"/>
          <w:szCs w:val="30"/>
        </w:rPr>
        <w:t xml:space="preserve">　</w:t>
      </w:r>
      <w:r w:rsidR="007A111C">
        <w:rPr>
          <w:rFonts w:hint="eastAsia"/>
          <w:sz w:val="24"/>
          <w:szCs w:val="30"/>
        </w:rPr>
        <w:t xml:space="preserve"> </w:t>
      </w:r>
      <w:r>
        <w:rPr>
          <w:rFonts w:hint="eastAsia"/>
          <w:sz w:val="24"/>
          <w:szCs w:val="30"/>
        </w:rPr>
        <w:t xml:space="preserve">　 </w:t>
      </w:r>
    </w:p>
    <w:p w:rsidR="007143B0" w:rsidRDefault="007143B0">
      <w:pPr>
        <w:spacing w:line="360" w:lineRule="auto"/>
        <w:jc w:val="center"/>
        <w:rPr>
          <w:rFonts w:hint="eastAsia"/>
          <w:sz w:val="24"/>
          <w:szCs w:val="30"/>
        </w:rPr>
      </w:pPr>
      <w:r>
        <w:rPr>
          <w:rFonts w:hint="eastAsia"/>
          <w:sz w:val="24"/>
          <w:szCs w:val="30"/>
        </w:rPr>
        <w:t xml:space="preserve">　 </w:t>
      </w:r>
    </w:p>
    <w:p w:rsidR="007143B0" w:rsidRDefault="007143B0">
      <w:pPr>
        <w:spacing w:line="360" w:lineRule="auto"/>
        <w:jc w:val="center"/>
        <w:rPr>
          <w:rFonts w:hint="eastAsia"/>
        </w:rPr>
      </w:pPr>
      <w:r>
        <w:rPr>
          <w:rFonts w:hint="eastAsia"/>
          <w:b/>
          <w:bCs/>
          <w:sz w:val="24"/>
          <w:szCs w:val="30"/>
        </w:rPr>
        <w:t>公告送出日期：2021年4月13日</w:t>
      </w:r>
    </w:p>
    <w:p w:rsidR="007143B0" w:rsidRDefault="007143B0">
      <w:pPr>
        <w:pStyle w:val="XBRLTitle1"/>
        <w:spacing w:before="156" w:line="360" w:lineRule="auto"/>
        <w:rPr>
          <w:rFonts w:hAnsi="宋体" w:hint="eastAsia"/>
          <w:szCs w:val="44"/>
        </w:rPr>
      </w:pPr>
      <w:r>
        <w:rPr>
          <w:rFonts w:hint="eastAsia"/>
          <w:color w:val="404040"/>
          <w:kern w:val="0"/>
        </w:rPr>
        <w:br w:type="page"/>
      </w:r>
      <w:bookmarkStart w:id="0" w:name="_Toc34841028"/>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758519"/>
      <w:bookmarkStart w:id="10" w:name="m101"/>
      <w:bookmarkStart w:id="11" w:name="_Toc194311890"/>
      <w:bookmarkStart w:id="12" w:name="m01_01"/>
      <w:r>
        <w:rPr>
          <w:rFonts w:hAnsi="宋体" w:hint="eastAsia"/>
        </w:rPr>
        <w:lastRenderedPageBreak/>
        <w:t>公告基本信息</w:t>
      </w:r>
      <w:bookmarkEnd w:id="0"/>
      <w:bookmarkEnd w:id="1"/>
      <w:bookmarkEnd w:id="2"/>
      <w:bookmarkEnd w:id="3"/>
      <w:bookmarkEnd w:id="4"/>
      <w:bookmarkEnd w:id="5"/>
      <w:bookmarkEnd w:id="6"/>
      <w:bookmarkEnd w:id="7"/>
      <w:bookmarkEnd w:id="8"/>
      <w:bookmarkEnd w:id="9"/>
      <w:r>
        <w:rPr>
          <w:rFonts w:hAnsi="宋体" w:hint="eastAsia"/>
          <w:szCs w:val="4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rsidP="00BC5F17">
            <w:pPr>
              <w:rPr>
                <w:rFonts w:hint="eastAsia"/>
              </w:rPr>
            </w:pPr>
            <w:r w:rsidRPr="00BC5F17">
              <w:rPr>
                <w:rFonts w:hint="eastAsia"/>
              </w:rPr>
              <w:t xml:space="preserve">基金名称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工银瑞信圆丰三年持有期混合型证券投资基金</w:t>
            </w:r>
          </w:p>
        </w:tc>
      </w:tr>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基金简称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工银圆丰三年持有期混合</w:t>
            </w:r>
          </w:p>
        </w:tc>
      </w:tr>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基金主代码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011006</w:t>
            </w:r>
          </w:p>
        </w:tc>
      </w:tr>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基金运作方式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契约型开放式</w:t>
            </w:r>
          </w:p>
        </w:tc>
      </w:tr>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基金合同生效日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2021年1月13日</w:t>
            </w:r>
          </w:p>
        </w:tc>
      </w:tr>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基金管理人名称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工银瑞信基金管理有限公司</w:t>
            </w:r>
          </w:p>
        </w:tc>
      </w:tr>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基金托管人名称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招商银行股份有限公司</w:t>
            </w:r>
          </w:p>
        </w:tc>
      </w:tr>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基金注册登记机构名称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工银瑞信基金管理有限公司</w:t>
            </w:r>
          </w:p>
        </w:tc>
      </w:tr>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公告依据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根据《中华人民共和国证券投资基金法》、《公开募集证券投资基金运作管理办法》、《公开募集证券投资基金信息披露管理办法》及其他有关法律法规以及本基金相关法律文件等。</w:t>
            </w:r>
          </w:p>
        </w:tc>
      </w:tr>
      <w:tr w:rsidR="007143B0" w:rsidRPr="00BC5F17" w:rsidTr="00BC5F17">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申购起始日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2021年4月13日</w:t>
            </w:r>
          </w:p>
        </w:tc>
      </w:tr>
      <w:tr w:rsidR="007143B0" w:rsidRPr="00BC5F17" w:rsidTr="00BC5F17">
        <w:trPr>
          <w:trHeight w:val="64"/>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Pr="00BC5F17" w:rsidRDefault="007143B0">
            <w:pPr>
              <w:rPr>
                <w:rFonts w:hint="eastAsia"/>
              </w:rPr>
            </w:pPr>
            <w:r w:rsidRPr="00BC5F17">
              <w:rPr>
                <w:rFonts w:hint="eastAsia"/>
              </w:rPr>
              <w:t xml:space="preserve">定期定额投资起始日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143B0" w:rsidRDefault="007143B0">
            <w:pPr>
              <w:rPr>
                <w:rFonts w:hint="eastAsia"/>
              </w:rPr>
            </w:pPr>
            <w:r w:rsidRPr="00BC5F17">
              <w:rPr>
                <w:rFonts w:hint="eastAsia"/>
              </w:rPr>
              <w:t>2021年4月13日</w:t>
            </w:r>
          </w:p>
        </w:tc>
      </w:tr>
    </w:tbl>
    <w:p w:rsidR="0090752F" w:rsidRDefault="0090752F" w:rsidP="0090752F">
      <w:pPr>
        <w:spacing w:line="360" w:lineRule="auto"/>
        <w:rPr>
          <w:lang/>
        </w:rPr>
      </w:pPr>
      <w:bookmarkStart w:id="13" w:name="_Toc34841029"/>
      <w:bookmarkStart w:id="14" w:name="_Toc34758520"/>
      <w:bookmarkStart w:id="15" w:name="_Toc17898179"/>
      <w:bookmarkStart w:id="16" w:name="_Toc17897937"/>
      <w:bookmarkStart w:id="17" w:name="_Toc512519481"/>
      <w:bookmarkStart w:id="18" w:name="_Toc481075047"/>
      <w:bookmarkStart w:id="19" w:name="_Toc438646452"/>
      <w:bookmarkStart w:id="20" w:name="_Toc490050001"/>
      <w:bookmarkStart w:id="21" w:name="_Toc513295847"/>
      <w:bookmarkStart w:id="22" w:name="_Toc513295893"/>
      <w:r>
        <w:rPr>
          <w:rFonts w:hint="eastAsia"/>
          <w:lang/>
        </w:rPr>
        <w:t>注：</w:t>
      </w:r>
      <w:r>
        <w:rPr>
          <w:lang/>
        </w:rPr>
        <w:t>基金管理人自认购份额的最短持有期到期日之后开始办理赎回，具体业务办理时间在赎回开始公告中规定。</w:t>
      </w:r>
    </w:p>
    <w:p w:rsidR="0090752F" w:rsidRPr="0090752F" w:rsidRDefault="007143B0" w:rsidP="0090752F">
      <w:pPr>
        <w:pStyle w:val="XBRLTitle1"/>
        <w:spacing w:before="156" w:line="360" w:lineRule="auto"/>
        <w:rPr>
          <w:rFonts w:hAnsi="宋体" w:hint="eastAsia"/>
        </w:rPr>
      </w:pPr>
      <w:r w:rsidRPr="0090752F">
        <w:rPr>
          <w:rFonts w:hAnsi="宋体" w:hint="eastAsia"/>
        </w:rPr>
        <w:t>日常申购(定期定额投资)业务的办理时间</w:t>
      </w:r>
      <w:bookmarkEnd w:id="13"/>
      <w:bookmarkEnd w:id="14"/>
      <w:r w:rsidRPr="0090752F">
        <w:rPr>
          <w:rFonts w:hAnsi="宋体" w:hint="eastAsia"/>
        </w:rPr>
        <w:t xml:space="preserve"> </w:t>
      </w:r>
    </w:p>
    <w:p w:rsidR="007143B0" w:rsidRDefault="007143B0">
      <w:pPr>
        <w:spacing w:line="360" w:lineRule="auto"/>
        <w:ind w:firstLineChars="200" w:firstLine="420"/>
        <w:rPr>
          <w:rFonts w:hint="eastAsia"/>
        </w:rPr>
      </w:pPr>
      <w:bookmarkStart w:id="23" w:name="m07_04_13_00"/>
      <w:bookmarkStart w:id="24" w:name="m201"/>
      <w:bookmarkStart w:id="25" w:name="m07_04_07_09_tab"/>
      <w:bookmarkStart w:id="26" w:name="m07_04_07_09"/>
      <w:bookmarkStart w:id="27" w:name="m201_01"/>
      <w:r>
        <w:rPr>
          <w:rFonts w:hint="eastAsia"/>
          <w:lang/>
        </w:rPr>
        <w:t>投资者可在每个开放日进行申购；对于每份基金份额，最短持有期指基金合同生效日（对认购份额而言，下同）或基金份额申购或转换转入确认日（对申购或转换转入份额而言，下同）起，至基金合同生效日或基金份额申购或转换转入确认日的第三年的年度对应日（如无该对应日的，则顺延至下一日）止的期间。投资者可以自最短持有期到期日后的开放日内进行基金份额的赎回或转换转出，具体办理时间为上海证券交易所、深圳证券交易所及相关期货交易所的正常交易日的交易时间（若该交易日为非港股通交易日，则本基金不开放），但基金管理人根据法律法规、中国证监会的要求或基金合同的规定公告暂停申购、赎回时除外。</w:t>
      </w:r>
      <w:r>
        <w:rPr>
          <w:rFonts w:hint="eastAsia"/>
          <w:lang/>
        </w:rPr>
        <w:br/>
        <w:t xml:space="preserve">　　基金合同生效后，若出现新的证券/期货交易市场、证券/期货交易所交易时间变更或其他特殊情况，基金管理人将视情况对前述开放日及开放时间进行相应的调整，但应在实施日前依照《公开募集证券投资基金信息披露管理办法》（以下简称《信息披露办法》）的有关规定在指定媒介上公告。</w:t>
      </w:r>
      <w:r>
        <w:rPr>
          <w:rFonts w:hint="eastAsia"/>
          <w:lang/>
        </w:rPr>
        <w:br/>
        <w:t xml:space="preserve">　　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　</w:t>
      </w:r>
    </w:p>
    <w:p w:rsidR="007143B0" w:rsidRDefault="007143B0">
      <w:pPr>
        <w:pStyle w:val="XBRLTitle1"/>
        <w:spacing w:before="156" w:line="360" w:lineRule="auto"/>
        <w:rPr>
          <w:rFonts w:hAnsi="宋体" w:hint="eastAsia"/>
        </w:rPr>
      </w:pPr>
      <w:bookmarkStart w:id="28" w:name="_Toc34841030"/>
      <w:bookmarkStart w:id="29" w:name="_Toc34758521"/>
      <w:bookmarkStart w:id="30" w:name="_Toc17898180"/>
      <w:bookmarkStart w:id="31" w:name="_Toc17897938"/>
      <w:bookmarkStart w:id="32" w:name="_Toc512519482"/>
      <w:bookmarkStart w:id="33" w:name="_Toc481075049"/>
      <w:bookmarkStart w:id="34" w:name="_Toc438646455"/>
      <w:bookmarkStart w:id="35" w:name="_Toc490050003"/>
      <w:bookmarkStart w:id="36" w:name="_Toc513295848"/>
      <w:bookmarkStart w:id="37" w:name="_Toc513295894"/>
      <w:bookmarkStart w:id="38" w:name="m401_tab"/>
      <w:bookmarkStart w:id="39" w:name="m401"/>
      <w:r>
        <w:rPr>
          <w:rFonts w:hAnsi="宋体" w:hint="eastAsia"/>
        </w:rPr>
        <w:t>日常申购业务</w:t>
      </w:r>
      <w:bookmarkEnd w:id="28"/>
      <w:bookmarkEnd w:id="29"/>
      <w:r>
        <w:rPr>
          <w:rFonts w:hAnsi="宋体" w:hint="eastAsia"/>
        </w:rPr>
        <w:t xml:space="preserve"> </w:t>
      </w:r>
    </w:p>
    <w:p w:rsidR="007143B0" w:rsidRDefault="007143B0">
      <w:pPr>
        <w:pStyle w:val="XBRLTitle2"/>
        <w:spacing w:before="156" w:line="360" w:lineRule="auto"/>
        <w:rPr>
          <w:rFonts w:hAnsi="宋体" w:hint="eastAsia"/>
        </w:rPr>
      </w:pPr>
      <w:bookmarkStart w:id="40" w:name="_Toc34841031"/>
      <w:bookmarkStart w:id="41" w:name="_Toc17898181"/>
      <w:bookmarkStart w:id="42" w:name="_Toc17897939"/>
      <w:bookmarkStart w:id="43" w:name="_Toc512519483"/>
      <w:bookmarkStart w:id="44" w:name="_Toc481075050"/>
      <w:bookmarkStart w:id="45" w:name="_Toc438646456"/>
      <w:bookmarkStart w:id="46" w:name="_Toc490050004"/>
      <w:bookmarkStart w:id="47" w:name="_Toc513295849"/>
      <w:bookmarkStart w:id="48" w:name="_Toc513295895"/>
      <w:bookmarkStart w:id="49" w:name="_Toc34758522"/>
      <w:r>
        <w:rPr>
          <w:rFonts w:hAnsi="宋体" w:hint="eastAsia"/>
        </w:rPr>
        <w:lastRenderedPageBreak/>
        <w:t>申购金额限制</w:t>
      </w:r>
      <w:bookmarkEnd w:id="40"/>
      <w:bookmarkEnd w:id="41"/>
      <w:bookmarkEnd w:id="42"/>
      <w:bookmarkEnd w:id="43"/>
      <w:bookmarkEnd w:id="44"/>
      <w:bookmarkEnd w:id="45"/>
      <w:bookmarkEnd w:id="46"/>
      <w:bookmarkEnd w:id="47"/>
      <w:bookmarkEnd w:id="48"/>
      <w:bookmarkEnd w:id="49"/>
      <w:r>
        <w:rPr>
          <w:rFonts w:hAnsi="宋体" w:hint="eastAsia"/>
        </w:rPr>
        <w:t xml:space="preserve"> </w:t>
      </w:r>
    </w:p>
    <w:p w:rsidR="007143B0" w:rsidRDefault="007143B0">
      <w:pPr>
        <w:spacing w:line="360" w:lineRule="auto"/>
        <w:ind w:firstLineChars="200" w:firstLine="420"/>
        <w:rPr>
          <w:rFonts w:hint="eastAsia"/>
        </w:rPr>
      </w:pPr>
      <w:r>
        <w:rPr>
          <w:rFonts w:hint="eastAsia"/>
          <w:lang/>
        </w:rPr>
        <w:t>1、申购时，投资者通过其他销售机构网点每笔申购本基金的最低金额为1元人民币（含申购费）；通过本基金管理人电子自助交易系统申购，每个基金账户单笔申购最低金额为1元人民币（含申购费）；通过本基金管理人直销柜台申购，首次最低申购金额为1元人民币（含申购费），追加申购每笔最低金额为1元人民币（含申购费）。实际操作中，以各销售机构的具体规定为准。</w:t>
      </w:r>
      <w:r>
        <w:rPr>
          <w:rFonts w:hint="eastAsia"/>
          <w:lang/>
        </w:rPr>
        <w:br/>
        <w:t xml:space="preserve">　　投资人将当期分配的基金收益再投资时，不受最低申购金额的限制。</w:t>
      </w:r>
      <w:r>
        <w:rPr>
          <w:rFonts w:hint="eastAsia"/>
          <w:lang/>
        </w:rPr>
        <w:br/>
        <w:t xml:space="preserve">　　2、基金管理人不设单个投资人累计持有的基金份额上限，但单一投资者持有基金份额数不得达到或超过基金份额总数的50%（在基金运作过程中因基金份额赎回等情形导致被动达到或超过50%的除外）。法律法规、监管部门另有规定的，从其规定。</w:t>
      </w:r>
      <w:r>
        <w:rPr>
          <w:rFonts w:hint="eastAsia"/>
          <w:lang/>
        </w:rPr>
        <w:br/>
        <w:t xml:space="preserve">　　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Pr>
          <w:rFonts w:hint="eastAsia"/>
          <w:lang/>
        </w:rPr>
        <w:br/>
        <w:t xml:space="preserve">　　4、基金管理人可在法律法规允许的情况下，调整上述规定申购金额的数量限制。基金管理人必须在调整实施前依照《信息披露办法》的有关规定在规定媒介上公告。</w:t>
      </w:r>
    </w:p>
    <w:p w:rsidR="007143B0" w:rsidRDefault="007143B0">
      <w:pPr>
        <w:pStyle w:val="XBRLTitle2"/>
        <w:spacing w:before="156" w:line="360" w:lineRule="auto"/>
        <w:rPr>
          <w:rFonts w:hAnsi="宋体" w:hint="eastAsia"/>
        </w:rPr>
      </w:pPr>
      <w:bookmarkStart w:id="50" w:name="_Toc513465658"/>
      <w:bookmarkStart w:id="51" w:name="_Toc490050005"/>
      <w:bookmarkStart w:id="52" w:name="_Toc438646457"/>
      <w:bookmarkStart w:id="53" w:name="_Toc481075051"/>
      <w:bookmarkStart w:id="54" w:name="_Toc512519484"/>
      <w:r>
        <w:rPr>
          <w:rFonts w:hAnsi="宋体" w:hint="eastAsia"/>
        </w:rPr>
        <w:t>申购费率</w:t>
      </w:r>
      <w:bookmarkEnd w:id="50"/>
      <w:r>
        <w:rPr>
          <w:rFonts w:hAnsi="宋体" w:hint="eastAsia"/>
        </w:rPr>
        <w:t xml:space="preserve"> </w:t>
      </w:r>
    </w:p>
    <w:p w:rsidR="007143B0" w:rsidRDefault="007143B0">
      <w:pPr>
        <w:spacing w:line="360" w:lineRule="auto"/>
        <w:ind w:firstLineChars="200" w:firstLine="420"/>
        <w:rPr>
          <w:rFonts w:hint="eastAsia"/>
        </w:rPr>
      </w:pPr>
      <w:r>
        <w:rPr>
          <w:rFonts w:hint="eastAsia"/>
          <w:lang/>
        </w:rPr>
        <w:t>本基金对基金份额申购设置级差费率，投资者在一天之内如有多笔申购，适用费率按单笔分别计算。</w:t>
      </w:r>
    </w:p>
    <w:p w:rsidR="007143B0" w:rsidRDefault="007143B0">
      <w:pPr>
        <w:pStyle w:val="XBRLTitle3"/>
        <w:spacing w:before="156"/>
        <w:rPr>
          <w:rFonts w:hint="eastAsia"/>
          <w:lang w:eastAsia="zh-CN"/>
        </w:rPr>
      </w:pPr>
      <w:bookmarkStart w:id="55" w:name="_Toc513465659"/>
      <w:bookmarkStart w:id="56" w:name="_Toc490050006"/>
      <w:bookmarkStart w:id="57" w:name="_Toc481075052"/>
      <w:bookmarkStart w:id="58" w:name="_Toc512519485"/>
      <w:r>
        <w:rPr>
          <w:rFonts w:hint="eastAsia"/>
        </w:rPr>
        <w:t>前端收费</w:t>
      </w:r>
      <w:bookmarkEnd w:id="55"/>
      <w:r>
        <w:rPr>
          <w:rFonts w:hint="eastAsia"/>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3686"/>
        <w:gridCol w:w="3289"/>
      </w:tblGrid>
      <w:tr w:rsidR="00026585" w:rsidTr="00026585">
        <w:trPr>
          <w:divId w:val="2126734480"/>
          <w:trHeight w:val="442"/>
          <w:jc w:val="center"/>
        </w:trPr>
        <w:tc>
          <w:tcPr>
            <w:tcW w:w="1817" w:type="dxa"/>
          </w:tcPr>
          <w:p w:rsidR="00026585" w:rsidRDefault="00026585" w:rsidP="00F32DF3">
            <w:pPr>
              <w:widowControl/>
              <w:jc w:val="center"/>
              <w:rPr>
                <w:b/>
                <w:kern w:val="0"/>
                <w:szCs w:val="21"/>
              </w:rPr>
            </w:pPr>
            <w:r>
              <w:rPr>
                <w:rFonts w:hint="eastAsia"/>
                <w:b/>
                <w:kern w:val="0"/>
                <w:szCs w:val="21"/>
              </w:rPr>
              <w:t>费用种类</w:t>
            </w:r>
          </w:p>
        </w:tc>
        <w:tc>
          <w:tcPr>
            <w:tcW w:w="3686" w:type="dxa"/>
          </w:tcPr>
          <w:p w:rsidR="00026585" w:rsidRDefault="00026585" w:rsidP="00F32DF3">
            <w:pPr>
              <w:widowControl/>
              <w:jc w:val="center"/>
              <w:rPr>
                <w:rFonts w:hint="eastAsia"/>
                <w:b/>
                <w:kern w:val="0"/>
                <w:szCs w:val="21"/>
              </w:rPr>
            </w:pPr>
            <w:r>
              <w:rPr>
                <w:rFonts w:hint="eastAsia"/>
                <w:b/>
                <w:kern w:val="0"/>
                <w:szCs w:val="21"/>
              </w:rPr>
              <w:t>情形</w:t>
            </w:r>
          </w:p>
        </w:tc>
        <w:tc>
          <w:tcPr>
            <w:tcW w:w="3289" w:type="dxa"/>
          </w:tcPr>
          <w:p w:rsidR="00026585" w:rsidRDefault="00026585" w:rsidP="00F32DF3">
            <w:pPr>
              <w:widowControl/>
              <w:jc w:val="center"/>
              <w:rPr>
                <w:rFonts w:hint="eastAsia"/>
                <w:b/>
                <w:kern w:val="0"/>
                <w:szCs w:val="21"/>
              </w:rPr>
            </w:pPr>
            <w:r>
              <w:rPr>
                <w:rFonts w:hint="eastAsia"/>
                <w:b/>
                <w:kern w:val="0"/>
                <w:szCs w:val="21"/>
              </w:rPr>
              <w:t>费率</w:t>
            </w:r>
          </w:p>
        </w:tc>
      </w:tr>
      <w:tr w:rsidR="00026585" w:rsidTr="00026585">
        <w:trPr>
          <w:divId w:val="2126734480"/>
          <w:jc w:val="center"/>
        </w:trPr>
        <w:tc>
          <w:tcPr>
            <w:tcW w:w="1817" w:type="dxa"/>
            <w:vMerge w:val="restart"/>
            <w:vAlign w:val="center"/>
          </w:tcPr>
          <w:p w:rsidR="00026585" w:rsidRDefault="00026585" w:rsidP="00026585">
            <w:pPr>
              <w:widowControl/>
              <w:jc w:val="center"/>
              <w:rPr>
                <w:rFonts w:hint="eastAsia"/>
                <w:szCs w:val="21"/>
              </w:rPr>
            </w:pPr>
            <w:r>
              <w:rPr>
                <w:rFonts w:hint="eastAsia"/>
                <w:szCs w:val="21"/>
              </w:rPr>
              <w:t>申购费率</w:t>
            </w:r>
          </w:p>
        </w:tc>
        <w:tc>
          <w:tcPr>
            <w:tcW w:w="3686" w:type="dxa"/>
          </w:tcPr>
          <w:p w:rsidR="00026585" w:rsidRDefault="00026585" w:rsidP="00026585">
            <w:pPr>
              <w:widowControl/>
              <w:jc w:val="center"/>
              <w:rPr>
                <w:rFonts w:hint="eastAsia"/>
                <w:szCs w:val="21"/>
              </w:rPr>
            </w:pPr>
            <w:r>
              <w:rPr>
                <w:rFonts w:hint="eastAsia"/>
                <w:szCs w:val="21"/>
              </w:rPr>
              <w:t>M＜100万</w:t>
            </w:r>
          </w:p>
        </w:tc>
        <w:tc>
          <w:tcPr>
            <w:tcW w:w="3289" w:type="dxa"/>
            <w:vAlign w:val="center"/>
          </w:tcPr>
          <w:p w:rsidR="00026585" w:rsidRDefault="00026585" w:rsidP="00026585">
            <w:pPr>
              <w:jc w:val="center"/>
              <w:rPr>
                <w:rFonts w:hint="eastAsia"/>
              </w:rPr>
            </w:pPr>
            <w:r w:rsidRPr="00BC5F17">
              <w:rPr>
                <w:rFonts w:hint="eastAsia"/>
              </w:rPr>
              <w:t>1.5%</w:t>
            </w:r>
          </w:p>
        </w:tc>
      </w:tr>
      <w:tr w:rsidR="00026585" w:rsidTr="00026585">
        <w:trPr>
          <w:divId w:val="2126734480"/>
          <w:jc w:val="center"/>
        </w:trPr>
        <w:tc>
          <w:tcPr>
            <w:tcW w:w="1817" w:type="dxa"/>
            <w:vMerge/>
            <w:vAlign w:val="center"/>
          </w:tcPr>
          <w:p w:rsidR="00026585" w:rsidRDefault="00026585" w:rsidP="00026585">
            <w:pPr>
              <w:widowControl/>
              <w:jc w:val="center"/>
              <w:rPr>
                <w:szCs w:val="21"/>
              </w:rPr>
            </w:pPr>
          </w:p>
        </w:tc>
        <w:tc>
          <w:tcPr>
            <w:tcW w:w="3686" w:type="dxa"/>
          </w:tcPr>
          <w:p w:rsidR="00026585" w:rsidRDefault="00026585" w:rsidP="00026585">
            <w:pPr>
              <w:widowControl/>
              <w:jc w:val="center"/>
              <w:rPr>
                <w:rFonts w:hint="eastAsia"/>
                <w:szCs w:val="21"/>
              </w:rPr>
            </w:pPr>
            <w:r>
              <w:rPr>
                <w:rFonts w:hint="eastAsia"/>
                <w:szCs w:val="21"/>
              </w:rPr>
              <w:t>100万≤M＜300万</w:t>
            </w:r>
          </w:p>
        </w:tc>
        <w:tc>
          <w:tcPr>
            <w:tcW w:w="3289" w:type="dxa"/>
            <w:vAlign w:val="center"/>
          </w:tcPr>
          <w:p w:rsidR="00026585" w:rsidRDefault="00026585" w:rsidP="00026585">
            <w:pPr>
              <w:jc w:val="center"/>
              <w:rPr>
                <w:rFonts w:hint="eastAsia"/>
              </w:rPr>
            </w:pPr>
            <w:r w:rsidRPr="00BC5F17">
              <w:rPr>
                <w:rFonts w:hint="eastAsia"/>
              </w:rPr>
              <w:t>1.0%</w:t>
            </w:r>
          </w:p>
        </w:tc>
      </w:tr>
      <w:tr w:rsidR="00026585" w:rsidTr="00026585">
        <w:trPr>
          <w:divId w:val="2126734480"/>
          <w:jc w:val="center"/>
        </w:trPr>
        <w:tc>
          <w:tcPr>
            <w:tcW w:w="1817" w:type="dxa"/>
            <w:vMerge/>
            <w:vAlign w:val="center"/>
          </w:tcPr>
          <w:p w:rsidR="00026585" w:rsidRDefault="00026585" w:rsidP="00026585">
            <w:pPr>
              <w:widowControl/>
              <w:jc w:val="center"/>
              <w:rPr>
                <w:szCs w:val="21"/>
              </w:rPr>
            </w:pPr>
          </w:p>
        </w:tc>
        <w:tc>
          <w:tcPr>
            <w:tcW w:w="3686" w:type="dxa"/>
          </w:tcPr>
          <w:p w:rsidR="00026585" w:rsidRDefault="00026585" w:rsidP="00026585">
            <w:pPr>
              <w:widowControl/>
              <w:jc w:val="center"/>
              <w:rPr>
                <w:rFonts w:hint="eastAsia"/>
                <w:szCs w:val="21"/>
              </w:rPr>
            </w:pPr>
            <w:r>
              <w:rPr>
                <w:rFonts w:hint="eastAsia"/>
                <w:szCs w:val="21"/>
              </w:rPr>
              <w:t>300万≤M＜500万</w:t>
            </w:r>
          </w:p>
        </w:tc>
        <w:tc>
          <w:tcPr>
            <w:tcW w:w="3289" w:type="dxa"/>
            <w:vAlign w:val="center"/>
          </w:tcPr>
          <w:p w:rsidR="00026585" w:rsidRDefault="00026585" w:rsidP="00026585">
            <w:pPr>
              <w:jc w:val="center"/>
              <w:rPr>
                <w:rFonts w:hint="eastAsia"/>
              </w:rPr>
            </w:pPr>
            <w:r w:rsidRPr="00BC5F17">
              <w:rPr>
                <w:rFonts w:hint="eastAsia"/>
              </w:rPr>
              <w:t>0.8%</w:t>
            </w:r>
          </w:p>
        </w:tc>
      </w:tr>
      <w:tr w:rsidR="00026585" w:rsidTr="00026585">
        <w:trPr>
          <w:divId w:val="2126734480"/>
          <w:jc w:val="center"/>
        </w:trPr>
        <w:tc>
          <w:tcPr>
            <w:tcW w:w="1817" w:type="dxa"/>
            <w:vMerge/>
            <w:vAlign w:val="center"/>
          </w:tcPr>
          <w:p w:rsidR="00026585" w:rsidRDefault="00026585" w:rsidP="00026585">
            <w:pPr>
              <w:widowControl/>
              <w:jc w:val="center"/>
              <w:rPr>
                <w:szCs w:val="21"/>
              </w:rPr>
            </w:pPr>
          </w:p>
        </w:tc>
        <w:tc>
          <w:tcPr>
            <w:tcW w:w="3686" w:type="dxa"/>
          </w:tcPr>
          <w:p w:rsidR="00026585" w:rsidRDefault="00026585" w:rsidP="00026585">
            <w:pPr>
              <w:widowControl/>
              <w:jc w:val="center"/>
              <w:rPr>
                <w:rFonts w:hint="eastAsia"/>
                <w:szCs w:val="21"/>
              </w:rPr>
            </w:pPr>
            <w:r>
              <w:rPr>
                <w:rFonts w:hint="eastAsia"/>
                <w:szCs w:val="21"/>
              </w:rPr>
              <w:t>M≥500万</w:t>
            </w:r>
          </w:p>
        </w:tc>
        <w:tc>
          <w:tcPr>
            <w:tcW w:w="3289" w:type="dxa"/>
            <w:vAlign w:val="center"/>
          </w:tcPr>
          <w:p w:rsidR="00026585" w:rsidRDefault="00026585" w:rsidP="00026585">
            <w:pPr>
              <w:jc w:val="center"/>
              <w:rPr>
                <w:rFonts w:hint="eastAsia"/>
              </w:rPr>
            </w:pPr>
            <w:r w:rsidRPr="00BC5F17">
              <w:rPr>
                <w:rFonts w:hint="eastAsia"/>
              </w:rPr>
              <w:t>1,000元/笔</w:t>
            </w:r>
          </w:p>
        </w:tc>
      </w:tr>
    </w:tbl>
    <w:p w:rsidR="007143B0" w:rsidRDefault="007143B0">
      <w:pPr>
        <w:spacing w:line="360" w:lineRule="auto"/>
        <w:jc w:val="left"/>
        <w:divId w:val="2126734480"/>
        <w:rPr>
          <w:rFonts w:hint="eastAsia"/>
        </w:rPr>
      </w:pPr>
      <w:r>
        <w:rPr>
          <w:rFonts w:hint="eastAsia"/>
          <w:szCs w:val="21"/>
        </w:rPr>
        <w:t>注：1、M为申购金额。</w:t>
      </w:r>
      <w:r>
        <w:rPr>
          <w:rFonts w:hint="eastAsia"/>
          <w:szCs w:val="21"/>
        </w:rPr>
        <w:br/>
        <w:t xml:space="preserve">　　2、本基金的申购费用由申购人承担，主要用于本基金的市场推广、销售、注册登记等各项费用，不列入基金财产。</w:t>
      </w:r>
    </w:p>
    <w:p w:rsidR="007143B0" w:rsidRDefault="007143B0">
      <w:pPr>
        <w:pStyle w:val="XBRLTitle2"/>
        <w:spacing w:before="156"/>
        <w:rPr>
          <w:rFonts w:hint="eastAsia"/>
        </w:rPr>
      </w:pPr>
      <w:bookmarkStart w:id="59" w:name="_Toc34841033"/>
      <w:bookmarkStart w:id="60" w:name="_Toc34758524"/>
      <w:bookmarkStart w:id="61" w:name="_Toc433036679"/>
      <w:bookmarkStart w:id="62" w:name="_Toc247616208"/>
      <w:bookmarkStart w:id="63" w:name="_Toc245003735"/>
      <w:bookmarkStart w:id="64" w:name="_Toc244948694"/>
      <w:bookmarkStart w:id="65" w:name="_Toc485300223"/>
      <w:bookmarkStart w:id="66" w:name="_Toc453852604"/>
      <w:bookmarkStart w:id="67" w:name="_Toc452398732"/>
      <w:bookmarkStart w:id="68" w:name="_Toc454983260"/>
      <w:bookmarkStart w:id="69" w:name="m03_03"/>
      <w:bookmarkStart w:id="70" w:name="_Toc17898185"/>
      <w:bookmarkStart w:id="71" w:name="_Toc17897941"/>
      <w:bookmarkStart w:id="72" w:name="_Toc497398101"/>
      <w:bookmarkStart w:id="73" w:name="_Toc506208214"/>
      <w:bookmarkStart w:id="74" w:name="_Toc490050007"/>
      <w:bookmarkStart w:id="75" w:name="_Toc481075053"/>
      <w:bookmarkStart w:id="76" w:name="_Toc512519486"/>
      <w:r>
        <w:rPr>
          <w:rFonts w:hint="eastAsia"/>
        </w:rPr>
        <w:t>其他与申购相关的事项</w:t>
      </w:r>
      <w:bookmarkEnd w:id="59"/>
      <w:bookmarkEnd w:id="60"/>
    </w:p>
    <w:p w:rsidR="007143B0" w:rsidRDefault="007143B0">
      <w:pPr>
        <w:spacing w:line="360" w:lineRule="auto"/>
        <w:ind w:firstLineChars="200" w:firstLine="420"/>
        <w:rPr>
          <w:rFonts w:hint="eastAsia"/>
        </w:rPr>
      </w:pPr>
      <w:r>
        <w:rPr>
          <w:rFonts w:hint="eastAsia"/>
          <w:lang/>
        </w:rPr>
        <w:t>1、基金管理人可以在基金合同约定的范围内调整费率或收费方式，并最迟应于新的费率或收费方式实施日前依照《信息披露办法》的有关规定在规定媒介上公告。</w:t>
      </w:r>
      <w:r>
        <w:rPr>
          <w:rFonts w:hint="eastAsia"/>
          <w:lang/>
        </w:rPr>
        <w:br/>
        <w:t xml:space="preserve">　　2、当本基金发生大额申购情形时，基金管理人可以采用摆动定价机制，以确保基金估值的公</w:t>
      </w:r>
      <w:r>
        <w:rPr>
          <w:rFonts w:hint="eastAsia"/>
          <w:lang/>
        </w:rPr>
        <w:lastRenderedPageBreak/>
        <w:t>平性，具体处理原则与操作规范遵循相关法律法规以及监管部门、自律规则的规定。</w:t>
      </w:r>
      <w:r>
        <w:rPr>
          <w:rFonts w:hint="eastAsia"/>
          <w:lang/>
        </w:rPr>
        <w:br/>
        <w:t xml:space="preserve">　　3、在对现有基金份额持有人无不利影响的前提下，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的销售费率。</w:t>
      </w:r>
    </w:p>
    <w:p w:rsidR="007143B0" w:rsidRDefault="007143B0">
      <w:pPr>
        <w:pStyle w:val="XBRLTitle1"/>
        <w:spacing w:before="156" w:line="360" w:lineRule="auto"/>
        <w:rPr>
          <w:rFonts w:hAnsi="宋体" w:hint="eastAsia"/>
        </w:rPr>
      </w:pPr>
      <w:bookmarkStart w:id="77" w:name="_Toc34841041"/>
      <w:bookmarkStart w:id="78" w:name="_Toc34758532"/>
      <w:r>
        <w:rPr>
          <w:rFonts w:hAnsi="宋体" w:hint="eastAsia"/>
        </w:rPr>
        <w:t>定期定额投资业务</w:t>
      </w:r>
      <w:bookmarkEnd w:id="77"/>
      <w:bookmarkEnd w:id="78"/>
      <w:r>
        <w:rPr>
          <w:rFonts w:hAnsi="宋体" w:hint="eastAsia"/>
        </w:rPr>
        <w:t xml:space="preserve"> </w:t>
      </w:r>
    </w:p>
    <w:p w:rsidR="007143B0" w:rsidRDefault="007143B0">
      <w:pPr>
        <w:spacing w:line="360" w:lineRule="auto"/>
        <w:ind w:firstLineChars="200" w:firstLine="420"/>
        <w:rPr>
          <w:rFonts w:hint="eastAsia"/>
        </w:rPr>
      </w:pPr>
      <w:r>
        <w:rPr>
          <w:rFonts w:hint="eastAsia"/>
          <w:lang/>
        </w:rPr>
        <w:t>1、定期定额投资业务是指投资者可通过销售机构提交申请，约定每期扣款时间、扣款金额，由销售机构于每期约定扣款日在投资者指定资金账户内自动完成扣款，并提交基金申购申请的一种长期投资方式。</w:t>
      </w:r>
      <w:r>
        <w:rPr>
          <w:rFonts w:hint="eastAsia"/>
          <w:lang/>
        </w:rPr>
        <w:br/>
        <w:t xml:space="preserve">　　2、除另有公告外，定期定额投资费率与日常申购费率相同。</w:t>
      </w:r>
      <w:r>
        <w:rPr>
          <w:rFonts w:hint="eastAsia"/>
          <w:lang/>
        </w:rPr>
        <w:br/>
        <w:t xml:space="preserve">　　3、目前，投资者可在本基金管理人电子自助交易系统办理本基金的定期定额投资业务。各销售机构办理定期定额投资业务的具体网点、流程、规则以及投资者需要提交的文件等信息，请参照各销售机构的规定。</w:t>
      </w:r>
      <w:r>
        <w:rPr>
          <w:rFonts w:hint="eastAsia"/>
          <w:lang/>
        </w:rPr>
        <w:br/>
        <w:t xml:space="preserve">　　其中通过工银瑞信基金管理有限公司办理本基金的定投业务，每月最低申购额为100元人民币。投资者在各销售机构办理定投业务应遵循各销售机构相关的具体规定。其他销售本基金的销售机构以后如开通本基金的定期定额投资业务，本公司可不再特别公告，敬请广大投资者关注各销售机构开通上述业务的公告或垂询有关销售机构。当定期定额申购日该基金暂停交易时，定期定额投资处理以相关公告为准。</w:t>
      </w:r>
    </w:p>
    <w:p w:rsidR="007143B0" w:rsidRDefault="007143B0">
      <w:pPr>
        <w:pStyle w:val="XBRLTitle1"/>
        <w:spacing w:before="156" w:line="360" w:lineRule="auto"/>
        <w:rPr>
          <w:rFonts w:hAnsi="宋体" w:hint="eastAsia"/>
        </w:rPr>
      </w:pPr>
      <w:bookmarkStart w:id="79" w:name="_Toc34841042"/>
      <w:bookmarkStart w:id="80" w:name="_Toc3475852111"/>
      <w:r>
        <w:rPr>
          <w:rFonts w:hAnsi="宋体" w:hint="eastAsia"/>
        </w:rPr>
        <w:t>基金销售机构</w:t>
      </w:r>
      <w:bookmarkEnd w:id="30"/>
      <w:bookmarkEnd w:id="31"/>
      <w:bookmarkEnd w:id="32"/>
      <w:bookmarkEnd w:id="33"/>
      <w:bookmarkEnd w:id="34"/>
      <w:bookmarkEnd w:id="35"/>
      <w:bookmarkEnd w:id="36"/>
      <w:bookmarkEnd w:id="37"/>
      <w:bookmarkEnd w:id="79"/>
      <w:bookmarkEnd w:id="80"/>
      <w:r>
        <w:rPr>
          <w:rFonts w:hAnsi="宋体" w:hint="eastAsia"/>
        </w:rPr>
        <w:t xml:space="preserve"> </w:t>
      </w:r>
      <w:bookmarkEnd w:id="61"/>
      <w:bookmarkEnd w:id="62"/>
      <w:bookmarkEnd w:id="63"/>
      <w:bookmarkEnd w:id="64"/>
      <w:bookmarkEnd w:id="65"/>
      <w:bookmarkEnd w:id="66"/>
      <w:bookmarkEnd w:id="67"/>
      <w:bookmarkEnd w:id="68"/>
      <w:bookmarkEnd w:id="69"/>
      <w:bookmarkEnd w:id="70"/>
      <w:bookmarkEnd w:id="71"/>
      <w:bookmarkEnd w:id="72"/>
      <w:bookmarkEnd w:id="73"/>
    </w:p>
    <w:p w:rsidR="007143B0" w:rsidRDefault="007143B0">
      <w:pPr>
        <w:pStyle w:val="XBRLTitle2"/>
        <w:spacing w:before="156" w:line="360" w:lineRule="auto"/>
        <w:rPr>
          <w:rFonts w:hAnsi="宋体" w:hint="eastAsia"/>
        </w:rPr>
      </w:pPr>
      <w:bookmarkStart w:id="81" w:name="_Toc51346565811"/>
      <w:r>
        <w:rPr>
          <w:rFonts w:hAnsi="宋体" w:hint="eastAsia"/>
        </w:rPr>
        <w:t>场外销售机构</w:t>
      </w:r>
      <w:bookmarkEnd w:id="51"/>
      <w:bookmarkEnd w:id="52"/>
      <w:bookmarkEnd w:id="53"/>
      <w:bookmarkEnd w:id="54"/>
      <w:bookmarkEnd w:id="81"/>
      <w:r>
        <w:rPr>
          <w:rFonts w:hAnsi="宋体" w:hint="eastAsia"/>
        </w:rPr>
        <w:t xml:space="preserve"> </w:t>
      </w:r>
    </w:p>
    <w:p w:rsidR="007143B0" w:rsidRDefault="007143B0">
      <w:pPr>
        <w:pStyle w:val="XBRLTitle3"/>
        <w:spacing w:before="156"/>
        <w:rPr>
          <w:rFonts w:hint="eastAsia"/>
          <w:lang w:eastAsia="zh-CN"/>
        </w:rPr>
      </w:pPr>
      <w:bookmarkStart w:id="82" w:name="_Toc51346565911"/>
      <w:r>
        <w:rPr>
          <w:rFonts w:hint="eastAsia"/>
        </w:rPr>
        <w:t>直销机构</w:t>
      </w:r>
      <w:bookmarkEnd w:id="56"/>
      <w:bookmarkEnd w:id="57"/>
      <w:bookmarkEnd w:id="58"/>
      <w:bookmarkEnd w:id="82"/>
      <w:r>
        <w:rPr>
          <w:rFonts w:hint="eastAsia"/>
          <w:lang w:eastAsia="zh-CN"/>
        </w:rPr>
        <w:t xml:space="preserve"> </w:t>
      </w:r>
    </w:p>
    <w:p w:rsidR="007143B0" w:rsidRDefault="007143B0">
      <w:pPr>
        <w:spacing w:line="360" w:lineRule="auto"/>
        <w:ind w:firstLineChars="200" w:firstLine="420"/>
        <w:rPr>
          <w:rFonts w:hint="eastAsia"/>
        </w:rPr>
      </w:pPr>
      <w:r>
        <w:rPr>
          <w:rFonts w:hint="eastAsia"/>
          <w:lang/>
        </w:rPr>
        <w:t>名称：工银瑞信基金管理有限公司</w:t>
      </w:r>
      <w:r>
        <w:rPr>
          <w:rFonts w:hint="eastAsia"/>
          <w:lang/>
        </w:rPr>
        <w:br/>
        <w:t xml:space="preserve">　　住所：北京市西城区金融大街5号、甲5号6层甲5号601、甲5号7层甲5号701、甲5号8层甲5号801、甲5号9层甲5号901</w:t>
      </w:r>
      <w:r>
        <w:rPr>
          <w:rFonts w:hint="eastAsia"/>
          <w:lang/>
        </w:rPr>
        <w:br/>
        <w:t xml:space="preserve">　　办公地址：北京市西城区金融大街5号新盛大厦A座6-9层</w:t>
      </w:r>
      <w:r>
        <w:rPr>
          <w:rFonts w:hint="eastAsia"/>
          <w:lang/>
        </w:rPr>
        <w:br/>
        <w:t xml:space="preserve">　　公司网址：www.icbccs.com.cn</w:t>
      </w:r>
      <w:r>
        <w:rPr>
          <w:rFonts w:hint="eastAsia"/>
          <w:lang/>
        </w:rPr>
        <w:br/>
        <w:t xml:space="preserve">　　全国统一客户服务电话：400-811-9999</w:t>
      </w:r>
      <w:r>
        <w:rPr>
          <w:rFonts w:hint="eastAsia"/>
          <w:lang/>
        </w:rPr>
        <w:br/>
        <w:t xml:space="preserve">　　投资者还可通过本公司电子自助交易系统申购本基金。</w:t>
      </w:r>
    </w:p>
    <w:p w:rsidR="007143B0" w:rsidRDefault="007143B0">
      <w:pPr>
        <w:pStyle w:val="XBRLTitle3"/>
        <w:spacing w:before="156"/>
        <w:rPr>
          <w:rFonts w:hint="eastAsia"/>
        </w:rPr>
      </w:pPr>
      <w:bookmarkStart w:id="83" w:name="_Toc51346566011"/>
      <w:r>
        <w:rPr>
          <w:rFonts w:hint="eastAsia"/>
        </w:rPr>
        <w:t>场外非直销机构</w:t>
      </w:r>
      <w:bookmarkEnd w:id="74"/>
      <w:bookmarkEnd w:id="75"/>
      <w:bookmarkEnd w:id="76"/>
      <w:bookmarkEnd w:id="83"/>
    </w:p>
    <w:p w:rsidR="007143B0" w:rsidRPr="00026585" w:rsidRDefault="007143B0">
      <w:pPr>
        <w:spacing w:line="360" w:lineRule="auto"/>
        <w:ind w:firstLineChars="200" w:firstLine="420"/>
        <w:divId w:val="558632250"/>
        <w:rPr>
          <w:rFonts w:hint="eastAsia"/>
          <w:lang/>
        </w:rPr>
      </w:pPr>
      <w:r w:rsidRPr="00026585">
        <w:rPr>
          <w:rFonts w:hint="eastAsia"/>
          <w:lang/>
        </w:rPr>
        <w:t>中国工商银行股份有限公司、中国农业银行股份有限公司、中国银行股份有限公司、交通银行股份有限公司、招商银行股份有限公司、中信银行股份有限公司、上海浦东发展银行股份有限公司、中国邮政储蓄银行股份有限公司、平安银行股份有限公司、宁波银行股份有限公司、东莞农村商业银行股份有限公司、晋商银行股份有限公司、龙江银行股份有限公司、国泰君安证券股份有限公司、中信建投证券股份有限公司、国信证券股份有限公司、招商证券股份有限公司、广发证券股份有限公司、中信证券股份有限公司、中国银河证券股份有限公司、海通证券股份有限公司、申万宏源证券有限公司、兴业证券股份有限公司、长江证券股份有限公司、安信证券股份有限公司、万联证券股份有限公司、国元证券股份有限公司、华泰证券股份有限公司、山西证券股份有限公司、中信证券（山东）有限责任公司、东兴证券股份有限公司、东吴证券股份有限公司、信达证券股份有限公司、东方证券股份有限公司、方正证券股份有限公司、光大证券股份有限公司、中信证券华南股份有限公司、大同证券有限责任公司、浙商证券股份有限公司、平安证券股份有限公司、华安证券股份有限公司、中原证券股份有限公司、国都证券股份有限公司、东海证券股份有限公司、恒泰证券股份有限公司、国盛证券有限责任公司、华西证券股份有限公司、申万宏源西部证券有限公司、中泰证券股份有限公司、第一创业证券股份有限公司、中航证券有限公司、财通证券股份有限公司、中国中金财富证券有限公司、江海证券有限公司、国金证券股份有限公司、长城国瑞证券有限公司、天风证券股份有限公司、万和证券股份有限公司、深圳市新兰德证券投资咨询有限公司、诺亚正行基金销售有限公司、上海天天基金销售有限公司、上海好买基金销售有限公司、蚂蚁（杭州）基金销售有限公司、浙江同花顺基金销售有限公司、嘉实财富管理有限公司、宜信普泽（北京）基金销售有限公司、南京苏宁基金销售有限公司、北京恒天明泽基金销售有限公司、北京汇成基金销售有限公司、北京唐鼎耀华基金销售有限公司、北京植信基金销售有限公司、上海陆金所基金销售有限公司、珠海盈米基金销售有限公司、和耕传承基金销售有限公司、中证金牛（北京）投资咨询有限公司、京东肯特瑞基金销售有限公司、北京蛋卷基金销售有限公司、上海华夏财富投资管理有限公司、中信建投期货有限公司、中信期货有限公司</w:t>
      </w:r>
      <w:r w:rsidR="00026585">
        <w:rPr>
          <w:rFonts w:hint="eastAsia"/>
        </w:rPr>
        <w:t>等</w:t>
      </w:r>
      <w:r w:rsidRPr="00026585">
        <w:rPr>
          <w:rFonts w:hint="eastAsia"/>
          <w:lang/>
        </w:rPr>
        <w:t xml:space="preserve">。 </w:t>
      </w:r>
    </w:p>
    <w:p w:rsidR="007143B0" w:rsidRDefault="007143B0">
      <w:pPr>
        <w:pStyle w:val="XBRLTitle1"/>
        <w:spacing w:before="156" w:line="360" w:lineRule="auto"/>
        <w:rPr>
          <w:rFonts w:hAnsi="宋体" w:hint="eastAsia"/>
        </w:rPr>
      </w:pPr>
      <w:bookmarkStart w:id="84" w:name="_Toc34841045"/>
      <w:bookmarkStart w:id="85" w:name="_Toc3475853211"/>
      <w:r>
        <w:rPr>
          <w:rFonts w:hAnsi="宋体" w:hint="eastAsia"/>
        </w:rPr>
        <w:t>基金份额净值公告/基金收益公告的披露安排</w:t>
      </w:r>
      <w:bookmarkEnd w:id="84"/>
      <w:bookmarkEnd w:id="85"/>
      <w:r>
        <w:rPr>
          <w:rFonts w:hAnsi="宋体" w:hint="eastAsia"/>
        </w:rPr>
        <w:t xml:space="preserve"> </w:t>
      </w:r>
    </w:p>
    <w:p w:rsidR="007143B0" w:rsidRDefault="007143B0">
      <w:pPr>
        <w:spacing w:line="360" w:lineRule="auto"/>
        <w:ind w:firstLineChars="200" w:firstLine="420"/>
        <w:rPr>
          <w:rFonts w:hint="eastAsia"/>
        </w:rPr>
      </w:pPr>
      <w:r>
        <w:rPr>
          <w:rFonts w:hint="eastAsia"/>
          <w:lang/>
        </w:rPr>
        <w:t>在开始办理基金份额申购或者赎回后，基金管理人应当在不晚于每个开放日的次日，通过规定网站、基金销售机构网站或者营业网点披露开放日的基金份额净值和基金份额累计净值。</w:t>
      </w:r>
      <w:r>
        <w:rPr>
          <w:rFonts w:hint="eastAsia"/>
          <w:lang/>
        </w:rPr>
        <w:br/>
        <w:t xml:space="preserve">　　基金管理人应当在不晚于半年度和年度最后一日的次日，在规定网站披露半年度和年度最后一日的基金份额净值和基金份额累计净值。</w:t>
      </w:r>
    </w:p>
    <w:p w:rsidR="007143B0" w:rsidRDefault="007143B0">
      <w:pPr>
        <w:pStyle w:val="XBRLTitle1"/>
        <w:spacing w:before="156" w:line="360" w:lineRule="auto"/>
        <w:rPr>
          <w:rFonts w:hAnsi="宋体" w:hint="eastAsia"/>
        </w:rPr>
      </w:pPr>
      <w:bookmarkStart w:id="86" w:name="_Toc34841046"/>
      <w:bookmarkStart w:id="87" w:name="_Toc3475853212"/>
      <w:r>
        <w:rPr>
          <w:rFonts w:hAnsi="宋体" w:hint="eastAsia"/>
        </w:rPr>
        <w:t>其他需要提示的事项</w:t>
      </w:r>
      <w:bookmarkEnd w:id="15"/>
      <w:bookmarkEnd w:id="16"/>
      <w:bookmarkEnd w:id="17"/>
      <w:bookmarkEnd w:id="18"/>
      <w:bookmarkEnd w:id="19"/>
      <w:bookmarkEnd w:id="20"/>
      <w:bookmarkEnd w:id="21"/>
      <w:bookmarkEnd w:id="22"/>
      <w:bookmarkEnd w:id="86"/>
      <w:bookmarkEnd w:id="87"/>
      <w:r>
        <w:rPr>
          <w:rFonts w:hAnsi="宋体" w:hint="eastAsia"/>
        </w:rPr>
        <w:t xml:space="preserve"> </w:t>
      </w:r>
      <w:bookmarkEnd w:id="38"/>
      <w:bookmarkEnd w:id="39"/>
    </w:p>
    <w:bookmarkEnd w:id="10"/>
    <w:p w:rsidR="007143B0" w:rsidRPr="0090752F" w:rsidRDefault="007143B0" w:rsidP="0090752F">
      <w:pPr>
        <w:spacing w:line="360" w:lineRule="auto"/>
        <w:ind w:firstLineChars="200" w:firstLine="420"/>
        <w:rPr>
          <w:rFonts w:hint="eastAsia"/>
          <w:lang/>
        </w:rPr>
      </w:pPr>
      <w:r>
        <w:rPr>
          <w:rFonts w:hint="eastAsia"/>
          <w:lang/>
        </w:rPr>
        <w:t>1、申购和赎回的申请方式</w:t>
      </w:r>
      <w:r>
        <w:rPr>
          <w:rFonts w:hint="eastAsia"/>
          <w:lang/>
        </w:rPr>
        <w:br/>
        <w:t xml:space="preserve">　　投资人必须根据销售机构规定的程序，在开放日的具体业务办理时间内提出申购或赎回的申请。</w:t>
      </w:r>
      <w:r>
        <w:rPr>
          <w:rFonts w:hint="eastAsia"/>
          <w:lang/>
        </w:rPr>
        <w:br/>
        <w:t xml:space="preserve">　　2、申购和赎回的款项支付</w:t>
      </w:r>
      <w:r>
        <w:rPr>
          <w:rFonts w:hint="eastAsia"/>
          <w:lang/>
        </w:rPr>
        <w:br/>
        <w:t xml:space="preserve">　　投资人申购基金份额时，必须全额交付申购款项，投资人交付申购款项，申购成立；基金份额登记机构确认基金份额时，申购生效。</w:t>
      </w:r>
      <w:r>
        <w:rPr>
          <w:rFonts w:hint="eastAsia"/>
          <w:lang/>
        </w:rPr>
        <w:br/>
        <w:t xml:space="preserve">　　基金份额持有人递交赎回申请，赎回成立；基金份额登记机构确认赎回时，赎回生效。投资者赎回申请生效后，基金管理人将在T＋7日(包括该日)内支付赎回款项。遇证券、期货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r>
        <w:rPr>
          <w:rFonts w:hint="eastAsia"/>
          <w:lang/>
        </w:rPr>
        <w:br/>
        <w:t xml:space="preserve">　　3、申购和赎回申请的确认</w:t>
      </w:r>
      <w:r>
        <w:rPr>
          <w:rFonts w:hint="eastAsia"/>
          <w:lang/>
        </w:rPr>
        <w:br/>
        <w:t xml:space="preserve">　　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立或无效，则申购款项本金退还给投资人。</w:t>
      </w:r>
      <w:r>
        <w:rPr>
          <w:rFonts w:hint="eastAsia"/>
          <w:lang/>
        </w:rPr>
        <w:br/>
        <w:t xml:space="preserve">　　基金销售机构对申购、赎回申请的受理并不代表申请一定成功，而仅代表销售机构确实接收到申请。申购、赎回的确认以登记机构的确认结果为准。对于申请的确认情况，投资者应及时查询。因投资者怠于履行该项查询等各项义务，致使其相关权益受损的，基金管理人、基金托管人、其他基金销售机构不承担由此造成的损失或不利后果。如因申请未得到登记机构的确认而造成的损失，由投资人自行承担。</w:t>
      </w:r>
      <w:r>
        <w:rPr>
          <w:rFonts w:hint="eastAsia"/>
          <w:lang/>
        </w:rPr>
        <w:br/>
        <w:t xml:space="preserve">　　4、在法律法规允许的范围内，本基金登记机构可根据相关业务规则，对上述业务办理时间进行调整，本基金管理人将于开始实施前按照有关规定予以公告。</w:t>
      </w:r>
      <w:r>
        <w:rPr>
          <w:rFonts w:hint="eastAsia"/>
          <w:lang/>
        </w:rPr>
        <w:br/>
        <w:t xml:space="preserve">　　5、如有任何疑问，欢迎与我们联系：</w:t>
      </w:r>
      <w:r>
        <w:rPr>
          <w:rFonts w:hint="eastAsia"/>
          <w:lang/>
        </w:rPr>
        <w:br/>
        <w:t xml:space="preserve">　　客户服务中心电话：400-811-9999</w:t>
      </w:r>
      <w:r>
        <w:rPr>
          <w:rFonts w:hint="eastAsia"/>
          <w:lang/>
        </w:rPr>
        <w:br/>
        <w:t xml:space="preserve">　　电子邮件地址：</w:t>
      </w:r>
      <w:hyperlink r:id="rId8" w:history="1">
        <w:r w:rsidR="003A7BF2" w:rsidRPr="003A7BF2">
          <w:rPr>
            <w:rFonts w:hint="eastAsia"/>
            <w:lang/>
          </w:rPr>
          <w:t>customerservice@icbccs.com.cn</w:t>
        </w:r>
      </w:hyperlink>
      <w:r>
        <w:rPr>
          <w:rFonts w:hint="eastAsia"/>
          <w:lang/>
        </w:rPr>
        <w:br/>
        <w:t xml:space="preserve">　　</w:t>
      </w:r>
      <w:r w:rsidR="0090752F">
        <w:rPr>
          <w:lang/>
        </w:rPr>
        <w:t>6</w:t>
      </w:r>
      <w:r>
        <w:rPr>
          <w:rFonts w:hint="eastAsia"/>
          <w:lang/>
        </w:rPr>
        <w:t>、风险提示：本基金管理人承诺以诚实信用、勤勉尽责的原则管理和运用基金资产，但不保证基金一定盈利，也不保证最低收益。敬请投资者于投资前认真阅读本基金的</w:t>
      </w:r>
      <w:r w:rsidR="00912E49">
        <w:rPr>
          <w:rFonts w:hint="eastAsia"/>
        </w:rPr>
        <w:t>《基金产品资料概要》、</w:t>
      </w:r>
      <w:r>
        <w:rPr>
          <w:rFonts w:hint="eastAsia"/>
          <w:lang/>
        </w:rPr>
        <w:t>《基金合同》和《招募说明书》。</w:t>
      </w:r>
      <w:bookmarkEnd w:id="11"/>
      <w:bookmarkEnd w:id="12"/>
      <w:bookmarkEnd w:id="23"/>
      <w:bookmarkEnd w:id="24"/>
      <w:bookmarkEnd w:id="25"/>
      <w:bookmarkEnd w:id="26"/>
    </w:p>
    <w:p w:rsidR="00912E49" w:rsidRDefault="00912E49">
      <w:pPr>
        <w:spacing w:line="360" w:lineRule="auto"/>
        <w:ind w:firstLineChars="600" w:firstLine="1260"/>
        <w:jc w:val="right"/>
        <w:rPr>
          <w:lang/>
        </w:rPr>
      </w:pPr>
    </w:p>
    <w:p w:rsidR="00912E49" w:rsidRDefault="00912E49">
      <w:pPr>
        <w:spacing w:line="360" w:lineRule="auto"/>
        <w:ind w:firstLineChars="600" w:firstLine="1260"/>
        <w:jc w:val="right"/>
        <w:rPr>
          <w:lang/>
        </w:rPr>
      </w:pPr>
    </w:p>
    <w:p w:rsidR="007143B0" w:rsidRDefault="007143B0">
      <w:pPr>
        <w:spacing w:line="360" w:lineRule="auto"/>
        <w:ind w:firstLineChars="600" w:firstLine="1260"/>
        <w:jc w:val="right"/>
        <w:rPr>
          <w:rFonts w:hint="eastAsia"/>
          <w:lang/>
        </w:rPr>
      </w:pPr>
      <w:r w:rsidRPr="00026585">
        <w:rPr>
          <w:rFonts w:hint="eastAsia"/>
          <w:lang/>
        </w:rPr>
        <w:t>工银瑞信基金管理有限公司</w:t>
      </w:r>
    </w:p>
    <w:p w:rsidR="007143B0" w:rsidRDefault="007143B0">
      <w:pPr>
        <w:spacing w:line="360" w:lineRule="auto"/>
        <w:ind w:firstLineChars="600" w:firstLine="1260"/>
        <w:jc w:val="right"/>
        <w:rPr>
          <w:rFonts w:hint="eastAsia"/>
          <w:lang/>
        </w:rPr>
      </w:pPr>
      <w:r w:rsidRPr="00026585">
        <w:rPr>
          <w:rFonts w:hint="eastAsia"/>
          <w:lang/>
        </w:rPr>
        <w:t>2021年4月13日</w:t>
      </w:r>
      <w:bookmarkEnd w:id="27"/>
    </w:p>
    <w:sectPr w:rsidR="007143B0">
      <w:headerReference w:type="default" r:id="rId9"/>
      <w:footerReference w:type="default" r:id="rId10"/>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48" w:rsidRDefault="00C62348">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C62348" w:rsidRDefault="00C6234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B0" w:rsidRDefault="007143B0">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BF363B">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BF363B">
      <w:rPr>
        <w:noProof/>
        <w:sz w:val="18"/>
        <w:szCs w:val="18"/>
      </w:rPr>
      <w:t>4</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48" w:rsidRDefault="00C62348">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C62348" w:rsidRDefault="00C62348">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B0" w:rsidRDefault="007143B0">
    <w:pPr>
      <w:pStyle w:val="a8"/>
      <w:jc w:val="right"/>
      <w:rPr>
        <w:rFonts w:hint="eastAsia"/>
      </w:rPr>
    </w:pPr>
    <w:r>
      <w:rPr>
        <w:rFonts w:hint="eastAsia"/>
      </w:rPr>
      <w:t>工银瑞信圆丰三年持有期混合型证券投资基金开放日常申购、定期定额投资业务的公告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5F17"/>
    <w:rsid w:val="00026585"/>
    <w:rsid w:val="001B1CDE"/>
    <w:rsid w:val="003A7BF2"/>
    <w:rsid w:val="00554912"/>
    <w:rsid w:val="005B47EB"/>
    <w:rsid w:val="00692A8F"/>
    <w:rsid w:val="007143B0"/>
    <w:rsid w:val="007248BA"/>
    <w:rsid w:val="007A111C"/>
    <w:rsid w:val="0090752F"/>
    <w:rsid w:val="00912E49"/>
    <w:rsid w:val="00BA13AF"/>
    <w:rsid w:val="00BC5F17"/>
    <w:rsid w:val="00BF363B"/>
    <w:rsid w:val="00C62348"/>
    <w:rsid w:val="00E75AFC"/>
    <w:rsid w:val="00EA142F"/>
    <w:rsid w:val="00F32DF3"/>
    <w:rsid w:val="00F97097"/>
    <w:rsid w:val="00FA3B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pPr>
      <w:ind w:leftChars="200" w:left="420"/>
    </w:pPr>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left"/>
    </w:pPr>
    <w:rPr>
      <w:rFonts w:hAnsi="Cambria"/>
      <w:sz w:val="24"/>
      <w:szCs w:val="32"/>
    </w:rPr>
  </w:style>
  <w:style w:type="paragraph" w:customStyle="1" w:styleId="XBRLTitle2">
    <w:name w:val="XBRLTitle2"/>
    <w:basedOn w:val="ae"/>
    <w:next w:val="4"/>
    <w:qFormat/>
    <w:pPr>
      <w:keepNext w:val="0"/>
      <w:keepLines w:val="0"/>
      <w:numPr>
        <w:ilvl w:val="1"/>
        <w:numId w:val="2"/>
      </w:numPr>
      <w:spacing w:beforeLines="50" w:after="0" w:line="240" w:lineRule="auto"/>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styleId="af9">
    <w:name w:val="annotation reference"/>
    <w:uiPriority w:val="99"/>
    <w:semiHidden/>
    <w:unhideWhenUsed/>
    <w:rsid w:val="00554912"/>
    <w:rPr>
      <w:sz w:val="21"/>
      <w:szCs w:val="21"/>
    </w:rPr>
  </w:style>
  <w:style w:type="paragraph" w:styleId="afa">
    <w:name w:val="annotation text"/>
    <w:basedOn w:val="a"/>
    <w:link w:val="afb"/>
    <w:uiPriority w:val="99"/>
    <w:semiHidden/>
    <w:unhideWhenUsed/>
    <w:rsid w:val="00554912"/>
    <w:pPr>
      <w:jc w:val="left"/>
    </w:pPr>
  </w:style>
  <w:style w:type="character" w:customStyle="1" w:styleId="afb">
    <w:name w:val="批注文字 字符"/>
    <w:link w:val="afa"/>
    <w:uiPriority w:val="99"/>
    <w:semiHidden/>
    <w:rsid w:val="00554912"/>
    <w:rPr>
      <w:rFonts w:cs="宋体"/>
      <w:kern w:val="2"/>
      <w:sz w:val="21"/>
    </w:rPr>
  </w:style>
  <w:style w:type="paragraph" w:styleId="afc">
    <w:name w:val="annotation subject"/>
    <w:basedOn w:val="afa"/>
    <w:next w:val="afa"/>
    <w:link w:val="afd"/>
    <w:uiPriority w:val="99"/>
    <w:semiHidden/>
    <w:unhideWhenUsed/>
    <w:rsid w:val="00554912"/>
    <w:rPr>
      <w:b/>
      <w:bCs/>
    </w:rPr>
  </w:style>
  <w:style w:type="character" w:customStyle="1" w:styleId="afd">
    <w:name w:val="批注主题 字符"/>
    <w:link w:val="afc"/>
    <w:uiPriority w:val="99"/>
    <w:semiHidden/>
    <w:rsid w:val="00554912"/>
    <w:rPr>
      <w:rFonts w:cs="宋体"/>
      <w:b/>
      <w:bCs/>
      <w:kern w:val="2"/>
      <w:sz w:val="21"/>
    </w:rPr>
  </w:style>
</w:styles>
</file>

<file path=word/webSettings.xml><?xml version="1.0" encoding="utf-8"?>
<w:webSettings xmlns:r="http://schemas.openxmlformats.org/officeDocument/2006/relationships" xmlns:w="http://schemas.openxmlformats.org/wordprocessingml/2006/main">
  <w:divs>
    <w:div w:id="351078261">
      <w:marLeft w:val="0"/>
      <w:marRight w:val="0"/>
      <w:marTop w:val="0"/>
      <w:marBottom w:val="0"/>
      <w:divBdr>
        <w:top w:val="none" w:sz="0" w:space="0" w:color="auto"/>
        <w:left w:val="none" w:sz="0" w:space="0" w:color="auto"/>
        <w:bottom w:val="none" w:sz="0" w:space="0" w:color="auto"/>
        <w:right w:val="none" w:sz="0" w:space="0" w:color="auto"/>
      </w:divBdr>
    </w:div>
    <w:div w:id="558632250">
      <w:marLeft w:val="0"/>
      <w:marRight w:val="0"/>
      <w:marTop w:val="0"/>
      <w:marBottom w:val="0"/>
      <w:divBdr>
        <w:top w:val="none" w:sz="0" w:space="0" w:color="auto"/>
        <w:left w:val="none" w:sz="0" w:space="0" w:color="auto"/>
        <w:bottom w:val="none" w:sz="0" w:space="0" w:color="auto"/>
        <w:right w:val="none" w:sz="0" w:space="0" w:color="auto"/>
      </w:divBdr>
    </w:div>
    <w:div w:id="21267344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icbccs.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631B-AA3A-453A-B160-1CAEE2CF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4171</Characters>
  <Application>Microsoft Office Word</Application>
  <DocSecurity>4</DocSecurity>
  <Lines>34</Lines>
  <Paragraphs>9</Paragraphs>
  <ScaleCrop>false</ScaleCrop>
  <Company/>
  <LinksUpToDate>false</LinksUpToDate>
  <CharactersWithSpaces>4893</CharactersWithSpaces>
  <SharedDoc>false</SharedDoc>
  <HLinks>
    <vt:vector size="6" baseType="variant">
      <vt:variant>
        <vt:i4>1835130</vt:i4>
      </vt:variant>
      <vt:variant>
        <vt:i4>0</vt:i4>
      </vt:variant>
      <vt:variant>
        <vt:i4>0</vt:i4>
      </vt:variant>
      <vt:variant>
        <vt:i4>5</vt:i4>
      </vt:variant>
      <vt:variant>
        <vt:lpwstr>mailto:customerservice@icbccs.com.cn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2021-04-12T07:43:00Z</cp:lastPrinted>
  <dcterms:created xsi:type="dcterms:W3CDTF">2021-04-12T16:47:00Z</dcterms:created>
  <dcterms:modified xsi:type="dcterms:W3CDTF">2021-04-12T16:47:00Z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