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D6" w:rsidRPr="00315209" w:rsidRDefault="004D1830" w:rsidP="00947188">
      <w:pPr>
        <w:spacing w:line="360" w:lineRule="auto"/>
        <w:jc w:val="center"/>
        <w:rPr>
          <w:rFonts w:ascii="Arial" w:hAnsi="Arial" w:cs="Arial"/>
          <w:b/>
          <w:bCs/>
          <w:color w:val="000000"/>
          <w:sz w:val="32"/>
          <w:szCs w:val="32"/>
        </w:rPr>
      </w:pPr>
      <w:r>
        <w:rPr>
          <w:rFonts w:ascii="Arial" w:hAnsi="宋体" w:cs="Arial" w:hint="eastAsia"/>
          <w:b/>
          <w:bCs/>
          <w:color w:val="000000"/>
          <w:sz w:val="32"/>
          <w:szCs w:val="32"/>
        </w:rPr>
        <w:t>关于</w:t>
      </w:r>
      <w:r w:rsidR="00353EDB">
        <w:rPr>
          <w:rFonts w:ascii="Arial" w:hAnsi="宋体" w:cs="Arial" w:hint="eastAsia"/>
          <w:b/>
          <w:bCs/>
          <w:color w:val="000000"/>
          <w:sz w:val="32"/>
          <w:szCs w:val="32"/>
        </w:rPr>
        <w:t>景顺长城产业趋势混合型证券投资基金</w:t>
      </w:r>
      <w:r w:rsidR="00FE3E56" w:rsidRPr="00265063">
        <w:rPr>
          <w:rFonts w:ascii="Arial" w:hAnsi="宋体" w:cs="Arial" w:hint="eastAsia"/>
          <w:b/>
          <w:bCs/>
          <w:color w:val="000000"/>
          <w:sz w:val="32"/>
          <w:szCs w:val="32"/>
        </w:rPr>
        <w:t>参加部分销售机构</w:t>
      </w:r>
      <w:r w:rsidR="009D2FD6" w:rsidRPr="00265063">
        <w:rPr>
          <w:rFonts w:ascii="Arial" w:hAnsi="宋体" w:cs="Arial"/>
          <w:b/>
          <w:bCs/>
          <w:color w:val="000000"/>
          <w:sz w:val="32"/>
          <w:szCs w:val="32"/>
        </w:rPr>
        <w:t>申购及</w:t>
      </w:r>
      <w:r w:rsidR="009D2FD6" w:rsidRPr="009C44CF">
        <w:rPr>
          <w:rFonts w:ascii="Arial" w:hAnsi="Arial" w:cs="Arial"/>
          <w:b/>
          <w:bCs/>
          <w:color w:val="000000"/>
          <w:sz w:val="32"/>
          <w:szCs w:val="32"/>
        </w:rPr>
        <w:t>/</w:t>
      </w:r>
      <w:r w:rsidR="009D2FD6" w:rsidRPr="009C44CF">
        <w:rPr>
          <w:rFonts w:ascii="Arial" w:hAnsi="宋体" w:cs="Arial"/>
          <w:b/>
          <w:bCs/>
          <w:color w:val="000000"/>
          <w:sz w:val="32"/>
          <w:szCs w:val="32"/>
        </w:rPr>
        <w:t>或定期定额投资申购费率优惠活动的公告</w:t>
      </w:r>
    </w:p>
    <w:p w:rsidR="009D2FD6" w:rsidRPr="00C84756" w:rsidRDefault="009D2FD6" w:rsidP="009D2FD6">
      <w:pPr>
        <w:snapToGrid w:val="0"/>
        <w:spacing w:line="400" w:lineRule="exact"/>
        <w:ind w:firstLineChars="200" w:firstLine="480"/>
        <w:rPr>
          <w:rFonts w:ascii="Arial" w:hAnsi="Arial" w:cs="Arial"/>
          <w:color w:val="000000"/>
          <w:sz w:val="24"/>
          <w:szCs w:val="24"/>
        </w:rPr>
      </w:pPr>
    </w:p>
    <w:p w:rsidR="009D2FD6" w:rsidRPr="000461EA" w:rsidRDefault="009D2FD6" w:rsidP="00F4265C">
      <w:pPr>
        <w:spacing w:line="360" w:lineRule="auto"/>
        <w:ind w:firstLineChars="200" w:firstLine="480"/>
        <w:rPr>
          <w:rFonts w:ascii="Arial" w:hAnsi="Arial" w:cs="Arial"/>
          <w:color w:val="000000"/>
          <w:sz w:val="24"/>
          <w:szCs w:val="24"/>
        </w:rPr>
      </w:pPr>
      <w:r w:rsidRPr="000461EA">
        <w:rPr>
          <w:rFonts w:ascii="Arial" w:hAnsi="Arial" w:cs="Arial"/>
          <w:color w:val="000000"/>
          <w:sz w:val="24"/>
          <w:szCs w:val="24"/>
        </w:rPr>
        <w:t>为更好</w:t>
      </w:r>
      <w:r w:rsidR="00DD3467" w:rsidRPr="000461EA">
        <w:rPr>
          <w:rFonts w:ascii="Arial" w:hAnsi="Arial" w:cs="Arial" w:hint="eastAsia"/>
          <w:color w:val="000000"/>
          <w:sz w:val="24"/>
          <w:szCs w:val="24"/>
        </w:rPr>
        <w:t>地</w:t>
      </w:r>
      <w:r w:rsidRPr="000461EA">
        <w:rPr>
          <w:rFonts w:ascii="Arial" w:hAnsi="Arial" w:cs="Arial"/>
          <w:color w:val="000000"/>
          <w:sz w:val="24"/>
          <w:szCs w:val="24"/>
        </w:rPr>
        <w:t>满足广大客户的理财</w:t>
      </w:r>
      <w:r w:rsidR="00DD3467" w:rsidRPr="000461EA">
        <w:rPr>
          <w:rFonts w:ascii="Arial" w:hAnsi="Arial" w:cs="Arial"/>
          <w:color w:val="000000"/>
          <w:sz w:val="24"/>
          <w:szCs w:val="24"/>
        </w:rPr>
        <w:t>需</w:t>
      </w:r>
      <w:r w:rsidR="00DD3467" w:rsidRPr="000461EA">
        <w:rPr>
          <w:rFonts w:ascii="Arial" w:hAnsi="Arial" w:cs="Arial" w:hint="eastAsia"/>
          <w:color w:val="000000"/>
          <w:sz w:val="24"/>
          <w:szCs w:val="24"/>
        </w:rPr>
        <w:t>求</w:t>
      </w:r>
      <w:r w:rsidRPr="000461EA">
        <w:rPr>
          <w:rFonts w:ascii="Arial" w:hAnsi="Arial" w:cs="Arial"/>
          <w:color w:val="000000"/>
          <w:sz w:val="24"/>
          <w:szCs w:val="24"/>
        </w:rPr>
        <w:t>，</w:t>
      </w:r>
      <w:r w:rsidR="00353EDB">
        <w:rPr>
          <w:rFonts w:ascii="Arial" w:hAnsi="Arial" w:cs="Arial" w:hint="eastAsia"/>
          <w:sz w:val="24"/>
          <w:szCs w:val="24"/>
        </w:rPr>
        <w:t>景顺长城产业趋势混合型证券投资基金</w:t>
      </w:r>
      <w:r w:rsidRPr="000461EA">
        <w:rPr>
          <w:rFonts w:ascii="Arial" w:hAnsi="Arial" w:cs="Arial"/>
          <w:color w:val="000000"/>
          <w:sz w:val="24"/>
          <w:szCs w:val="24"/>
        </w:rPr>
        <w:t>自</w:t>
      </w:r>
      <w:r w:rsidR="00E87F42" w:rsidRPr="000461EA">
        <w:rPr>
          <w:rFonts w:ascii="Arial" w:hAnsi="Arial" w:cs="Arial"/>
          <w:color w:val="000000"/>
          <w:sz w:val="24"/>
          <w:szCs w:val="24"/>
        </w:rPr>
        <w:t>20</w:t>
      </w:r>
      <w:r w:rsidR="00353EDB">
        <w:rPr>
          <w:rFonts w:ascii="Arial" w:hAnsi="Arial" w:cs="Arial" w:hint="eastAsia"/>
          <w:color w:val="000000"/>
          <w:sz w:val="24"/>
          <w:szCs w:val="24"/>
        </w:rPr>
        <w:t>2</w:t>
      </w:r>
      <w:r w:rsidR="00353EDB">
        <w:rPr>
          <w:rFonts w:ascii="Arial" w:hAnsi="Arial" w:cs="Arial"/>
          <w:color w:val="000000"/>
          <w:sz w:val="24"/>
          <w:szCs w:val="24"/>
        </w:rPr>
        <w:t>1</w:t>
      </w:r>
      <w:r w:rsidR="00E87F42" w:rsidRPr="000461EA">
        <w:rPr>
          <w:rFonts w:ascii="Arial" w:hAnsi="Arial" w:cs="Arial"/>
          <w:color w:val="000000"/>
          <w:sz w:val="24"/>
          <w:szCs w:val="24"/>
        </w:rPr>
        <w:t>年</w:t>
      </w:r>
      <w:r w:rsidR="00353EDB">
        <w:rPr>
          <w:rFonts w:ascii="Arial" w:hAnsi="Arial" w:cs="Arial" w:hint="eastAsia"/>
          <w:color w:val="000000"/>
          <w:sz w:val="24"/>
          <w:szCs w:val="24"/>
        </w:rPr>
        <w:t>4</w:t>
      </w:r>
      <w:r w:rsidRPr="000461EA">
        <w:rPr>
          <w:rFonts w:ascii="Arial" w:hAnsi="Arial" w:cs="Arial"/>
          <w:color w:val="000000"/>
          <w:sz w:val="24"/>
          <w:szCs w:val="24"/>
        </w:rPr>
        <w:t>月</w:t>
      </w:r>
      <w:r w:rsidR="00353EDB">
        <w:rPr>
          <w:rFonts w:ascii="Arial" w:hAnsi="Arial" w:cs="Arial"/>
          <w:color w:val="000000"/>
          <w:sz w:val="24"/>
          <w:szCs w:val="24"/>
        </w:rPr>
        <w:t>14</w:t>
      </w:r>
      <w:r w:rsidRPr="000461EA">
        <w:rPr>
          <w:rFonts w:ascii="Arial" w:hAnsi="Arial" w:cs="Arial"/>
          <w:color w:val="000000"/>
          <w:sz w:val="24"/>
          <w:szCs w:val="24"/>
        </w:rPr>
        <w:t>日起，参加</w:t>
      </w:r>
      <w:r w:rsidR="00E87F42" w:rsidRPr="000461EA">
        <w:rPr>
          <w:rFonts w:ascii="Arial" w:hAnsi="Arial" w:cs="Arial" w:hint="eastAsia"/>
          <w:color w:val="000000"/>
          <w:sz w:val="24"/>
          <w:szCs w:val="24"/>
        </w:rPr>
        <w:t>部分</w:t>
      </w:r>
      <w:r w:rsidRPr="000461EA">
        <w:rPr>
          <w:rFonts w:ascii="Arial" w:hAnsi="Arial" w:cs="Arial"/>
          <w:color w:val="000000"/>
          <w:sz w:val="24"/>
          <w:szCs w:val="24"/>
        </w:rPr>
        <w:t>销售机构开展的基金申购及</w:t>
      </w:r>
      <w:r w:rsidRPr="000461EA">
        <w:rPr>
          <w:rFonts w:ascii="Arial" w:hAnsi="Arial" w:cs="Arial"/>
          <w:color w:val="000000"/>
          <w:sz w:val="24"/>
          <w:szCs w:val="24"/>
        </w:rPr>
        <w:t>/</w:t>
      </w:r>
      <w:r w:rsidRPr="000461EA">
        <w:rPr>
          <w:rFonts w:ascii="Arial" w:hAnsi="Arial" w:cs="Arial"/>
          <w:color w:val="000000"/>
          <w:sz w:val="24"/>
          <w:szCs w:val="24"/>
        </w:rPr>
        <w:t>或定期定额投资申购费率优惠活动。现将有关事项公告如下：</w:t>
      </w:r>
      <w:r w:rsidRPr="000461EA" w:rsidDel="00EE7DF4">
        <w:rPr>
          <w:rFonts w:ascii="Arial" w:hAnsi="Arial" w:cs="Arial"/>
          <w:color w:val="000000"/>
          <w:sz w:val="24"/>
          <w:szCs w:val="24"/>
        </w:rPr>
        <w:t xml:space="preserve"> </w:t>
      </w:r>
    </w:p>
    <w:p w:rsidR="009D2FD6" w:rsidRPr="000461EA" w:rsidRDefault="009D2FD6" w:rsidP="00F4265C">
      <w:pPr>
        <w:spacing w:line="360" w:lineRule="auto"/>
        <w:ind w:firstLineChars="200" w:firstLine="480"/>
        <w:rPr>
          <w:rFonts w:ascii="Arial" w:hAnsi="Arial" w:cs="Arial"/>
          <w:color w:val="000000"/>
          <w:sz w:val="24"/>
          <w:szCs w:val="24"/>
        </w:rPr>
      </w:pPr>
    </w:p>
    <w:p w:rsidR="009D2FD6" w:rsidRPr="000461EA" w:rsidRDefault="009D2FD6" w:rsidP="00DA40C3">
      <w:pPr>
        <w:spacing w:line="360" w:lineRule="auto"/>
        <w:ind w:firstLineChars="200" w:firstLine="482"/>
        <w:rPr>
          <w:rFonts w:ascii="Arial" w:hAnsi="Arial" w:cs="Arial"/>
          <w:b/>
          <w:color w:val="000000"/>
          <w:sz w:val="24"/>
          <w:szCs w:val="24"/>
        </w:rPr>
      </w:pPr>
      <w:r w:rsidRPr="000461EA">
        <w:rPr>
          <w:rFonts w:ascii="Arial" w:hAnsi="Arial" w:cs="Arial"/>
          <w:b/>
          <w:color w:val="000000"/>
          <w:sz w:val="24"/>
          <w:szCs w:val="24"/>
        </w:rPr>
        <w:t>一、适用基金</w:t>
      </w:r>
    </w:p>
    <w:p w:rsidR="009D2FD6" w:rsidRPr="000461EA" w:rsidRDefault="00353EDB" w:rsidP="00160B0F">
      <w:pPr>
        <w:widowControl/>
        <w:snapToGrid w:val="0"/>
        <w:spacing w:line="360" w:lineRule="auto"/>
        <w:ind w:firstLineChars="200" w:firstLine="480"/>
        <w:jc w:val="left"/>
        <w:rPr>
          <w:rFonts w:ascii="Arial" w:hAnsi="Arial" w:cs="Arial"/>
          <w:color w:val="000000"/>
          <w:sz w:val="24"/>
          <w:szCs w:val="24"/>
        </w:rPr>
      </w:pPr>
      <w:r>
        <w:rPr>
          <w:rFonts w:ascii="Arial" w:hAnsi="Arial" w:cs="Arial" w:hint="eastAsia"/>
          <w:sz w:val="24"/>
          <w:szCs w:val="24"/>
        </w:rPr>
        <w:t>景顺长城产业趋势混合型证券投资基金</w:t>
      </w:r>
      <w:r w:rsidR="009D2FD6" w:rsidRPr="000461EA">
        <w:rPr>
          <w:rFonts w:ascii="Arial" w:hAnsi="Arial" w:cs="Arial"/>
          <w:color w:val="000000"/>
          <w:sz w:val="24"/>
          <w:szCs w:val="24"/>
        </w:rPr>
        <w:t>（基金代码：</w:t>
      </w:r>
      <w:r w:rsidRPr="00353EDB">
        <w:rPr>
          <w:rFonts w:ascii="Arial" w:hAnsi="Arial" w:cs="Arial"/>
          <w:color w:val="000000"/>
          <w:sz w:val="24"/>
          <w:szCs w:val="24"/>
        </w:rPr>
        <w:t>010289</w:t>
      </w:r>
      <w:r w:rsidR="009D2FD6" w:rsidRPr="000461EA">
        <w:rPr>
          <w:rFonts w:ascii="Arial" w:hAnsi="Arial" w:cs="Arial"/>
          <w:color w:val="000000"/>
          <w:sz w:val="24"/>
          <w:szCs w:val="24"/>
        </w:rPr>
        <w:t>）。</w:t>
      </w:r>
    </w:p>
    <w:p w:rsidR="009D2FD6" w:rsidRDefault="009D2FD6" w:rsidP="00DA40C3">
      <w:pPr>
        <w:spacing w:line="360" w:lineRule="auto"/>
        <w:ind w:firstLineChars="200" w:firstLine="482"/>
        <w:outlineLvl w:val="0"/>
        <w:rPr>
          <w:rFonts w:ascii="Arial" w:hAnsi="Arial" w:cs="Arial"/>
          <w:b/>
          <w:color w:val="000000"/>
          <w:sz w:val="24"/>
          <w:szCs w:val="24"/>
        </w:rPr>
      </w:pPr>
      <w:r w:rsidRPr="000461EA">
        <w:rPr>
          <w:rFonts w:ascii="Arial" w:hAnsi="Arial" w:cs="Arial"/>
          <w:b/>
          <w:color w:val="000000"/>
          <w:sz w:val="24"/>
          <w:szCs w:val="24"/>
        </w:rPr>
        <w:t>二、</w:t>
      </w:r>
      <w:r w:rsidR="00E87F42" w:rsidRPr="000461EA">
        <w:rPr>
          <w:rFonts w:ascii="Arial" w:hAnsi="Arial" w:cs="Arial" w:hint="eastAsia"/>
          <w:b/>
          <w:color w:val="000000"/>
          <w:sz w:val="24"/>
          <w:szCs w:val="24"/>
        </w:rPr>
        <w:t>投资者可通过以下销售机构申购本基金</w:t>
      </w:r>
      <w:r w:rsidRPr="000461EA">
        <w:rPr>
          <w:rFonts w:ascii="Arial" w:hAnsi="Arial" w:cs="Arial"/>
          <w:b/>
          <w:color w:val="000000"/>
          <w:sz w:val="24"/>
          <w:szCs w:val="24"/>
        </w:rPr>
        <w:t>（以下排名不分先后）</w:t>
      </w:r>
    </w:p>
    <w:tbl>
      <w:tblPr>
        <w:tblW w:w="5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060"/>
      </w:tblGrid>
      <w:tr w:rsidR="00353EDB" w:rsidRPr="00295743"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b/>
                <w:szCs w:val="21"/>
              </w:rPr>
            </w:pPr>
            <w:r w:rsidRPr="00295743">
              <w:rPr>
                <w:rFonts w:ascii="宋体" w:hAnsi="宋体" w:hint="eastAsia"/>
                <w:b/>
                <w:szCs w:val="21"/>
              </w:rPr>
              <w:t>序号</w:t>
            </w:r>
          </w:p>
        </w:tc>
        <w:tc>
          <w:tcPr>
            <w:tcW w:w="4060" w:type="dxa"/>
            <w:shd w:val="clear" w:color="auto" w:fill="auto"/>
            <w:noWrap/>
            <w:vAlign w:val="center"/>
            <w:hideMark/>
          </w:tcPr>
          <w:p w:rsidR="00353EDB" w:rsidRPr="00295743" w:rsidRDefault="00353EDB" w:rsidP="00295743">
            <w:pPr>
              <w:jc w:val="center"/>
              <w:rPr>
                <w:rFonts w:ascii="宋体" w:hAnsi="宋体"/>
                <w:b/>
                <w:szCs w:val="21"/>
              </w:rPr>
            </w:pPr>
            <w:r w:rsidRPr="00295743">
              <w:rPr>
                <w:rFonts w:ascii="宋体" w:hAnsi="宋体" w:hint="eastAsia"/>
                <w:b/>
                <w:szCs w:val="21"/>
              </w:rPr>
              <w:t>销售机构全称</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中国工商银行股份有限公司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中国农业银行股份有限公司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中国银行股份有限公司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交通银行股份有限公司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招商银行股份有限公司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上海浦东发展银行股份有限公司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兴业银行股份有限公司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中国民生银行股份有限公司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中信银行股份有限公司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平安银行股份有限公司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渤海银行股份有限公司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南京银行股份有限公司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上海农村商业银行股份有限公司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江苏江南农村商业银行股份有限公司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江苏银行股份有限公司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宁波银行股份有限公司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长城证券股份有限公司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19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广发证券股份有限公司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中国银河证券股份有限公司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国泰君安证券股份有限公司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中信建投证券股份有限公司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申万宏源证券有限公司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申万宏源西部证券有限公司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国都证券股份有限公司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兴业证券股份有限公司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光大证券股份有限公司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lastRenderedPageBreak/>
              <w:t>28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海通证券股份有限公司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29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安信证券股份有限公司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平安证券股份有限公司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中国国际金融股份有限公司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方正证券股份有限公司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西部证券股份有限公司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信达证券股份有限公司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华泰证券股份有限公司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国金证券股份有限公司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中航证券有限公司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中信证券股份有限公司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39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中国中金财富证券有限公司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长江证券股份有限公司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中泰证券股份有限公司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国盛证券有限责任公司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中信证券（山东）有限责任公司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第一创业证券股份有限公司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天风证券股份有限公司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上海证券有限责任公司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中信期货有限公司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财通证券股份有限公司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49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华鑫证券有限责任公司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中信证券华南股份有限公司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中原证券股份有限公司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国联证券股份有限公司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深圳众禄基金销售股份有限公司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蚂蚁（杭州）基金销售有限公司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诺亚正行基金销售有限公司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上海长量基金销售有限公司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北京展恒基金销售股份有限公司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上海天天基金销售有限公司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59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宜信普泽（北京）基金销售有限公司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嘉实财富管理有限公司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深圳市新兰德证券投资咨询有限公司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一路财富（北京）基金销售有限公司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北京恒天明泽基金销售有限公司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北京唐鼎耀华基金销售有限公司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上海联泰基金销售有限公司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上海汇付基金销售有限公司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上海利得基金销售有限公司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北京新浪仓石基金销售有限公司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69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上海陆金所基金销售有限公司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北京虹点基金销售有限公司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珠海盈米基金销售有限公司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中证金牛（北京）投资咨询有限公司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奕丰基金销售有限公司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和耕传承基金销售有限公司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深圳市金斧子基金销售有限公司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武汉市伯嘉基金销售有限公司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南京苏宁基金销售有限公司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北京广源达信基金销售有限公司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79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上海中正达广基金销售有限公司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上海万得基金销售有限公司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北京蛋卷基金销售有限公司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82</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凤凰金信（银川）基金销售有限公司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83</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北京格上富信基金销售有限公司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84</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京东肯特瑞基金销售有限公司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85</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泛华普益基金销售有限公司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86</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通华财富（上海）基金销售有限公司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87</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济安财富（北京）基金销售有限公司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88</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上海陆享基金销售有限公司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89</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江苏汇林保大基金销售有限公司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90</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鼎信汇金（北京）投资管理有限公司</w:t>
            </w:r>
          </w:p>
        </w:tc>
      </w:tr>
      <w:tr w:rsidR="00353EDB" w:rsidRPr="00353EDB" w:rsidTr="00353EDB">
        <w:trPr>
          <w:trHeight w:val="20"/>
        </w:trPr>
        <w:tc>
          <w:tcPr>
            <w:tcW w:w="1080" w:type="dxa"/>
            <w:shd w:val="clear" w:color="auto" w:fill="auto"/>
            <w:noWrap/>
            <w:vAlign w:val="center"/>
            <w:hideMark/>
          </w:tcPr>
          <w:p w:rsidR="00353EDB" w:rsidRPr="00295743" w:rsidRDefault="00353EDB" w:rsidP="00295743">
            <w:pPr>
              <w:jc w:val="center"/>
              <w:rPr>
                <w:rFonts w:ascii="宋体" w:hAnsi="宋体"/>
                <w:szCs w:val="21"/>
              </w:rPr>
            </w:pPr>
            <w:r w:rsidRPr="00295743">
              <w:rPr>
                <w:rFonts w:ascii="宋体" w:hAnsi="宋体"/>
                <w:szCs w:val="21"/>
              </w:rPr>
              <w:t>91</w:t>
            </w:r>
          </w:p>
        </w:tc>
        <w:tc>
          <w:tcPr>
            <w:tcW w:w="4060" w:type="dxa"/>
            <w:shd w:val="clear" w:color="auto" w:fill="auto"/>
            <w:noWrap/>
            <w:vAlign w:val="center"/>
            <w:hideMark/>
          </w:tcPr>
          <w:p w:rsidR="00353EDB" w:rsidRPr="00295743" w:rsidRDefault="00353EDB" w:rsidP="00295743">
            <w:pPr>
              <w:jc w:val="left"/>
              <w:rPr>
                <w:rFonts w:ascii="宋体" w:hAnsi="宋体"/>
                <w:szCs w:val="21"/>
              </w:rPr>
            </w:pPr>
            <w:r w:rsidRPr="00295743">
              <w:rPr>
                <w:rFonts w:ascii="宋体" w:hAnsi="宋体"/>
                <w:szCs w:val="21"/>
              </w:rPr>
              <w:t>阳光人寿保险股份有限公司</w:t>
            </w:r>
          </w:p>
        </w:tc>
      </w:tr>
    </w:tbl>
    <w:p w:rsidR="00E87F42" w:rsidRPr="000461EA" w:rsidRDefault="00E87F42" w:rsidP="00E8335C">
      <w:pPr>
        <w:spacing w:line="360" w:lineRule="auto"/>
        <w:ind w:firstLineChars="200" w:firstLine="482"/>
        <w:outlineLvl w:val="0"/>
        <w:rPr>
          <w:rFonts w:ascii="Arial" w:hAnsi="Arial" w:cs="Arial" w:hint="eastAsia"/>
          <w:b/>
          <w:color w:val="000000"/>
          <w:sz w:val="24"/>
          <w:szCs w:val="24"/>
        </w:rPr>
      </w:pPr>
      <w:r w:rsidRPr="000461EA">
        <w:rPr>
          <w:rFonts w:ascii="Arial" w:hAnsi="Arial" w:cs="Arial" w:hint="eastAsia"/>
          <w:b/>
          <w:color w:val="000000"/>
          <w:sz w:val="24"/>
          <w:szCs w:val="24"/>
        </w:rPr>
        <w:t>三、优惠活动内容</w:t>
      </w:r>
    </w:p>
    <w:p w:rsidR="00E87F42" w:rsidRPr="000461EA" w:rsidRDefault="00E87F42" w:rsidP="00332E67">
      <w:pPr>
        <w:spacing w:line="360" w:lineRule="auto"/>
        <w:ind w:firstLineChars="200" w:firstLine="480"/>
        <w:outlineLvl w:val="0"/>
        <w:rPr>
          <w:rFonts w:ascii="Arial" w:hAnsi="Arial" w:cs="Arial"/>
          <w:color w:val="000000"/>
          <w:sz w:val="24"/>
          <w:szCs w:val="24"/>
        </w:rPr>
      </w:pPr>
      <w:r w:rsidRPr="000461EA">
        <w:rPr>
          <w:rFonts w:ascii="Arial" w:hAnsi="Arial" w:cs="Arial"/>
          <w:color w:val="000000"/>
          <w:sz w:val="24"/>
          <w:szCs w:val="24"/>
        </w:rPr>
        <w:t>本基金</w:t>
      </w:r>
      <w:r w:rsidRPr="000461EA">
        <w:rPr>
          <w:rFonts w:ascii="Arial" w:hAnsi="Arial" w:cs="Arial" w:hint="eastAsia"/>
          <w:color w:val="000000"/>
          <w:sz w:val="24"/>
          <w:szCs w:val="24"/>
        </w:rPr>
        <w:t>在上述各销售机构是否实行费率优惠，以及实施费率优惠活动的时间、具体折扣以各销售机构的规定为准，</w:t>
      </w:r>
      <w:r w:rsidRPr="000461EA">
        <w:rPr>
          <w:rFonts w:ascii="Arial" w:hAnsi="Arial" w:cs="Arial"/>
          <w:color w:val="000000"/>
          <w:sz w:val="24"/>
          <w:szCs w:val="24"/>
        </w:rPr>
        <w:t>敬请投资者留意</w:t>
      </w:r>
      <w:r w:rsidRPr="000461EA">
        <w:rPr>
          <w:rFonts w:ascii="Arial" w:hAnsi="Arial" w:cs="Arial" w:hint="eastAsia"/>
          <w:color w:val="000000"/>
          <w:sz w:val="24"/>
          <w:szCs w:val="24"/>
        </w:rPr>
        <w:t>各</w:t>
      </w:r>
      <w:r w:rsidRPr="000461EA">
        <w:rPr>
          <w:rFonts w:ascii="Arial" w:hAnsi="Arial" w:cs="Arial"/>
          <w:color w:val="000000"/>
          <w:sz w:val="24"/>
          <w:szCs w:val="24"/>
        </w:rPr>
        <w:t>销售机构的有关公告</w:t>
      </w:r>
      <w:r w:rsidRPr="000461EA">
        <w:rPr>
          <w:rFonts w:ascii="Arial" w:hAnsi="Arial" w:cs="Arial" w:hint="eastAsia"/>
          <w:color w:val="000000"/>
          <w:sz w:val="24"/>
          <w:szCs w:val="24"/>
        </w:rPr>
        <w:t>。</w:t>
      </w:r>
    </w:p>
    <w:p w:rsidR="009D2FD6" w:rsidRPr="000461EA" w:rsidRDefault="00E87F42" w:rsidP="00F4265C">
      <w:pPr>
        <w:spacing w:line="360" w:lineRule="auto"/>
        <w:ind w:firstLineChars="200" w:firstLine="482"/>
        <w:outlineLvl w:val="0"/>
        <w:rPr>
          <w:rFonts w:ascii="Arial" w:hAnsi="Arial" w:cs="Arial"/>
          <w:b/>
          <w:color w:val="000000"/>
          <w:sz w:val="24"/>
          <w:szCs w:val="24"/>
        </w:rPr>
      </w:pPr>
      <w:r w:rsidRPr="000461EA">
        <w:rPr>
          <w:rFonts w:ascii="Arial" w:hAnsi="Arial" w:cs="Arial" w:hint="eastAsia"/>
          <w:b/>
          <w:color w:val="000000"/>
          <w:sz w:val="24"/>
          <w:szCs w:val="24"/>
        </w:rPr>
        <w:t>四</w:t>
      </w:r>
      <w:r w:rsidR="009D2FD6" w:rsidRPr="000461EA">
        <w:rPr>
          <w:rFonts w:ascii="Arial" w:hAnsi="Arial" w:cs="Arial"/>
          <w:b/>
          <w:color w:val="000000"/>
          <w:sz w:val="24"/>
          <w:szCs w:val="24"/>
        </w:rPr>
        <w:t>、重要提示</w:t>
      </w:r>
      <w:r w:rsidR="009D2FD6" w:rsidRPr="000461EA">
        <w:rPr>
          <w:rFonts w:ascii="Arial" w:hAnsi="Arial" w:cs="Arial"/>
          <w:b/>
          <w:color w:val="000000"/>
          <w:sz w:val="24"/>
          <w:szCs w:val="24"/>
        </w:rPr>
        <w:t xml:space="preserve"> </w:t>
      </w:r>
    </w:p>
    <w:p w:rsidR="009D2FD6" w:rsidRPr="000461EA" w:rsidRDefault="009D2FD6" w:rsidP="00F4265C">
      <w:pPr>
        <w:spacing w:line="360" w:lineRule="auto"/>
        <w:ind w:firstLineChars="200" w:firstLine="480"/>
        <w:rPr>
          <w:rFonts w:ascii="Arial" w:hAnsi="Arial" w:cs="Arial"/>
          <w:color w:val="000000"/>
          <w:sz w:val="24"/>
          <w:szCs w:val="24"/>
        </w:rPr>
      </w:pPr>
      <w:r w:rsidRPr="000461EA">
        <w:rPr>
          <w:rFonts w:ascii="Arial" w:hAnsi="Arial" w:cs="Arial"/>
          <w:color w:val="000000"/>
          <w:sz w:val="24"/>
          <w:szCs w:val="24"/>
        </w:rPr>
        <w:t>1</w:t>
      </w:r>
      <w:r w:rsidRPr="000461EA">
        <w:rPr>
          <w:rFonts w:ascii="Arial" w:hAnsi="Arial" w:cs="Arial"/>
          <w:color w:val="000000"/>
          <w:sz w:val="24"/>
          <w:szCs w:val="24"/>
        </w:rPr>
        <w:t>、上述优惠仅适用于处于正常申购期的本基金的申购手续费和</w:t>
      </w:r>
      <w:r w:rsidRPr="000461EA">
        <w:rPr>
          <w:rFonts w:ascii="Arial" w:hAnsi="Arial" w:cs="Arial"/>
          <w:color w:val="000000"/>
          <w:sz w:val="24"/>
          <w:szCs w:val="24"/>
        </w:rPr>
        <w:t>/</w:t>
      </w:r>
      <w:r w:rsidRPr="000461EA">
        <w:rPr>
          <w:rFonts w:ascii="Arial" w:hAnsi="Arial" w:cs="Arial"/>
          <w:color w:val="000000"/>
          <w:sz w:val="24"/>
          <w:szCs w:val="24"/>
        </w:rPr>
        <w:t>或定期定额投资申购手续费，不包括基金转换业务的基金手续费。</w:t>
      </w:r>
    </w:p>
    <w:p w:rsidR="009D2FD6" w:rsidRPr="000461EA" w:rsidRDefault="009D2FD6" w:rsidP="00F4265C">
      <w:pPr>
        <w:snapToGrid w:val="0"/>
        <w:spacing w:line="360" w:lineRule="auto"/>
        <w:ind w:firstLineChars="200" w:firstLine="480"/>
        <w:rPr>
          <w:rFonts w:ascii="Arial" w:hAnsi="Arial" w:cs="Arial"/>
          <w:color w:val="000000"/>
          <w:sz w:val="24"/>
          <w:szCs w:val="24"/>
        </w:rPr>
      </w:pPr>
      <w:r w:rsidRPr="000461EA">
        <w:rPr>
          <w:rFonts w:ascii="Arial" w:hAnsi="Arial" w:cs="Arial"/>
          <w:color w:val="000000"/>
          <w:sz w:val="24"/>
          <w:szCs w:val="24"/>
        </w:rPr>
        <w:t>2</w:t>
      </w:r>
      <w:r w:rsidRPr="000461EA">
        <w:rPr>
          <w:rFonts w:ascii="Arial" w:hAnsi="Arial" w:cs="Arial"/>
          <w:color w:val="000000"/>
          <w:sz w:val="24"/>
          <w:szCs w:val="24"/>
        </w:rPr>
        <w:t>、本基金原申购费率标准请详见本基金相关法律文件及本公司发布的最新业务公告。</w:t>
      </w:r>
    </w:p>
    <w:p w:rsidR="00E87F42" w:rsidRPr="000461EA" w:rsidRDefault="009D2FD6" w:rsidP="00E87F42">
      <w:pPr>
        <w:snapToGrid w:val="0"/>
        <w:spacing w:line="360" w:lineRule="auto"/>
        <w:ind w:firstLineChars="200" w:firstLine="480"/>
        <w:rPr>
          <w:rFonts w:ascii="Arial" w:hAnsi="Arial" w:cs="Arial" w:hint="eastAsia"/>
          <w:color w:val="000000"/>
          <w:sz w:val="24"/>
          <w:szCs w:val="24"/>
        </w:rPr>
      </w:pPr>
      <w:r w:rsidRPr="000461EA">
        <w:rPr>
          <w:rFonts w:ascii="Arial" w:hAnsi="Arial" w:cs="Arial"/>
          <w:color w:val="000000"/>
          <w:sz w:val="24"/>
          <w:szCs w:val="24"/>
        </w:rPr>
        <w:t>3</w:t>
      </w:r>
      <w:r w:rsidRPr="000461EA">
        <w:rPr>
          <w:rFonts w:ascii="Arial" w:hAnsi="Arial" w:cs="Arial"/>
          <w:color w:val="000000"/>
          <w:sz w:val="24"/>
          <w:szCs w:val="24"/>
        </w:rPr>
        <w:t>、</w:t>
      </w:r>
      <w:r w:rsidR="00E87F42" w:rsidRPr="000461EA">
        <w:rPr>
          <w:rFonts w:ascii="Arial" w:hAnsi="Arial" w:cs="Arial" w:hint="eastAsia"/>
          <w:color w:val="000000"/>
          <w:sz w:val="24"/>
          <w:szCs w:val="24"/>
        </w:rPr>
        <w:t>各销售机构的费率优惠活动，</w:t>
      </w:r>
      <w:r w:rsidR="00E87F42" w:rsidRPr="000461EA">
        <w:rPr>
          <w:rFonts w:ascii="Arial" w:hAnsi="Arial" w:cs="Arial"/>
          <w:color w:val="000000"/>
          <w:sz w:val="24"/>
          <w:szCs w:val="24"/>
        </w:rPr>
        <w:t>以各销售机构的规定为准</w:t>
      </w:r>
      <w:r w:rsidR="00E87F42" w:rsidRPr="000461EA">
        <w:rPr>
          <w:rFonts w:ascii="Arial" w:hAnsi="Arial" w:cs="Arial" w:hint="eastAsia"/>
          <w:color w:val="000000"/>
          <w:sz w:val="24"/>
          <w:szCs w:val="24"/>
        </w:rPr>
        <w:t>，</w:t>
      </w:r>
      <w:r w:rsidR="00E87F42" w:rsidRPr="000461EA">
        <w:rPr>
          <w:rFonts w:ascii="Arial" w:hAnsi="Arial" w:cs="Arial"/>
          <w:color w:val="000000"/>
          <w:sz w:val="24"/>
          <w:szCs w:val="24"/>
        </w:rPr>
        <w:t>费率优惠活动的解释权归上述销售机构所有，有关活动的具体规定如有变化，敬请投资者留意以上销售机构的有关公告。</w:t>
      </w:r>
    </w:p>
    <w:p w:rsidR="00ED7F00" w:rsidRPr="000461EA" w:rsidRDefault="00ED7F00" w:rsidP="00ED7F00">
      <w:pPr>
        <w:spacing w:line="360" w:lineRule="auto"/>
        <w:ind w:firstLineChars="200" w:firstLine="480"/>
        <w:rPr>
          <w:color w:val="000000"/>
          <w:sz w:val="24"/>
        </w:rPr>
      </w:pPr>
      <w:r w:rsidRPr="000461EA">
        <w:rPr>
          <w:rFonts w:ascii="Arial" w:hAnsi="Arial" w:cs="Arial" w:hint="eastAsia"/>
          <w:color w:val="000000"/>
          <w:sz w:val="24"/>
          <w:szCs w:val="24"/>
        </w:rPr>
        <w:t>4</w:t>
      </w:r>
      <w:r w:rsidRPr="000461EA">
        <w:rPr>
          <w:rFonts w:ascii="Arial" w:hAnsi="Arial" w:cs="Arial" w:hint="eastAsia"/>
          <w:color w:val="000000"/>
          <w:sz w:val="24"/>
          <w:szCs w:val="24"/>
        </w:rPr>
        <w:t>、</w:t>
      </w:r>
      <w:r w:rsidRPr="000461EA">
        <w:rPr>
          <w:rFonts w:ascii="Arial" w:hAnsi="Arial" w:cs="Arial"/>
          <w:color w:val="000000"/>
          <w:sz w:val="24"/>
          <w:szCs w:val="24"/>
        </w:rPr>
        <w:t>个人投资者通过本公司直销网上交易系统（包括公司官方网站和官方</w:t>
      </w:r>
      <w:r w:rsidRPr="000461EA">
        <w:rPr>
          <w:rFonts w:ascii="Arial" w:hAnsi="Arial" w:cs="Arial" w:hint="eastAsia"/>
          <w:color w:val="000000"/>
          <w:sz w:val="24"/>
          <w:szCs w:val="24"/>
        </w:rPr>
        <w:t>移动客户端</w:t>
      </w:r>
      <w:r w:rsidRPr="000461EA">
        <w:rPr>
          <w:rFonts w:ascii="Arial" w:hAnsi="Arial" w:cs="Arial"/>
          <w:color w:val="000000"/>
          <w:sz w:val="24"/>
          <w:szCs w:val="24"/>
        </w:rPr>
        <w:t>）</w:t>
      </w:r>
      <w:r w:rsidRPr="000461EA">
        <w:rPr>
          <w:rFonts w:ascii="Arial" w:hAnsi="Arial" w:cs="Arial" w:hint="eastAsia"/>
          <w:color w:val="000000"/>
          <w:sz w:val="24"/>
          <w:szCs w:val="24"/>
        </w:rPr>
        <w:t>办理本基金申购、定期定额</w:t>
      </w:r>
      <w:r w:rsidR="00265063">
        <w:rPr>
          <w:rFonts w:ascii="Arial" w:hAnsi="Arial" w:cs="Arial" w:hint="eastAsia"/>
          <w:color w:val="000000"/>
          <w:sz w:val="24"/>
          <w:szCs w:val="24"/>
        </w:rPr>
        <w:t>投资</w:t>
      </w:r>
      <w:r w:rsidRPr="000461EA">
        <w:rPr>
          <w:rFonts w:ascii="Arial" w:hAnsi="Arial" w:cs="Arial" w:hint="eastAsia"/>
          <w:color w:val="000000"/>
          <w:sz w:val="24"/>
          <w:szCs w:val="24"/>
        </w:rPr>
        <w:t>和转换业务的，</w:t>
      </w:r>
      <w:r w:rsidRPr="000461EA">
        <w:rPr>
          <w:rFonts w:hint="eastAsia"/>
          <w:color w:val="000000"/>
          <w:sz w:val="24"/>
        </w:rPr>
        <w:t>具体费率优惠</w:t>
      </w:r>
      <w:bookmarkStart w:id="0" w:name="_GoBack"/>
      <w:bookmarkEnd w:id="0"/>
      <w:r w:rsidRPr="000461EA">
        <w:rPr>
          <w:rFonts w:hint="eastAsia"/>
          <w:color w:val="000000"/>
          <w:sz w:val="24"/>
        </w:rPr>
        <w:t>标准及活动截止时间参见本公司相关业务公告或公司网站。</w:t>
      </w:r>
    </w:p>
    <w:p w:rsidR="00332BF3" w:rsidRPr="000461EA" w:rsidRDefault="00332BF3" w:rsidP="006558FB">
      <w:pPr>
        <w:snapToGrid w:val="0"/>
        <w:spacing w:line="360" w:lineRule="auto"/>
        <w:ind w:firstLineChars="200" w:firstLine="480"/>
        <w:rPr>
          <w:rFonts w:ascii="Arial" w:hAnsi="Arial" w:cs="Arial" w:hint="eastAsia"/>
          <w:color w:val="000000"/>
          <w:sz w:val="24"/>
          <w:szCs w:val="24"/>
        </w:rPr>
      </w:pPr>
    </w:p>
    <w:p w:rsidR="006558FB" w:rsidRPr="000461EA" w:rsidRDefault="006558FB" w:rsidP="006558FB">
      <w:pPr>
        <w:snapToGrid w:val="0"/>
        <w:spacing w:line="360" w:lineRule="auto"/>
        <w:ind w:firstLineChars="200" w:firstLine="480"/>
        <w:rPr>
          <w:rFonts w:ascii="Arial" w:hAnsi="Arial" w:cs="Arial"/>
          <w:color w:val="000000"/>
          <w:sz w:val="24"/>
          <w:szCs w:val="24"/>
        </w:rPr>
      </w:pPr>
      <w:r w:rsidRPr="000461EA">
        <w:rPr>
          <w:rFonts w:ascii="Arial" w:hAnsi="Arial" w:cs="Arial"/>
          <w:color w:val="000000"/>
          <w:sz w:val="24"/>
          <w:szCs w:val="24"/>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本基金时应认真阅读本基金的基金合同、招募说明书等文件。敬请投资者留意投资风险。</w:t>
      </w:r>
    </w:p>
    <w:p w:rsidR="006558FB" w:rsidRPr="000461EA" w:rsidRDefault="006558FB" w:rsidP="006558FB">
      <w:pPr>
        <w:snapToGrid w:val="0"/>
        <w:spacing w:line="360" w:lineRule="auto"/>
        <w:ind w:firstLineChars="200" w:firstLine="480"/>
        <w:rPr>
          <w:rFonts w:ascii="Arial" w:hAnsi="Arial" w:cs="Arial"/>
          <w:color w:val="000000"/>
          <w:sz w:val="24"/>
          <w:szCs w:val="24"/>
        </w:rPr>
      </w:pPr>
    </w:p>
    <w:p w:rsidR="006558FB" w:rsidRPr="000461EA" w:rsidRDefault="006558FB" w:rsidP="006558FB">
      <w:pPr>
        <w:snapToGrid w:val="0"/>
        <w:spacing w:line="360" w:lineRule="auto"/>
        <w:ind w:right="360" w:firstLineChars="200" w:firstLine="480"/>
        <w:jc w:val="left"/>
        <w:rPr>
          <w:rFonts w:ascii="Arial" w:hAnsi="Arial" w:cs="Arial"/>
          <w:color w:val="000000"/>
          <w:sz w:val="24"/>
          <w:szCs w:val="24"/>
        </w:rPr>
      </w:pPr>
      <w:r w:rsidRPr="000461EA">
        <w:rPr>
          <w:rFonts w:ascii="Arial" w:hAnsi="Arial" w:cs="Arial"/>
          <w:color w:val="000000"/>
          <w:sz w:val="24"/>
          <w:szCs w:val="24"/>
        </w:rPr>
        <w:t>特此公告。</w:t>
      </w:r>
    </w:p>
    <w:p w:rsidR="006558FB" w:rsidRPr="000461EA" w:rsidRDefault="006558FB" w:rsidP="006558FB">
      <w:pPr>
        <w:snapToGrid w:val="0"/>
        <w:spacing w:line="360" w:lineRule="auto"/>
        <w:ind w:firstLineChars="200" w:firstLine="480"/>
        <w:rPr>
          <w:rFonts w:ascii="Arial" w:hAnsi="Arial" w:cs="Arial"/>
          <w:color w:val="000000"/>
          <w:sz w:val="24"/>
          <w:szCs w:val="24"/>
        </w:rPr>
      </w:pPr>
    </w:p>
    <w:p w:rsidR="006558FB" w:rsidRPr="000461EA" w:rsidRDefault="006558FB" w:rsidP="006558FB">
      <w:pPr>
        <w:snapToGrid w:val="0"/>
        <w:spacing w:line="360" w:lineRule="auto"/>
        <w:ind w:firstLineChars="200" w:firstLine="480"/>
        <w:rPr>
          <w:rFonts w:ascii="Arial" w:hAnsi="Arial" w:cs="Arial"/>
          <w:color w:val="000000"/>
          <w:sz w:val="24"/>
          <w:szCs w:val="24"/>
        </w:rPr>
      </w:pPr>
    </w:p>
    <w:p w:rsidR="006558FB" w:rsidRPr="000461EA" w:rsidRDefault="006558FB" w:rsidP="006558FB">
      <w:pPr>
        <w:snapToGrid w:val="0"/>
        <w:spacing w:line="360" w:lineRule="auto"/>
        <w:ind w:right="480"/>
        <w:jc w:val="right"/>
        <w:rPr>
          <w:rFonts w:ascii="Arial" w:hAnsi="Arial" w:cs="Arial"/>
          <w:color w:val="000000"/>
          <w:sz w:val="24"/>
          <w:szCs w:val="24"/>
        </w:rPr>
      </w:pPr>
      <w:r w:rsidRPr="000461EA">
        <w:rPr>
          <w:rFonts w:ascii="Arial" w:hAnsi="Arial" w:cs="Arial"/>
          <w:color w:val="000000"/>
          <w:sz w:val="24"/>
          <w:szCs w:val="24"/>
        </w:rPr>
        <w:t>景顺长城基金管理有限公司</w:t>
      </w:r>
    </w:p>
    <w:p w:rsidR="006558FB" w:rsidRPr="00F4265C" w:rsidRDefault="006558FB" w:rsidP="006558FB">
      <w:pPr>
        <w:snapToGrid w:val="0"/>
        <w:spacing w:line="360" w:lineRule="auto"/>
        <w:ind w:right="480"/>
        <w:jc w:val="right"/>
        <w:rPr>
          <w:rFonts w:ascii="Arial" w:hAnsi="Arial" w:cs="Arial"/>
          <w:color w:val="000000"/>
          <w:sz w:val="24"/>
          <w:szCs w:val="24"/>
        </w:rPr>
      </w:pPr>
      <w:r w:rsidRPr="000461EA">
        <w:rPr>
          <w:rFonts w:ascii="Arial" w:hAnsi="Arial" w:cs="Arial"/>
          <w:color w:val="000000"/>
          <w:sz w:val="24"/>
          <w:szCs w:val="24"/>
        </w:rPr>
        <w:t xml:space="preserve"> </w:t>
      </w:r>
      <w:r w:rsidRPr="000461EA">
        <w:rPr>
          <w:rFonts w:ascii="Arial" w:hAnsi="Arial" w:cs="Arial"/>
          <w:color w:val="000000"/>
          <w:sz w:val="24"/>
          <w:szCs w:val="24"/>
        </w:rPr>
        <w:t>二</w:t>
      </w:r>
      <w:r w:rsidRPr="000461EA">
        <w:rPr>
          <w:rFonts w:ascii="Arial" w:hAnsi="Arial" w:cs="Arial"/>
          <w:color w:val="000000"/>
          <w:sz w:val="24"/>
          <w:szCs w:val="24"/>
        </w:rPr>
        <w:t>O</w:t>
      </w:r>
      <w:r w:rsidR="00160B0F" w:rsidRPr="000461EA">
        <w:rPr>
          <w:rFonts w:ascii="Arial" w:hAnsi="Arial" w:cs="Arial"/>
          <w:color w:val="000000"/>
          <w:sz w:val="24"/>
          <w:szCs w:val="24"/>
        </w:rPr>
        <w:t>二</w:t>
      </w:r>
      <w:r w:rsidR="00295743">
        <w:rPr>
          <w:rFonts w:ascii="Arial" w:hAnsi="Arial" w:cs="Arial" w:hint="eastAsia"/>
          <w:color w:val="000000"/>
          <w:sz w:val="24"/>
          <w:szCs w:val="24"/>
        </w:rPr>
        <w:t>一</w:t>
      </w:r>
      <w:r w:rsidR="00E87F42" w:rsidRPr="000461EA">
        <w:rPr>
          <w:rFonts w:ascii="Arial" w:hAnsi="Arial" w:cs="Arial"/>
          <w:color w:val="000000"/>
          <w:sz w:val="24"/>
          <w:szCs w:val="24"/>
        </w:rPr>
        <w:t>年</w:t>
      </w:r>
      <w:r w:rsidR="00295743">
        <w:rPr>
          <w:rFonts w:ascii="Arial" w:hAnsi="Arial" w:cs="Arial" w:hint="eastAsia"/>
          <w:color w:val="000000"/>
          <w:sz w:val="24"/>
          <w:szCs w:val="24"/>
        </w:rPr>
        <w:t>四</w:t>
      </w:r>
      <w:r w:rsidR="00E87F42" w:rsidRPr="000461EA">
        <w:rPr>
          <w:rFonts w:ascii="Arial" w:hAnsi="Arial" w:cs="Arial"/>
          <w:color w:val="000000"/>
          <w:sz w:val="24"/>
          <w:szCs w:val="24"/>
        </w:rPr>
        <w:t>月</w:t>
      </w:r>
      <w:r w:rsidR="00FA4D96" w:rsidRPr="000461EA">
        <w:rPr>
          <w:rFonts w:ascii="Arial" w:hAnsi="Arial" w:cs="Arial" w:hint="eastAsia"/>
          <w:color w:val="000000"/>
          <w:sz w:val="24"/>
          <w:szCs w:val="24"/>
        </w:rPr>
        <w:t>十</w:t>
      </w:r>
      <w:r w:rsidR="00295743">
        <w:rPr>
          <w:rFonts w:ascii="Arial" w:hAnsi="Arial" w:cs="Arial" w:hint="eastAsia"/>
          <w:color w:val="000000"/>
          <w:sz w:val="24"/>
          <w:szCs w:val="24"/>
        </w:rPr>
        <w:t>二</w:t>
      </w:r>
      <w:r w:rsidR="00E87F42" w:rsidRPr="000461EA">
        <w:rPr>
          <w:rFonts w:ascii="Arial" w:hAnsi="Arial" w:cs="Arial"/>
          <w:color w:val="000000"/>
          <w:sz w:val="24"/>
          <w:szCs w:val="24"/>
        </w:rPr>
        <w:t>日</w:t>
      </w:r>
    </w:p>
    <w:p w:rsidR="006558FB" w:rsidRPr="00F4265C" w:rsidRDefault="006558FB" w:rsidP="00F4265C">
      <w:pPr>
        <w:spacing w:line="360" w:lineRule="auto"/>
        <w:ind w:firstLineChars="200" w:firstLine="482"/>
        <w:outlineLvl w:val="0"/>
        <w:rPr>
          <w:rFonts w:ascii="Arial" w:hAnsi="Arial" w:cs="Arial"/>
          <w:b/>
          <w:color w:val="000000"/>
          <w:sz w:val="24"/>
          <w:szCs w:val="24"/>
        </w:rPr>
      </w:pPr>
    </w:p>
    <w:sectPr w:rsidR="006558FB" w:rsidRPr="00F4265C" w:rsidSect="006539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AB" w:rsidRDefault="00413EAB">
      <w:r>
        <w:separator/>
      </w:r>
    </w:p>
  </w:endnote>
  <w:endnote w:type="continuationSeparator" w:id="0">
    <w:p w:rsidR="00413EAB" w:rsidRDefault="00413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74" w:rsidRDefault="00901D74">
    <w:pPr>
      <w:pStyle w:val="a3"/>
      <w:jc w:val="center"/>
    </w:pPr>
    <w:fldSimple w:instr=" PAGE   \* MERGEFORMAT ">
      <w:r w:rsidR="00742854" w:rsidRPr="00742854">
        <w:rPr>
          <w:noProof/>
          <w:lang w:val="zh-CN"/>
        </w:rPr>
        <w:t>1</w:t>
      </w:r>
    </w:fldSimple>
  </w:p>
  <w:p w:rsidR="00901D74" w:rsidRDefault="00901D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AB" w:rsidRDefault="00413EAB">
      <w:r>
        <w:separator/>
      </w:r>
    </w:p>
  </w:footnote>
  <w:footnote w:type="continuationSeparator" w:id="0">
    <w:p w:rsidR="00413EAB" w:rsidRDefault="00413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602011A0">
      <w:start w:val="1"/>
      <w:numFmt w:val="decimal"/>
      <w:lvlText w:val="%1）"/>
      <w:lvlJc w:val="left"/>
      <w:pPr>
        <w:tabs>
          <w:tab w:val="num" w:pos="360"/>
        </w:tabs>
        <w:ind w:left="360" w:hanging="360"/>
      </w:pPr>
      <w:rPr>
        <w:rFonts w:hint="default"/>
      </w:rPr>
    </w:lvl>
    <w:lvl w:ilvl="1" w:tplc="6AB66656" w:tentative="1">
      <w:start w:val="1"/>
      <w:numFmt w:val="lowerLetter"/>
      <w:lvlText w:val="%2)"/>
      <w:lvlJc w:val="left"/>
      <w:pPr>
        <w:tabs>
          <w:tab w:val="num" w:pos="840"/>
        </w:tabs>
        <w:ind w:left="840" w:hanging="420"/>
      </w:pPr>
    </w:lvl>
    <w:lvl w:ilvl="2" w:tplc="4A143384" w:tentative="1">
      <w:start w:val="1"/>
      <w:numFmt w:val="lowerRoman"/>
      <w:lvlText w:val="%3."/>
      <w:lvlJc w:val="right"/>
      <w:pPr>
        <w:tabs>
          <w:tab w:val="num" w:pos="1260"/>
        </w:tabs>
        <w:ind w:left="1260" w:hanging="420"/>
      </w:pPr>
    </w:lvl>
    <w:lvl w:ilvl="3" w:tplc="94BC7C9E" w:tentative="1">
      <w:start w:val="1"/>
      <w:numFmt w:val="decimal"/>
      <w:lvlText w:val="%4."/>
      <w:lvlJc w:val="left"/>
      <w:pPr>
        <w:tabs>
          <w:tab w:val="num" w:pos="1680"/>
        </w:tabs>
        <w:ind w:left="1680" w:hanging="420"/>
      </w:pPr>
    </w:lvl>
    <w:lvl w:ilvl="4" w:tplc="571E7BEC" w:tentative="1">
      <w:start w:val="1"/>
      <w:numFmt w:val="lowerLetter"/>
      <w:lvlText w:val="%5)"/>
      <w:lvlJc w:val="left"/>
      <w:pPr>
        <w:tabs>
          <w:tab w:val="num" w:pos="2100"/>
        </w:tabs>
        <w:ind w:left="2100" w:hanging="420"/>
      </w:pPr>
    </w:lvl>
    <w:lvl w:ilvl="5" w:tplc="A2A4F33A" w:tentative="1">
      <w:start w:val="1"/>
      <w:numFmt w:val="lowerRoman"/>
      <w:lvlText w:val="%6."/>
      <w:lvlJc w:val="right"/>
      <w:pPr>
        <w:tabs>
          <w:tab w:val="num" w:pos="2520"/>
        </w:tabs>
        <w:ind w:left="2520" w:hanging="420"/>
      </w:pPr>
    </w:lvl>
    <w:lvl w:ilvl="6" w:tplc="89AC28C8" w:tentative="1">
      <w:start w:val="1"/>
      <w:numFmt w:val="decimal"/>
      <w:lvlText w:val="%7."/>
      <w:lvlJc w:val="left"/>
      <w:pPr>
        <w:tabs>
          <w:tab w:val="num" w:pos="2940"/>
        </w:tabs>
        <w:ind w:left="2940" w:hanging="420"/>
      </w:pPr>
    </w:lvl>
    <w:lvl w:ilvl="7" w:tplc="D8167BD0" w:tentative="1">
      <w:start w:val="1"/>
      <w:numFmt w:val="lowerLetter"/>
      <w:lvlText w:val="%8)"/>
      <w:lvlJc w:val="left"/>
      <w:pPr>
        <w:tabs>
          <w:tab w:val="num" w:pos="3360"/>
        </w:tabs>
        <w:ind w:left="3360" w:hanging="420"/>
      </w:pPr>
    </w:lvl>
    <w:lvl w:ilvl="8" w:tplc="482E9DF2"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2FD6"/>
    <w:rsid w:val="000158E5"/>
    <w:rsid w:val="00026066"/>
    <w:rsid w:val="00027683"/>
    <w:rsid w:val="00032226"/>
    <w:rsid w:val="00046116"/>
    <w:rsid w:val="000461EA"/>
    <w:rsid w:val="0006031E"/>
    <w:rsid w:val="0007111B"/>
    <w:rsid w:val="000805BC"/>
    <w:rsid w:val="000838B0"/>
    <w:rsid w:val="00086832"/>
    <w:rsid w:val="000A2E4B"/>
    <w:rsid w:val="000A4763"/>
    <w:rsid w:val="000A52BE"/>
    <w:rsid w:val="000D6BAB"/>
    <w:rsid w:val="000E098F"/>
    <w:rsid w:val="000E23DC"/>
    <w:rsid w:val="00111CA9"/>
    <w:rsid w:val="001125A5"/>
    <w:rsid w:val="00144278"/>
    <w:rsid w:val="00157B58"/>
    <w:rsid w:val="00160B0F"/>
    <w:rsid w:val="001641B3"/>
    <w:rsid w:val="001658C2"/>
    <w:rsid w:val="00170008"/>
    <w:rsid w:val="001818B0"/>
    <w:rsid w:val="001B7D2C"/>
    <w:rsid w:val="001D43BA"/>
    <w:rsid w:val="001E46AB"/>
    <w:rsid w:val="001F505E"/>
    <w:rsid w:val="00223DD7"/>
    <w:rsid w:val="0022406D"/>
    <w:rsid w:val="00227E40"/>
    <w:rsid w:val="00237A48"/>
    <w:rsid w:val="00245328"/>
    <w:rsid w:val="002601AE"/>
    <w:rsid w:val="002624C7"/>
    <w:rsid w:val="00265063"/>
    <w:rsid w:val="00267D92"/>
    <w:rsid w:val="00295743"/>
    <w:rsid w:val="002A1143"/>
    <w:rsid w:val="002D34F3"/>
    <w:rsid w:val="00300633"/>
    <w:rsid w:val="003134B8"/>
    <w:rsid w:val="00315209"/>
    <w:rsid w:val="00332BF3"/>
    <w:rsid w:val="00332E67"/>
    <w:rsid w:val="00340631"/>
    <w:rsid w:val="00353EDB"/>
    <w:rsid w:val="0036172A"/>
    <w:rsid w:val="00374D22"/>
    <w:rsid w:val="0039525C"/>
    <w:rsid w:val="003B296B"/>
    <w:rsid w:val="003E74AF"/>
    <w:rsid w:val="00413EAB"/>
    <w:rsid w:val="00416F41"/>
    <w:rsid w:val="004373DC"/>
    <w:rsid w:val="0044564B"/>
    <w:rsid w:val="00483C9B"/>
    <w:rsid w:val="00497521"/>
    <w:rsid w:val="004B17C6"/>
    <w:rsid w:val="004C799F"/>
    <w:rsid w:val="004D1830"/>
    <w:rsid w:val="004D52E5"/>
    <w:rsid w:val="004F3DDF"/>
    <w:rsid w:val="0051364F"/>
    <w:rsid w:val="00522B06"/>
    <w:rsid w:val="00525EAA"/>
    <w:rsid w:val="00583BDA"/>
    <w:rsid w:val="005A081E"/>
    <w:rsid w:val="005A3C37"/>
    <w:rsid w:val="005A7F57"/>
    <w:rsid w:val="005C3D98"/>
    <w:rsid w:val="005F4A7C"/>
    <w:rsid w:val="0061300D"/>
    <w:rsid w:val="006160F8"/>
    <w:rsid w:val="00640707"/>
    <w:rsid w:val="006449A4"/>
    <w:rsid w:val="00653920"/>
    <w:rsid w:val="006558FB"/>
    <w:rsid w:val="00665CD6"/>
    <w:rsid w:val="006B4172"/>
    <w:rsid w:val="006C1F38"/>
    <w:rsid w:val="006D5CB7"/>
    <w:rsid w:val="006D6412"/>
    <w:rsid w:val="006D66C7"/>
    <w:rsid w:val="00713053"/>
    <w:rsid w:val="00742854"/>
    <w:rsid w:val="00745C7F"/>
    <w:rsid w:val="0075400A"/>
    <w:rsid w:val="00756A93"/>
    <w:rsid w:val="007642D7"/>
    <w:rsid w:val="00766A79"/>
    <w:rsid w:val="007733F5"/>
    <w:rsid w:val="007B665C"/>
    <w:rsid w:val="0080394D"/>
    <w:rsid w:val="00821507"/>
    <w:rsid w:val="008548FA"/>
    <w:rsid w:val="008629D3"/>
    <w:rsid w:val="0087260C"/>
    <w:rsid w:val="0087580E"/>
    <w:rsid w:val="00886456"/>
    <w:rsid w:val="008B3A00"/>
    <w:rsid w:val="008B78DF"/>
    <w:rsid w:val="008C03FF"/>
    <w:rsid w:val="008C1380"/>
    <w:rsid w:val="008D46E1"/>
    <w:rsid w:val="008E2CB3"/>
    <w:rsid w:val="008E37AA"/>
    <w:rsid w:val="008E4921"/>
    <w:rsid w:val="008F18DF"/>
    <w:rsid w:val="008F5DE5"/>
    <w:rsid w:val="00901D74"/>
    <w:rsid w:val="00947188"/>
    <w:rsid w:val="00963575"/>
    <w:rsid w:val="009640A4"/>
    <w:rsid w:val="00975A98"/>
    <w:rsid w:val="009870A6"/>
    <w:rsid w:val="00987123"/>
    <w:rsid w:val="0099062C"/>
    <w:rsid w:val="00993ED6"/>
    <w:rsid w:val="00997873"/>
    <w:rsid w:val="009A5CD2"/>
    <w:rsid w:val="009C44CF"/>
    <w:rsid w:val="009D2FD6"/>
    <w:rsid w:val="009E1E00"/>
    <w:rsid w:val="009F2563"/>
    <w:rsid w:val="00A10A63"/>
    <w:rsid w:val="00A41FF3"/>
    <w:rsid w:val="00A440F8"/>
    <w:rsid w:val="00A444D2"/>
    <w:rsid w:val="00A46830"/>
    <w:rsid w:val="00A51E20"/>
    <w:rsid w:val="00AB23EC"/>
    <w:rsid w:val="00AB7076"/>
    <w:rsid w:val="00AC0CDE"/>
    <w:rsid w:val="00AC6BA9"/>
    <w:rsid w:val="00AE0F59"/>
    <w:rsid w:val="00AE2079"/>
    <w:rsid w:val="00B06AB9"/>
    <w:rsid w:val="00B074F5"/>
    <w:rsid w:val="00B26E38"/>
    <w:rsid w:val="00B33BD2"/>
    <w:rsid w:val="00B3544F"/>
    <w:rsid w:val="00B40CDF"/>
    <w:rsid w:val="00B56871"/>
    <w:rsid w:val="00B663EF"/>
    <w:rsid w:val="00B70FAA"/>
    <w:rsid w:val="00C06B56"/>
    <w:rsid w:val="00C121E3"/>
    <w:rsid w:val="00C35FE8"/>
    <w:rsid w:val="00C40023"/>
    <w:rsid w:val="00C52E28"/>
    <w:rsid w:val="00C73472"/>
    <w:rsid w:val="00C73575"/>
    <w:rsid w:val="00C81E4A"/>
    <w:rsid w:val="00C84756"/>
    <w:rsid w:val="00CA1872"/>
    <w:rsid w:val="00CA6F2D"/>
    <w:rsid w:val="00CD2BB4"/>
    <w:rsid w:val="00D0781C"/>
    <w:rsid w:val="00D12DB6"/>
    <w:rsid w:val="00D15FDD"/>
    <w:rsid w:val="00D218A2"/>
    <w:rsid w:val="00D25D3D"/>
    <w:rsid w:val="00D37DBB"/>
    <w:rsid w:val="00D44011"/>
    <w:rsid w:val="00D572B3"/>
    <w:rsid w:val="00D75AAE"/>
    <w:rsid w:val="00D9101F"/>
    <w:rsid w:val="00D96264"/>
    <w:rsid w:val="00D96ADF"/>
    <w:rsid w:val="00DA40C3"/>
    <w:rsid w:val="00DD1A54"/>
    <w:rsid w:val="00DD3467"/>
    <w:rsid w:val="00DD77D1"/>
    <w:rsid w:val="00E05693"/>
    <w:rsid w:val="00E07671"/>
    <w:rsid w:val="00E34032"/>
    <w:rsid w:val="00E444AE"/>
    <w:rsid w:val="00E606B3"/>
    <w:rsid w:val="00E81BAA"/>
    <w:rsid w:val="00E8335C"/>
    <w:rsid w:val="00E87F42"/>
    <w:rsid w:val="00EB4FDE"/>
    <w:rsid w:val="00EB6ACA"/>
    <w:rsid w:val="00EC5D68"/>
    <w:rsid w:val="00ED798A"/>
    <w:rsid w:val="00ED7F00"/>
    <w:rsid w:val="00EE3D5D"/>
    <w:rsid w:val="00EF3AA0"/>
    <w:rsid w:val="00F2155E"/>
    <w:rsid w:val="00F4265C"/>
    <w:rsid w:val="00F5325F"/>
    <w:rsid w:val="00F97FF7"/>
    <w:rsid w:val="00FA4D96"/>
    <w:rsid w:val="00FB31D4"/>
    <w:rsid w:val="00FC198C"/>
    <w:rsid w:val="00FE3E56"/>
    <w:rsid w:val="00FF09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D6"/>
    <w:pPr>
      <w:widowControl w:val="0"/>
      <w:jc w:val="both"/>
    </w:pPr>
    <w:rPr>
      <w:kern w:val="2"/>
      <w:sz w:val="21"/>
      <w:szCs w:val="22"/>
    </w:rPr>
  </w:style>
  <w:style w:type="paragraph" w:styleId="10">
    <w:name w:val="heading 1"/>
    <w:basedOn w:val="a"/>
    <w:next w:val="a"/>
    <w:link w:val="1Char"/>
    <w:qFormat/>
    <w:rsid w:val="00DA40C3"/>
    <w:pPr>
      <w:keepNext/>
      <w:keepLines/>
      <w:spacing w:before="340" w:after="330" w:line="578" w:lineRule="auto"/>
      <w:outlineLvl w:val="0"/>
    </w:pPr>
    <w:rPr>
      <w:rFonts w:ascii="Times New Roman" w:hAnsi="Times New Roman"/>
      <w:b/>
      <w:bCs/>
      <w:kern w:val="44"/>
      <w:sz w:val="44"/>
      <w:szCs w:val="44"/>
    </w:rPr>
  </w:style>
  <w:style w:type="paragraph" w:styleId="20">
    <w:name w:val="heading 2"/>
    <w:aliases w:val="标题 2 Char Char,Chapter X.X. Statement,h2,2,Header 2,l2,Level 2 Head,heading 2"/>
    <w:basedOn w:val="a"/>
    <w:next w:val="a"/>
    <w:link w:val="2Char"/>
    <w:qFormat/>
    <w:rsid w:val="00DA40C3"/>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DA40C3"/>
    <w:pPr>
      <w:keepNext/>
      <w:keepLines/>
      <w:spacing w:before="260" w:after="260" w:line="416" w:lineRule="auto"/>
      <w:outlineLvl w:val="2"/>
    </w:pPr>
    <w:rPr>
      <w:rFonts w:ascii="Times New Roman" w:hAnsi="Times New Roman"/>
      <w:b/>
      <w:bCs/>
      <w:sz w:val="32"/>
      <w:szCs w:val="32"/>
    </w:rPr>
  </w:style>
  <w:style w:type="paragraph" w:styleId="40">
    <w:name w:val="heading 4"/>
    <w:basedOn w:val="a"/>
    <w:next w:val="a"/>
    <w:link w:val="4Char"/>
    <w:qFormat/>
    <w:rsid w:val="00DA40C3"/>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link w:val="5Char"/>
    <w:qFormat/>
    <w:rsid w:val="00DA40C3"/>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DA40C3"/>
    <w:pPr>
      <w:keepNext/>
      <w:keepLines/>
      <w:spacing w:before="240" w:after="64" w:line="320" w:lineRule="auto"/>
      <w:ind w:left="851" w:firstLineChars="200" w:firstLine="200"/>
      <w:outlineLvl w:val="5"/>
    </w:pPr>
    <w:rPr>
      <w:rFonts w:ascii="Arial" w:eastAsia="黑体" w:hAnsi="Arial"/>
      <w:b/>
      <w:bCs/>
      <w:sz w:val="24"/>
      <w:szCs w:val="24"/>
    </w:rPr>
  </w:style>
  <w:style w:type="paragraph" w:styleId="7">
    <w:name w:val="heading 7"/>
    <w:basedOn w:val="a"/>
    <w:next w:val="a"/>
    <w:link w:val="7Char"/>
    <w:qFormat/>
    <w:rsid w:val="00DA40C3"/>
    <w:pPr>
      <w:keepNext/>
      <w:keepLines/>
      <w:spacing w:before="240" w:after="64" w:line="320" w:lineRule="auto"/>
      <w:ind w:left="851" w:firstLineChars="200" w:firstLine="200"/>
      <w:outlineLvl w:val="6"/>
    </w:pPr>
    <w:rPr>
      <w:rFonts w:ascii="Times New Roman" w:hAnsi="Times New Roman"/>
      <w:b/>
      <w:bCs/>
      <w:sz w:val="24"/>
      <w:szCs w:val="24"/>
    </w:rPr>
  </w:style>
  <w:style w:type="paragraph" w:styleId="8">
    <w:name w:val="heading 8"/>
    <w:basedOn w:val="a"/>
    <w:next w:val="a"/>
    <w:link w:val="8Char"/>
    <w:qFormat/>
    <w:rsid w:val="00DA40C3"/>
    <w:pPr>
      <w:keepNext/>
      <w:keepLines/>
      <w:spacing w:before="240" w:after="64" w:line="320" w:lineRule="auto"/>
      <w:ind w:left="851" w:firstLineChars="200" w:firstLine="200"/>
      <w:outlineLvl w:val="7"/>
    </w:pPr>
    <w:rPr>
      <w:rFonts w:ascii="Arial" w:eastAsia="黑体" w:hAnsi="Arial"/>
      <w:sz w:val="24"/>
      <w:szCs w:val="24"/>
    </w:rPr>
  </w:style>
  <w:style w:type="paragraph" w:styleId="9">
    <w:name w:val="heading 9"/>
    <w:basedOn w:val="a"/>
    <w:next w:val="a"/>
    <w:link w:val="9Char"/>
    <w:qFormat/>
    <w:rsid w:val="00DA40C3"/>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9D2FD6"/>
    <w:pPr>
      <w:tabs>
        <w:tab w:val="center" w:pos="4153"/>
        <w:tab w:val="right" w:pos="8306"/>
      </w:tabs>
      <w:snapToGrid w:val="0"/>
      <w:jc w:val="left"/>
    </w:pPr>
    <w:rPr>
      <w:kern w:val="0"/>
      <w:sz w:val="18"/>
      <w:szCs w:val="18"/>
      <w:lang/>
    </w:rPr>
  </w:style>
  <w:style w:type="character" w:customStyle="1" w:styleId="Char">
    <w:name w:val="页脚 Char"/>
    <w:link w:val="a3"/>
    <w:uiPriority w:val="99"/>
    <w:rsid w:val="009D2FD6"/>
    <w:rPr>
      <w:rFonts w:ascii="Calibri" w:eastAsia="宋体" w:hAnsi="Calibri" w:cs="Times New Roman"/>
      <w:sz w:val="18"/>
      <w:szCs w:val="18"/>
    </w:rPr>
  </w:style>
  <w:style w:type="paragraph" w:styleId="a4">
    <w:name w:val="header"/>
    <w:basedOn w:val="a"/>
    <w:link w:val="Char0"/>
    <w:unhideWhenUsed/>
    <w:rsid w:val="002624C7"/>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uiPriority w:val="99"/>
    <w:rsid w:val="002624C7"/>
    <w:rPr>
      <w:kern w:val="2"/>
      <w:sz w:val="18"/>
      <w:szCs w:val="18"/>
    </w:rPr>
  </w:style>
  <w:style w:type="character" w:styleId="a5">
    <w:name w:val="annotation reference"/>
    <w:semiHidden/>
    <w:rsid w:val="00B56871"/>
    <w:rPr>
      <w:sz w:val="21"/>
      <w:szCs w:val="21"/>
    </w:rPr>
  </w:style>
  <w:style w:type="paragraph" w:styleId="a6">
    <w:name w:val="annotation text"/>
    <w:basedOn w:val="a"/>
    <w:link w:val="Char1"/>
    <w:semiHidden/>
    <w:rsid w:val="00B56871"/>
    <w:pPr>
      <w:jc w:val="left"/>
    </w:pPr>
    <w:rPr>
      <w:rFonts w:ascii="Times New Roman" w:hAnsi="Times New Roman"/>
      <w:szCs w:val="24"/>
      <w:lang/>
    </w:rPr>
  </w:style>
  <w:style w:type="character" w:customStyle="1" w:styleId="Char1">
    <w:name w:val="批注文字 Char"/>
    <w:link w:val="a6"/>
    <w:rsid w:val="00B56871"/>
    <w:rPr>
      <w:rFonts w:ascii="Times New Roman" w:hAnsi="Times New Roman"/>
      <w:kern w:val="2"/>
      <w:sz w:val="21"/>
      <w:szCs w:val="24"/>
    </w:rPr>
  </w:style>
  <w:style w:type="paragraph" w:styleId="a7">
    <w:name w:val="Balloon Text"/>
    <w:basedOn w:val="a"/>
    <w:link w:val="Char2"/>
    <w:semiHidden/>
    <w:unhideWhenUsed/>
    <w:rsid w:val="00B56871"/>
    <w:rPr>
      <w:sz w:val="18"/>
      <w:szCs w:val="18"/>
      <w:lang/>
    </w:rPr>
  </w:style>
  <w:style w:type="character" w:customStyle="1" w:styleId="Char2">
    <w:name w:val="批注框文本 Char"/>
    <w:link w:val="a7"/>
    <w:uiPriority w:val="99"/>
    <w:semiHidden/>
    <w:rsid w:val="00B56871"/>
    <w:rPr>
      <w:kern w:val="2"/>
      <w:sz w:val="18"/>
      <w:szCs w:val="18"/>
    </w:rPr>
  </w:style>
  <w:style w:type="paragraph" w:styleId="a8">
    <w:name w:val="annotation subject"/>
    <w:basedOn w:val="a6"/>
    <w:next w:val="a6"/>
    <w:link w:val="Char3"/>
    <w:semiHidden/>
    <w:unhideWhenUsed/>
    <w:rsid w:val="00F4265C"/>
    <w:rPr>
      <w:b/>
      <w:bCs/>
      <w:szCs w:val="22"/>
    </w:rPr>
  </w:style>
  <w:style w:type="character" w:customStyle="1" w:styleId="Char3">
    <w:name w:val="批注主题 Char"/>
    <w:link w:val="a8"/>
    <w:uiPriority w:val="99"/>
    <w:semiHidden/>
    <w:rsid w:val="00F4265C"/>
    <w:rPr>
      <w:rFonts w:ascii="Times New Roman" w:hAnsi="Times New Roman"/>
      <w:b/>
      <w:bCs/>
      <w:kern w:val="2"/>
      <w:sz w:val="21"/>
      <w:szCs w:val="22"/>
    </w:rPr>
  </w:style>
  <w:style w:type="table" w:styleId="a9">
    <w:name w:val="Table Grid"/>
    <w:basedOn w:val="a1"/>
    <w:rsid w:val="008629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0"/>
    <w:rsid w:val="00DA40C3"/>
    <w:rPr>
      <w:rFonts w:ascii="Times New Roman" w:hAnsi="Times New Roman"/>
      <w:b/>
      <w:bCs/>
      <w:kern w:val="44"/>
      <w:sz w:val="44"/>
      <w:szCs w:val="44"/>
    </w:rPr>
  </w:style>
  <w:style w:type="character" w:customStyle="1" w:styleId="2Char">
    <w:name w:val="标题 2 Char"/>
    <w:link w:val="20"/>
    <w:rsid w:val="00DA40C3"/>
    <w:rPr>
      <w:rFonts w:ascii="Arial" w:eastAsia="黑体" w:hAnsi="Arial"/>
      <w:b/>
      <w:bCs/>
      <w:kern w:val="2"/>
      <w:sz w:val="32"/>
      <w:szCs w:val="32"/>
    </w:rPr>
  </w:style>
  <w:style w:type="character" w:customStyle="1" w:styleId="3Char">
    <w:name w:val="标题 3 Char"/>
    <w:link w:val="30"/>
    <w:rsid w:val="00DA40C3"/>
    <w:rPr>
      <w:rFonts w:ascii="Times New Roman" w:hAnsi="Times New Roman"/>
      <w:b/>
      <w:bCs/>
      <w:kern w:val="2"/>
      <w:sz w:val="32"/>
      <w:szCs w:val="32"/>
    </w:rPr>
  </w:style>
  <w:style w:type="character" w:customStyle="1" w:styleId="4Char">
    <w:name w:val="标题 4 Char"/>
    <w:link w:val="40"/>
    <w:rsid w:val="00DA40C3"/>
    <w:rPr>
      <w:rFonts w:ascii="Arial" w:eastAsia="黑体" w:hAnsi="Arial"/>
      <w:b/>
      <w:bCs/>
      <w:kern w:val="2"/>
      <w:sz w:val="28"/>
      <w:szCs w:val="28"/>
    </w:rPr>
  </w:style>
  <w:style w:type="character" w:customStyle="1" w:styleId="5Char">
    <w:name w:val="标题 5 Char"/>
    <w:link w:val="50"/>
    <w:rsid w:val="00DA40C3"/>
    <w:rPr>
      <w:rFonts w:ascii="Times New Roman" w:hAnsi="Times New Roman"/>
      <w:b/>
      <w:bCs/>
      <w:kern w:val="2"/>
      <w:sz w:val="28"/>
      <w:szCs w:val="28"/>
    </w:rPr>
  </w:style>
  <w:style w:type="character" w:customStyle="1" w:styleId="6Char">
    <w:name w:val="标题 6 Char"/>
    <w:link w:val="6"/>
    <w:rsid w:val="00DA40C3"/>
    <w:rPr>
      <w:rFonts w:ascii="Arial" w:eastAsia="黑体" w:hAnsi="Arial"/>
      <w:b/>
      <w:bCs/>
      <w:kern w:val="2"/>
      <w:sz w:val="24"/>
      <w:szCs w:val="24"/>
    </w:rPr>
  </w:style>
  <w:style w:type="character" w:customStyle="1" w:styleId="7Char">
    <w:name w:val="标题 7 Char"/>
    <w:link w:val="7"/>
    <w:rsid w:val="00DA40C3"/>
    <w:rPr>
      <w:rFonts w:ascii="Times New Roman" w:hAnsi="Times New Roman"/>
      <w:b/>
      <w:bCs/>
      <w:kern w:val="2"/>
      <w:sz w:val="24"/>
      <w:szCs w:val="24"/>
    </w:rPr>
  </w:style>
  <w:style w:type="character" w:customStyle="1" w:styleId="8Char">
    <w:name w:val="标题 8 Char"/>
    <w:link w:val="8"/>
    <w:rsid w:val="00DA40C3"/>
    <w:rPr>
      <w:rFonts w:ascii="Arial" w:eastAsia="黑体" w:hAnsi="Arial"/>
      <w:kern w:val="2"/>
      <w:sz w:val="24"/>
      <w:szCs w:val="24"/>
    </w:rPr>
  </w:style>
  <w:style w:type="character" w:customStyle="1" w:styleId="9Char">
    <w:name w:val="标题 9 Char"/>
    <w:link w:val="9"/>
    <w:rsid w:val="00DA40C3"/>
    <w:rPr>
      <w:rFonts w:ascii="Arial" w:eastAsia="黑体" w:hAnsi="Arial"/>
      <w:kern w:val="2"/>
      <w:sz w:val="24"/>
      <w:szCs w:val="21"/>
    </w:rPr>
  </w:style>
  <w:style w:type="paragraph" w:customStyle="1" w:styleId="Char4">
    <w:name w:val="Char"/>
    <w:basedOn w:val="a"/>
    <w:rsid w:val="00DA40C3"/>
    <w:rPr>
      <w:rFonts w:ascii="Times New Roman" w:hAnsi="Times New Roman"/>
      <w:szCs w:val="24"/>
    </w:rPr>
  </w:style>
  <w:style w:type="paragraph" w:styleId="aa">
    <w:name w:val="Body Text"/>
    <w:aliases w:val="正文文字 Char Char Char Char Char Char Char"/>
    <w:basedOn w:val="a"/>
    <w:link w:val="Char5"/>
    <w:rsid w:val="00DA40C3"/>
    <w:pPr>
      <w:adjustRightInd w:val="0"/>
      <w:snapToGrid w:val="0"/>
      <w:spacing w:line="324" w:lineRule="auto"/>
      <w:ind w:right="28"/>
      <w:jc w:val="left"/>
    </w:pPr>
    <w:rPr>
      <w:rFonts w:ascii="仿宋_GB2312" w:eastAsia="仿宋_GB2312" w:hAnsi="Times New Roman" w:hint="eastAsia"/>
      <w:kern w:val="0"/>
      <w:sz w:val="28"/>
      <w:szCs w:val="20"/>
    </w:rPr>
  </w:style>
  <w:style w:type="character" w:customStyle="1" w:styleId="Char5">
    <w:name w:val="正文文本 Char"/>
    <w:link w:val="aa"/>
    <w:rsid w:val="00DA40C3"/>
    <w:rPr>
      <w:rFonts w:ascii="仿宋_GB2312" w:eastAsia="仿宋_GB2312" w:hAnsi="Times New Roman"/>
      <w:sz w:val="28"/>
    </w:rPr>
  </w:style>
  <w:style w:type="paragraph" w:styleId="ab">
    <w:name w:val="Normal (Web)"/>
    <w:basedOn w:val="a"/>
    <w:rsid w:val="00DA40C3"/>
    <w:pPr>
      <w:widowControl/>
      <w:spacing w:before="100" w:beforeAutospacing="1" w:after="100" w:afterAutospacing="1"/>
      <w:jc w:val="left"/>
    </w:pPr>
    <w:rPr>
      <w:rFonts w:ascii="宋体" w:hAnsi="宋体"/>
      <w:kern w:val="0"/>
      <w:sz w:val="24"/>
      <w:szCs w:val="24"/>
    </w:rPr>
  </w:style>
  <w:style w:type="paragraph" w:styleId="ac">
    <w:name w:val="Document Map"/>
    <w:basedOn w:val="a"/>
    <w:link w:val="Char6"/>
    <w:semiHidden/>
    <w:rsid w:val="00DA40C3"/>
    <w:pPr>
      <w:shd w:val="clear" w:color="auto" w:fill="000080"/>
    </w:pPr>
    <w:rPr>
      <w:rFonts w:ascii="Times New Roman" w:hAnsi="Times New Roman"/>
      <w:szCs w:val="24"/>
    </w:rPr>
  </w:style>
  <w:style w:type="character" w:customStyle="1" w:styleId="Char6">
    <w:name w:val="文档结构图 Char"/>
    <w:link w:val="ac"/>
    <w:semiHidden/>
    <w:rsid w:val="00DA40C3"/>
    <w:rPr>
      <w:rFonts w:ascii="Times New Roman" w:hAnsi="Times New Roman"/>
      <w:kern w:val="2"/>
      <w:sz w:val="21"/>
      <w:szCs w:val="24"/>
      <w:shd w:val="clear" w:color="auto" w:fill="000080"/>
    </w:rPr>
  </w:style>
  <w:style w:type="character" w:customStyle="1" w:styleId="CharCharCharCharCharCharCharChar">
    <w:name w:val="正文文字 Char Char Char Char Char Char Char Char"/>
    <w:aliases w:val="正文文本2,正文文本1"/>
    <w:rsid w:val="00DA40C3"/>
    <w:rPr>
      <w:rFonts w:ascii="仿宋_GB2312" w:eastAsia="仿宋_GB2312"/>
      <w:sz w:val="28"/>
      <w:lang w:val="en-US" w:eastAsia="zh-CN" w:bidi="ar-SA"/>
    </w:rPr>
  </w:style>
  <w:style w:type="character" w:customStyle="1" w:styleId="afont1">
    <w:name w:val="afont1"/>
    <w:rsid w:val="00DA40C3"/>
    <w:rPr>
      <w:rFonts w:ascii="Arial Narrow" w:hAnsi="Arial Narrow" w:hint="default"/>
      <w:sz w:val="21"/>
      <w:szCs w:val="21"/>
    </w:rPr>
  </w:style>
  <w:style w:type="paragraph" w:customStyle="1" w:styleId="CharChar">
    <w:name w:val="Char Char"/>
    <w:basedOn w:val="a"/>
    <w:rsid w:val="00DA40C3"/>
    <w:rPr>
      <w:rFonts w:ascii="Times New Roman" w:hAnsi="Times New Roman"/>
      <w:szCs w:val="24"/>
    </w:rPr>
  </w:style>
  <w:style w:type="paragraph" w:customStyle="1" w:styleId="Default">
    <w:name w:val="Default"/>
    <w:rsid w:val="00DA40C3"/>
    <w:pPr>
      <w:widowControl w:val="0"/>
      <w:autoSpaceDE w:val="0"/>
      <w:autoSpaceDN w:val="0"/>
      <w:adjustRightInd w:val="0"/>
    </w:pPr>
    <w:rPr>
      <w:rFonts w:ascii="宋体" w:hAnsi="Times New Roman" w:cs="宋体"/>
      <w:color w:val="000000"/>
      <w:sz w:val="24"/>
      <w:szCs w:val="24"/>
    </w:rPr>
  </w:style>
  <w:style w:type="paragraph" w:styleId="ad">
    <w:name w:val="Date"/>
    <w:basedOn w:val="a"/>
    <w:next w:val="a"/>
    <w:link w:val="Char7"/>
    <w:rsid w:val="00DA40C3"/>
    <w:rPr>
      <w:rFonts w:ascii="Times New Roman" w:hAnsi="Times New Roman"/>
      <w:sz w:val="24"/>
      <w:szCs w:val="20"/>
    </w:rPr>
  </w:style>
  <w:style w:type="character" w:customStyle="1" w:styleId="Char7">
    <w:name w:val="日期 Char"/>
    <w:link w:val="ad"/>
    <w:rsid w:val="00DA40C3"/>
    <w:rPr>
      <w:rFonts w:ascii="Times New Roman" w:hAnsi="Times New Roman"/>
      <w:kern w:val="2"/>
      <w:sz w:val="24"/>
    </w:rPr>
  </w:style>
  <w:style w:type="paragraph" w:customStyle="1" w:styleId="CharCharCharChar">
    <w:name w:val="Char Char Char Char"/>
    <w:basedOn w:val="a"/>
    <w:autoRedefine/>
    <w:rsid w:val="00DA40C3"/>
    <w:pPr>
      <w:tabs>
        <w:tab w:val="num" w:pos="840"/>
      </w:tabs>
      <w:adjustRightInd w:val="0"/>
      <w:spacing w:line="360" w:lineRule="atLeast"/>
      <w:ind w:left="840" w:hanging="360"/>
      <w:textAlignment w:val="baseline"/>
    </w:pPr>
    <w:rPr>
      <w:rFonts w:ascii="Times New Roman" w:hAnsi="Times New Roman"/>
      <w:sz w:val="24"/>
      <w:szCs w:val="24"/>
    </w:rPr>
  </w:style>
  <w:style w:type="character" w:styleId="ae">
    <w:name w:val="page number"/>
    <w:basedOn w:val="a0"/>
    <w:rsid w:val="00DA40C3"/>
  </w:style>
  <w:style w:type="paragraph" w:customStyle="1" w:styleId="xl33">
    <w:name w:val="xl33"/>
    <w:basedOn w:val="a"/>
    <w:rsid w:val="00DA40C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2111111">
    <w:name w:val="样式 样式 样式 标题 2 + 段前: 1 行 段后: 1 行1 + 段前: 1 行 段后: 1 行 + 段前: 1 行 段后..."/>
    <w:basedOn w:val="a"/>
    <w:rsid w:val="00DA40C3"/>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DA40C3"/>
    <w:pPr>
      <w:tabs>
        <w:tab w:val="num" w:pos="360"/>
      </w:tabs>
      <w:ind w:left="360" w:hanging="360"/>
    </w:pPr>
    <w:rPr>
      <w:rFonts w:ascii="Times New Roman" w:hAnsi="Times New Roman"/>
      <w:sz w:val="24"/>
      <w:szCs w:val="20"/>
    </w:rPr>
  </w:style>
  <w:style w:type="paragraph" w:customStyle="1" w:styleId="af">
    <w:name w:val="简单回函地址"/>
    <w:basedOn w:val="a"/>
    <w:rsid w:val="00DA40C3"/>
    <w:rPr>
      <w:rFonts w:ascii="Times New Roman" w:hAnsi="Times New Roman"/>
      <w:szCs w:val="24"/>
    </w:rPr>
  </w:style>
  <w:style w:type="paragraph" w:customStyle="1" w:styleId="FormLabel">
    <w:name w:val="Form Label"/>
    <w:basedOn w:val="a"/>
    <w:rsid w:val="00DA40C3"/>
    <w:pPr>
      <w:widowControl/>
      <w:spacing w:line="280" w:lineRule="exact"/>
      <w:jc w:val="left"/>
    </w:pPr>
    <w:rPr>
      <w:rFonts w:ascii="Times New Roman" w:hAnsi="Times New Roman"/>
      <w:kern w:val="0"/>
      <w:sz w:val="18"/>
      <w:szCs w:val="20"/>
      <w:lang w:val="en-GB" w:eastAsia="en-US"/>
    </w:rPr>
  </w:style>
  <w:style w:type="character" w:styleId="af0">
    <w:name w:val="Strong"/>
    <w:qFormat/>
    <w:rsid w:val="00DA40C3"/>
    <w:rPr>
      <w:b/>
      <w:bCs/>
    </w:rPr>
  </w:style>
  <w:style w:type="character" w:customStyle="1" w:styleId="2CharCharChar">
    <w:name w:val="标题 2 Char Char Char"/>
    <w:rsid w:val="00DA40C3"/>
    <w:rPr>
      <w:rFonts w:ascii="Arial" w:eastAsia="宋体" w:hAnsi="Arial"/>
      <w:b/>
      <w:kern w:val="2"/>
      <w:sz w:val="28"/>
      <w:szCs w:val="28"/>
      <w:lang w:val="en-US" w:eastAsia="zh-CN" w:bidi="ar-SA"/>
    </w:rPr>
  </w:style>
  <w:style w:type="paragraph" w:styleId="af1">
    <w:name w:val="footnote text"/>
    <w:basedOn w:val="a"/>
    <w:link w:val="Char8"/>
    <w:semiHidden/>
    <w:rsid w:val="00DA40C3"/>
    <w:pPr>
      <w:snapToGrid w:val="0"/>
      <w:jc w:val="left"/>
    </w:pPr>
    <w:rPr>
      <w:rFonts w:ascii="Times New Roman" w:hAnsi="Times New Roman"/>
      <w:sz w:val="18"/>
      <w:szCs w:val="18"/>
    </w:rPr>
  </w:style>
  <w:style w:type="character" w:customStyle="1" w:styleId="Char8">
    <w:name w:val="脚注文本 Char"/>
    <w:link w:val="af1"/>
    <w:semiHidden/>
    <w:rsid w:val="00DA40C3"/>
    <w:rPr>
      <w:rFonts w:ascii="Times New Roman" w:hAnsi="Times New Roman"/>
      <w:kern w:val="2"/>
      <w:sz w:val="18"/>
      <w:szCs w:val="18"/>
    </w:rPr>
  </w:style>
  <w:style w:type="character" w:styleId="af2">
    <w:name w:val="footnote reference"/>
    <w:semiHidden/>
    <w:rsid w:val="00DA40C3"/>
    <w:rPr>
      <w:vertAlign w:val="superscript"/>
    </w:rPr>
  </w:style>
  <w:style w:type="character" w:styleId="af3">
    <w:name w:val="Hyperlink"/>
    <w:uiPriority w:val="99"/>
    <w:rsid w:val="00DA40C3"/>
    <w:rPr>
      <w:color w:val="0000FF"/>
      <w:u w:val="single"/>
    </w:rPr>
  </w:style>
  <w:style w:type="paragraph" w:customStyle="1" w:styleId="xl31">
    <w:name w:val="xl31"/>
    <w:basedOn w:val="a"/>
    <w:rsid w:val="00DA40C3"/>
    <w:pPr>
      <w:widowControl/>
      <w:spacing w:before="100" w:beforeAutospacing="1" w:after="100" w:afterAutospacing="1"/>
      <w:jc w:val="center"/>
      <w:textAlignment w:val="center"/>
    </w:pPr>
    <w:rPr>
      <w:rFonts w:ascii="宋体" w:hAnsi="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DA40C3"/>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DA40C3"/>
    <w:pPr>
      <w:widowControl/>
      <w:spacing w:after="160" w:line="240" w:lineRule="exact"/>
      <w:jc w:val="left"/>
    </w:pPr>
    <w:rPr>
      <w:rFonts w:ascii="Verdana" w:hAnsi="Verdana" w:cs="Verdana"/>
      <w:kern w:val="0"/>
      <w:sz w:val="20"/>
      <w:szCs w:val="20"/>
      <w:lang w:eastAsia="en-US"/>
    </w:rPr>
  </w:style>
  <w:style w:type="paragraph" w:customStyle="1" w:styleId="CharCharCharCharCharChar1CharCharChar">
    <w:name w:val="Char Char Char Char Char Char1 Char Char Char"/>
    <w:basedOn w:val="a"/>
    <w:rsid w:val="00DA40C3"/>
    <w:pPr>
      <w:autoSpaceDE w:val="0"/>
      <w:autoSpaceDN w:val="0"/>
      <w:adjustRightInd w:val="0"/>
      <w:jc w:val="left"/>
      <w:textAlignment w:val="baseline"/>
    </w:pPr>
    <w:rPr>
      <w:rFonts w:ascii="宋体" w:hAnsi="Times New Roman"/>
      <w:kern w:val="0"/>
      <w:sz w:val="34"/>
      <w:szCs w:val="20"/>
    </w:rPr>
  </w:style>
  <w:style w:type="paragraph" w:customStyle="1" w:styleId="xl30">
    <w:name w:val="xl30"/>
    <w:basedOn w:val="a"/>
    <w:rsid w:val="00DA40C3"/>
    <w:pPr>
      <w:widowControl/>
      <w:spacing w:before="100" w:beforeAutospacing="1" w:after="100" w:afterAutospacing="1"/>
      <w:jc w:val="right"/>
    </w:pPr>
    <w:rPr>
      <w:rFonts w:ascii="Times New Roman" w:eastAsia="Arial Unicode MS" w:hAnsi="Times New Roman"/>
      <w:kern w:val="0"/>
      <w:szCs w:val="21"/>
    </w:rPr>
  </w:style>
  <w:style w:type="paragraph" w:styleId="af4">
    <w:name w:val="Plain Text"/>
    <w:basedOn w:val="a"/>
    <w:link w:val="Char9"/>
    <w:rsid w:val="00DA40C3"/>
    <w:rPr>
      <w:rFonts w:ascii="宋体" w:hAnsi="Courier New"/>
      <w:szCs w:val="21"/>
    </w:rPr>
  </w:style>
  <w:style w:type="character" w:customStyle="1" w:styleId="Char9">
    <w:name w:val="纯文本 Char"/>
    <w:link w:val="af4"/>
    <w:rsid w:val="00DA40C3"/>
    <w:rPr>
      <w:rFonts w:ascii="宋体" w:hAnsi="Courier New"/>
      <w:kern w:val="2"/>
      <w:sz w:val="21"/>
      <w:szCs w:val="21"/>
    </w:rPr>
  </w:style>
  <w:style w:type="numbering" w:styleId="111111">
    <w:name w:val="Outline List 2"/>
    <w:basedOn w:val="a2"/>
    <w:rsid w:val="00DA40C3"/>
    <w:pPr>
      <w:numPr>
        <w:numId w:val="2"/>
      </w:numPr>
    </w:pPr>
  </w:style>
  <w:style w:type="numbering" w:customStyle="1" w:styleId="1">
    <w:name w:val="样式1"/>
    <w:rsid w:val="00DA40C3"/>
    <w:pPr>
      <w:numPr>
        <w:numId w:val="4"/>
      </w:numPr>
    </w:pPr>
  </w:style>
  <w:style w:type="numbering" w:customStyle="1" w:styleId="3">
    <w:name w:val="样式3"/>
    <w:rsid w:val="00DA40C3"/>
    <w:pPr>
      <w:numPr>
        <w:numId w:val="7"/>
      </w:numPr>
    </w:pPr>
  </w:style>
  <w:style w:type="numbering" w:customStyle="1" w:styleId="2">
    <w:name w:val="样式2"/>
    <w:rsid w:val="00DA40C3"/>
    <w:pPr>
      <w:numPr>
        <w:numId w:val="6"/>
      </w:numPr>
    </w:pPr>
  </w:style>
  <w:style w:type="numbering" w:customStyle="1" w:styleId="4">
    <w:name w:val="样式4"/>
    <w:rsid w:val="00DA40C3"/>
    <w:pPr>
      <w:numPr>
        <w:numId w:val="8"/>
      </w:numPr>
    </w:pPr>
  </w:style>
  <w:style w:type="numbering" w:customStyle="1" w:styleId="5">
    <w:name w:val="样式5"/>
    <w:rsid w:val="00DA40C3"/>
    <w:pPr>
      <w:numPr>
        <w:numId w:val="9"/>
      </w:numPr>
    </w:pPr>
  </w:style>
  <w:style w:type="paragraph" w:styleId="af5">
    <w:name w:val="endnote text"/>
    <w:basedOn w:val="a"/>
    <w:link w:val="Chara"/>
    <w:semiHidden/>
    <w:rsid w:val="00DA40C3"/>
    <w:pPr>
      <w:snapToGrid w:val="0"/>
      <w:jc w:val="left"/>
    </w:pPr>
    <w:rPr>
      <w:rFonts w:ascii="Times New Roman" w:hAnsi="Times New Roman"/>
      <w:szCs w:val="24"/>
    </w:rPr>
  </w:style>
  <w:style w:type="character" w:customStyle="1" w:styleId="Chara">
    <w:name w:val="尾注文本 Char"/>
    <w:link w:val="af5"/>
    <w:semiHidden/>
    <w:rsid w:val="00DA40C3"/>
    <w:rPr>
      <w:rFonts w:ascii="Times New Roman" w:hAnsi="Times New Roman"/>
      <w:kern w:val="2"/>
      <w:sz w:val="21"/>
      <w:szCs w:val="24"/>
    </w:rPr>
  </w:style>
  <w:style w:type="character" w:styleId="af6">
    <w:name w:val="endnote reference"/>
    <w:semiHidden/>
    <w:rsid w:val="00DA40C3"/>
    <w:rPr>
      <w:vertAlign w:val="superscript"/>
    </w:rPr>
  </w:style>
  <w:style w:type="paragraph" w:styleId="21">
    <w:name w:val="Body Text 2"/>
    <w:basedOn w:val="a"/>
    <w:link w:val="2Char0"/>
    <w:rsid w:val="00DA40C3"/>
    <w:pPr>
      <w:spacing w:after="120" w:line="480" w:lineRule="auto"/>
    </w:pPr>
    <w:rPr>
      <w:rFonts w:ascii="Times New Roman" w:hAnsi="Times New Roman"/>
      <w:szCs w:val="20"/>
    </w:rPr>
  </w:style>
  <w:style w:type="character" w:customStyle="1" w:styleId="2Char0">
    <w:name w:val="正文文本 2 Char"/>
    <w:link w:val="21"/>
    <w:rsid w:val="00DA40C3"/>
    <w:rPr>
      <w:rFonts w:ascii="Times New Roman" w:hAnsi="Times New Roman"/>
      <w:kern w:val="2"/>
      <w:sz w:val="21"/>
    </w:rPr>
  </w:style>
  <w:style w:type="paragraph" w:styleId="22">
    <w:name w:val="toc 2"/>
    <w:basedOn w:val="a"/>
    <w:next w:val="a"/>
    <w:autoRedefine/>
    <w:rsid w:val="00DA40C3"/>
    <w:pPr>
      <w:tabs>
        <w:tab w:val="left" w:pos="1260"/>
        <w:tab w:val="right" w:leader="dot" w:pos="8834"/>
      </w:tabs>
      <w:ind w:leftChars="200" w:left="420"/>
    </w:pPr>
    <w:rPr>
      <w:rFonts w:ascii="Times New Roman" w:hAnsi="Times New Roman"/>
      <w:noProof/>
      <w:szCs w:val="24"/>
    </w:rPr>
  </w:style>
  <w:style w:type="paragraph" w:styleId="31">
    <w:name w:val="toc 3"/>
    <w:basedOn w:val="a"/>
    <w:next w:val="a"/>
    <w:autoRedefine/>
    <w:rsid w:val="00DA40C3"/>
    <w:pPr>
      <w:tabs>
        <w:tab w:val="right" w:leader="dot" w:pos="8820"/>
      </w:tabs>
      <w:ind w:leftChars="400" w:left="840"/>
    </w:pPr>
    <w:rPr>
      <w:rFonts w:ascii="Times New Roman" w:hAnsi="Times New Roman"/>
      <w:szCs w:val="24"/>
    </w:rPr>
  </w:style>
  <w:style w:type="character" w:styleId="af7">
    <w:name w:val="访问过的超链接"/>
    <w:uiPriority w:val="99"/>
    <w:unhideWhenUsed/>
    <w:rsid w:val="00DA40C3"/>
    <w:rPr>
      <w:color w:val="800080"/>
      <w:u w:val="single"/>
    </w:rPr>
  </w:style>
  <w:style w:type="paragraph" w:customStyle="1" w:styleId="font5">
    <w:name w:val="font5"/>
    <w:basedOn w:val="a"/>
    <w:rsid w:val="00DA40C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A40C3"/>
    <w:pPr>
      <w:widowControl/>
      <w:spacing w:before="100" w:beforeAutospacing="1" w:after="100" w:afterAutospacing="1"/>
      <w:jc w:val="left"/>
    </w:pPr>
    <w:rPr>
      <w:rFonts w:ascii="Arial" w:hAnsi="Arial" w:cs="Arial"/>
      <w:color w:val="000000"/>
      <w:kern w:val="0"/>
      <w:sz w:val="22"/>
    </w:rPr>
  </w:style>
  <w:style w:type="paragraph" w:customStyle="1" w:styleId="font7">
    <w:name w:val="font7"/>
    <w:basedOn w:val="a"/>
    <w:rsid w:val="00DA40C3"/>
    <w:pPr>
      <w:widowControl/>
      <w:spacing w:before="100" w:beforeAutospacing="1" w:after="100" w:afterAutospacing="1"/>
      <w:jc w:val="left"/>
    </w:pPr>
    <w:rPr>
      <w:rFonts w:ascii="宋体" w:hAnsi="宋体" w:cs="宋体"/>
      <w:color w:val="000000"/>
      <w:kern w:val="0"/>
      <w:sz w:val="22"/>
    </w:rPr>
  </w:style>
  <w:style w:type="paragraph" w:customStyle="1" w:styleId="xl65">
    <w:name w:val="xl65"/>
    <w:basedOn w:val="a"/>
    <w:rsid w:val="00DA4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szCs w:val="24"/>
    </w:rPr>
  </w:style>
  <w:style w:type="paragraph" w:customStyle="1" w:styleId="xl66">
    <w:name w:val="xl66"/>
    <w:basedOn w:val="a"/>
    <w:rsid w:val="00DA4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67">
    <w:name w:val="xl67"/>
    <w:basedOn w:val="a"/>
    <w:rsid w:val="00DA4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A4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rsid w:val="00DA4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0">
    <w:name w:val="xl70"/>
    <w:basedOn w:val="a"/>
    <w:rsid w:val="00DA4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DA40C3"/>
    <w:pPr>
      <w:widowControl/>
      <w:spacing w:before="100" w:beforeAutospacing="1" w:after="100" w:afterAutospacing="1"/>
      <w:jc w:val="center"/>
    </w:pPr>
    <w:rPr>
      <w:rFonts w:ascii="宋体" w:hAnsi="宋体" w:cs="宋体"/>
      <w:kern w:val="0"/>
      <w:sz w:val="24"/>
      <w:szCs w:val="24"/>
    </w:rPr>
  </w:style>
  <w:style w:type="paragraph" w:customStyle="1" w:styleId="xl72">
    <w:name w:val="xl72"/>
    <w:basedOn w:val="a"/>
    <w:rsid w:val="00DA40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styleId="af8">
    <w:name w:val="Revision"/>
    <w:hidden/>
    <w:uiPriority w:val="99"/>
    <w:semiHidden/>
    <w:rsid w:val="0006031E"/>
    <w:rPr>
      <w:kern w:val="2"/>
      <w:sz w:val="21"/>
      <w:szCs w:val="22"/>
    </w:rPr>
  </w:style>
</w:styles>
</file>

<file path=word/webSettings.xml><?xml version="1.0" encoding="utf-8"?>
<w:webSettings xmlns:r="http://schemas.openxmlformats.org/officeDocument/2006/relationships" xmlns:w="http://schemas.openxmlformats.org/wordprocessingml/2006/main">
  <w:divs>
    <w:div w:id="59209167">
      <w:bodyDiv w:val="1"/>
      <w:marLeft w:val="0"/>
      <w:marRight w:val="0"/>
      <w:marTop w:val="0"/>
      <w:marBottom w:val="0"/>
      <w:divBdr>
        <w:top w:val="none" w:sz="0" w:space="0" w:color="auto"/>
        <w:left w:val="none" w:sz="0" w:space="0" w:color="auto"/>
        <w:bottom w:val="none" w:sz="0" w:space="0" w:color="auto"/>
        <w:right w:val="none" w:sz="0" w:space="0" w:color="auto"/>
      </w:divBdr>
    </w:div>
    <w:div w:id="96797668">
      <w:bodyDiv w:val="1"/>
      <w:marLeft w:val="0"/>
      <w:marRight w:val="0"/>
      <w:marTop w:val="0"/>
      <w:marBottom w:val="0"/>
      <w:divBdr>
        <w:top w:val="none" w:sz="0" w:space="0" w:color="auto"/>
        <w:left w:val="none" w:sz="0" w:space="0" w:color="auto"/>
        <w:bottom w:val="none" w:sz="0" w:space="0" w:color="auto"/>
        <w:right w:val="none" w:sz="0" w:space="0" w:color="auto"/>
      </w:divBdr>
    </w:div>
    <w:div w:id="356934436">
      <w:bodyDiv w:val="1"/>
      <w:marLeft w:val="0"/>
      <w:marRight w:val="0"/>
      <w:marTop w:val="0"/>
      <w:marBottom w:val="0"/>
      <w:divBdr>
        <w:top w:val="none" w:sz="0" w:space="0" w:color="auto"/>
        <w:left w:val="none" w:sz="0" w:space="0" w:color="auto"/>
        <w:bottom w:val="none" w:sz="0" w:space="0" w:color="auto"/>
        <w:right w:val="none" w:sz="0" w:space="0" w:color="auto"/>
      </w:divBdr>
    </w:div>
    <w:div w:id="497770537">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
    <w:div w:id="811991749">
      <w:bodyDiv w:val="1"/>
      <w:marLeft w:val="0"/>
      <w:marRight w:val="0"/>
      <w:marTop w:val="0"/>
      <w:marBottom w:val="0"/>
      <w:divBdr>
        <w:top w:val="none" w:sz="0" w:space="0" w:color="auto"/>
        <w:left w:val="none" w:sz="0" w:space="0" w:color="auto"/>
        <w:bottom w:val="none" w:sz="0" w:space="0" w:color="auto"/>
        <w:right w:val="none" w:sz="0" w:space="0" w:color="auto"/>
      </w:divBdr>
      <w:divsChild>
        <w:div w:id="2093237708">
          <w:marLeft w:val="0"/>
          <w:marRight w:val="0"/>
          <w:marTop w:val="100"/>
          <w:marBottom w:val="100"/>
          <w:divBdr>
            <w:top w:val="none" w:sz="0" w:space="0" w:color="auto"/>
            <w:left w:val="none" w:sz="0" w:space="0" w:color="auto"/>
            <w:bottom w:val="none" w:sz="0" w:space="0" w:color="auto"/>
            <w:right w:val="none" w:sz="0" w:space="0" w:color="auto"/>
          </w:divBdr>
          <w:divsChild>
            <w:div w:id="8595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069">
      <w:bodyDiv w:val="1"/>
      <w:marLeft w:val="0"/>
      <w:marRight w:val="0"/>
      <w:marTop w:val="0"/>
      <w:marBottom w:val="0"/>
      <w:divBdr>
        <w:top w:val="none" w:sz="0" w:space="0" w:color="auto"/>
        <w:left w:val="none" w:sz="0" w:space="0" w:color="auto"/>
        <w:bottom w:val="none" w:sz="0" w:space="0" w:color="auto"/>
        <w:right w:val="none" w:sz="0" w:space="0" w:color="auto"/>
      </w:divBdr>
    </w:div>
    <w:div w:id="928855416">
      <w:bodyDiv w:val="1"/>
      <w:marLeft w:val="0"/>
      <w:marRight w:val="0"/>
      <w:marTop w:val="0"/>
      <w:marBottom w:val="0"/>
      <w:divBdr>
        <w:top w:val="none" w:sz="0" w:space="0" w:color="auto"/>
        <w:left w:val="none" w:sz="0" w:space="0" w:color="auto"/>
        <w:bottom w:val="none" w:sz="0" w:space="0" w:color="auto"/>
        <w:right w:val="none" w:sz="0" w:space="0" w:color="auto"/>
      </w:divBdr>
    </w:div>
    <w:div w:id="1062291474">
      <w:bodyDiv w:val="1"/>
      <w:marLeft w:val="0"/>
      <w:marRight w:val="0"/>
      <w:marTop w:val="0"/>
      <w:marBottom w:val="0"/>
      <w:divBdr>
        <w:top w:val="none" w:sz="0" w:space="0" w:color="auto"/>
        <w:left w:val="none" w:sz="0" w:space="0" w:color="auto"/>
        <w:bottom w:val="none" w:sz="0" w:space="0" w:color="auto"/>
        <w:right w:val="none" w:sz="0" w:space="0" w:color="auto"/>
      </w:divBdr>
    </w:div>
    <w:div w:id="1192524639">
      <w:bodyDiv w:val="1"/>
      <w:marLeft w:val="0"/>
      <w:marRight w:val="0"/>
      <w:marTop w:val="0"/>
      <w:marBottom w:val="0"/>
      <w:divBdr>
        <w:top w:val="none" w:sz="0" w:space="0" w:color="auto"/>
        <w:left w:val="none" w:sz="0" w:space="0" w:color="auto"/>
        <w:bottom w:val="none" w:sz="0" w:space="0" w:color="auto"/>
        <w:right w:val="none" w:sz="0" w:space="0" w:color="auto"/>
      </w:divBdr>
    </w:div>
    <w:div w:id="1228343647">
      <w:bodyDiv w:val="1"/>
      <w:marLeft w:val="0"/>
      <w:marRight w:val="0"/>
      <w:marTop w:val="0"/>
      <w:marBottom w:val="0"/>
      <w:divBdr>
        <w:top w:val="none" w:sz="0" w:space="0" w:color="auto"/>
        <w:left w:val="none" w:sz="0" w:space="0" w:color="auto"/>
        <w:bottom w:val="none" w:sz="0" w:space="0" w:color="auto"/>
        <w:right w:val="none" w:sz="0" w:space="0" w:color="auto"/>
      </w:divBdr>
    </w:div>
    <w:div w:id="1327975412">
      <w:bodyDiv w:val="1"/>
      <w:marLeft w:val="0"/>
      <w:marRight w:val="0"/>
      <w:marTop w:val="0"/>
      <w:marBottom w:val="0"/>
      <w:divBdr>
        <w:top w:val="none" w:sz="0" w:space="0" w:color="auto"/>
        <w:left w:val="none" w:sz="0" w:space="0" w:color="auto"/>
        <w:bottom w:val="none" w:sz="0" w:space="0" w:color="auto"/>
        <w:right w:val="none" w:sz="0" w:space="0" w:color="auto"/>
      </w:divBdr>
    </w:div>
    <w:div w:id="1569850808">
      <w:bodyDiv w:val="1"/>
      <w:marLeft w:val="0"/>
      <w:marRight w:val="0"/>
      <w:marTop w:val="0"/>
      <w:marBottom w:val="0"/>
      <w:divBdr>
        <w:top w:val="none" w:sz="0" w:space="0" w:color="auto"/>
        <w:left w:val="none" w:sz="0" w:space="0" w:color="auto"/>
        <w:bottom w:val="none" w:sz="0" w:space="0" w:color="auto"/>
        <w:right w:val="none" w:sz="0" w:space="0" w:color="auto"/>
      </w:divBdr>
      <w:divsChild>
        <w:div w:id="167136230">
          <w:marLeft w:val="0"/>
          <w:marRight w:val="0"/>
          <w:marTop w:val="100"/>
          <w:marBottom w:val="100"/>
          <w:divBdr>
            <w:top w:val="none" w:sz="0" w:space="0" w:color="auto"/>
            <w:left w:val="none" w:sz="0" w:space="0" w:color="auto"/>
            <w:bottom w:val="none" w:sz="0" w:space="0" w:color="auto"/>
            <w:right w:val="none" w:sz="0" w:space="0" w:color="auto"/>
          </w:divBdr>
          <w:divsChild>
            <w:div w:id="4399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416">
      <w:bodyDiv w:val="1"/>
      <w:marLeft w:val="0"/>
      <w:marRight w:val="0"/>
      <w:marTop w:val="0"/>
      <w:marBottom w:val="0"/>
      <w:divBdr>
        <w:top w:val="none" w:sz="0" w:space="0" w:color="auto"/>
        <w:left w:val="none" w:sz="0" w:space="0" w:color="auto"/>
        <w:bottom w:val="none" w:sz="0" w:space="0" w:color="auto"/>
        <w:right w:val="none" w:sz="0" w:space="0" w:color="auto"/>
      </w:divBdr>
    </w:div>
    <w:div w:id="1895577949">
      <w:bodyDiv w:val="1"/>
      <w:marLeft w:val="0"/>
      <w:marRight w:val="0"/>
      <w:marTop w:val="0"/>
      <w:marBottom w:val="0"/>
      <w:divBdr>
        <w:top w:val="none" w:sz="0" w:space="0" w:color="auto"/>
        <w:left w:val="none" w:sz="0" w:space="0" w:color="auto"/>
        <w:bottom w:val="none" w:sz="0" w:space="0" w:color="auto"/>
        <w:right w:val="none" w:sz="0" w:space="0" w:color="auto"/>
      </w:divBdr>
      <w:divsChild>
        <w:div w:id="1356617970">
          <w:marLeft w:val="0"/>
          <w:marRight w:val="0"/>
          <w:marTop w:val="100"/>
          <w:marBottom w:val="100"/>
          <w:divBdr>
            <w:top w:val="none" w:sz="0" w:space="0" w:color="auto"/>
            <w:left w:val="none" w:sz="0" w:space="0" w:color="auto"/>
            <w:bottom w:val="none" w:sz="0" w:space="0" w:color="auto"/>
            <w:right w:val="none" w:sz="0" w:space="0" w:color="auto"/>
          </w:divBdr>
          <w:divsChild>
            <w:div w:id="948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0773">
      <w:bodyDiv w:val="1"/>
      <w:marLeft w:val="0"/>
      <w:marRight w:val="0"/>
      <w:marTop w:val="0"/>
      <w:marBottom w:val="0"/>
      <w:divBdr>
        <w:top w:val="none" w:sz="0" w:space="0" w:color="auto"/>
        <w:left w:val="none" w:sz="0" w:space="0" w:color="auto"/>
        <w:bottom w:val="none" w:sz="0" w:space="0" w:color="auto"/>
        <w:right w:val="none" w:sz="0" w:space="0" w:color="auto"/>
      </w:divBdr>
    </w:div>
    <w:div w:id="20819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3B5A-3DF6-4C4B-A855-256E3182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4</DocSecurity>
  <Lines>16</Lines>
  <Paragraphs>4</Paragraphs>
  <ScaleCrop>false</ScaleCrop>
  <Company>igw</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唐彬彬（券商）</dc:creator>
  <cp:keywords/>
  <cp:lastModifiedBy>ZHONGM</cp:lastModifiedBy>
  <cp:revision>2</cp:revision>
  <dcterms:created xsi:type="dcterms:W3CDTF">2021-04-11T16:09:00Z</dcterms:created>
  <dcterms:modified xsi:type="dcterms:W3CDTF">2021-04-11T16:09:00Z</dcterms:modified>
</cp:coreProperties>
</file>