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B7" w:rsidRDefault="003318B7">
      <w:pPr>
        <w:spacing w:line="360" w:lineRule="auto"/>
        <w:jc w:val="center"/>
        <w:rPr>
          <w:rFonts w:hint="eastAsia"/>
          <w:b/>
          <w:sz w:val="24"/>
        </w:rPr>
      </w:pPr>
      <w:r>
        <w:rPr>
          <w:rFonts w:hint="eastAsia"/>
          <w:b/>
          <w:sz w:val="24"/>
        </w:rPr>
        <w:t>国联安基金管理有限公司关于</w:t>
      </w:r>
      <w:r w:rsidR="00881BD7">
        <w:rPr>
          <w:rFonts w:hint="eastAsia"/>
          <w:b/>
          <w:sz w:val="24"/>
        </w:rPr>
        <w:t>旗下部分基金</w:t>
      </w:r>
      <w:r>
        <w:rPr>
          <w:rFonts w:hint="eastAsia"/>
          <w:b/>
          <w:sz w:val="24"/>
        </w:rPr>
        <w:t>增加</w:t>
      </w:r>
      <w:r w:rsidR="00117DF8">
        <w:rPr>
          <w:rFonts w:hint="eastAsia"/>
          <w:b/>
          <w:sz w:val="24"/>
        </w:rPr>
        <w:t>中金财富</w:t>
      </w:r>
      <w:r w:rsidR="008E4D28">
        <w:rPr>
          <w:rFonts w:hint="eastAsia"/>
          <w:b/>
          <w:sz w:val="24"/>
        </w:rPr>
        <w:t>证券</w:t>
      </w:r>
      <w:r>
        <w:rPr>
          <w:rFonts w:hint="eastAsia"/>
          <w:b/>
          <w:sz w:val="24"/>
        </w:rPr>
        <w:t>为代销机构的公告</w:t>
      </w:r>
    </w:p>
    <w:p w:rsidR="003318B7" w:rsidRDefault="003318B7">
      <w:pPr>
        <w:jc w:val="center"/>
        <w:rPr>
          <w:rFonts w:hint="eastAsia"/>
          <w:b/>
          <w:sz w:val="24"/>
        </w:rPr>
      </w:pPr>
    </w:p>
    <w:p w:rsidR="003318B7" w:rsidRDefault="003318B7">
      <w:pPr>
        <w:spacing w:line="360" w:lineRule="auto"/>
        <w:ind w:firstLineChars="200" w:firstLine="420"/>
        <w:rPr>
          <w:rFonts w:ascii="Arial" w:cs="Arial" w:hint="eastAsia"/>
          <w:szCs w:val="21"/>
        </w:rPr>
      </w:pPr>
      <w:r>
        <w:rPr>
          <w:rFonts w:ascii="Arial" w:cs="Arial"/>
          <w:szCs w:val="21"/>
        </w:rPr>
        <w:t>根据国联安基金管理有限公司（以下简称</w:t>
      </w:r>
      <w:r>
        <w:rPr>
          <w:rFonts w:ascii="Arial" w:hAnsi="Arial" w:cs="Arial" w:hint="eastAsia"/>
          <w:szCs w:val="21"/>
        </w:rPr>
        <w:t>“</w:t>
      </w:r>
      <w:r>
        <w:rPr>
          <w:rFonts w:ascii="Arial" w:cs="Arial"/>
          <w:szCs w:val="21"/>
        </w:rPr>
        <w:t>本公司</w:t>
      </w:r>
      <w:r>
        <w:rPr>
          <w:rFonts w:ascii="Arial" w:hAnsi="Arial" w:cs="Arial" w:hint="eastAsia"/>
          <w:szCs w:val="21"/>
        </w:rPr>
        <w:t>”</w:t>
      </w:r>
      <w:r>
        <w:rPr>
          <w:rFonts w:ascii="Arial" w:cs="Arial"/>
          <w:szCs w:val="21"/>
        </w:rPr>
        <w:t>）与</w:t>
      </w:r>
      <w:r w:rsidR="00117DF8">
        <w:rPr>
          <w:rFonts w:ascii="Arial" w:cs="Arial" w:hint="eastAsia"/>
          <w:szCs w:val="21"/>
        </w:rPr>
        <w:t>中金财富证券</w:t>
      </w:r>
      <w:r w:rsidR="008E4D28">
        <w:rPr>
          <w:rFonts w:ascii="Arial" w:cs="Arial" w:hint="eastAsia"/>
          <w:szCs w:val="21"/>
        </w:rPr>
        <w:t>有限</w:t>
      </w:r>
      <w:r>
        <w:rPr>
          <w:rFonts w:ascii="Arial" w:cs="Arial" w:hint="eastAsia"/>
          <w:szCs w:val="21"/>
        </w:rPr>
        <w:t>公司</w:t>
      </w:r>
      <w:r>
        <w:rPr>
          <w:rFonts w:ascii="Arial" w:cs="Arial"/>
          <w:szCs w:val="21"/>
        </w:rPr>
        <w:t>（以下简称</w:t>
      </w:r>
      <w:r>
        <w:rPr>
          <w:rFonts w:ascii="Arial" w:hAnsi="Arial" w:cs="Arial" w:hint="eastAsia"/>
          <w:szCs w:val="21"/>
        </w:rPr>
        <w:t>“</w:t>
      </w:r>
      <w:r w:rsidR="00117DF8">
        <w:rPr>
          <w:rFonts w:ascii="Arial" w:cs="Arial" w:hint="eastAsia"/>
          <w:szCs w:val="21"/>
        </w:rPr>
        <w:t>中金财富证券</w:t>
      </w:r>
      <w:r>
        <w:rPr>
          <w:rFonts w:ascii="Arial" w:hAnsi="Arial" w:cs="Arial" w:hint="eastAsia"/>
          <w:szCs w:val="21"/>
        </w:rPr>
        <w:t>”</w:t>
      </w:r>
      <w:r>
        <w:rPr>
          <w:rFonts w:ascii="Arial" w:cs="Arial"/>
          <w:szCs w:val="21"/>
        </w:rPr>
        <w:t>）签署的国联安基金管理有限公司开放式证券投资基金销售服务代理协议，自</w:t>
      </w:r>
      <w:r>
        <w:rPr>
          <w:rFonts w:ascii="Arial" w:hAnsi="Arial" w:cs="Arial"/>
          <w:szCs w:val="21"/>
        </w:rPr>
        <w:t>20</w:t>
      </w:r>
      <w:r>
        <w:rPr>
          <w:rFonts w:ascii="Arial" w:hAnsi="Arial" w:cs="Arial" w:hint="eastAsia"/>
          <w:szCs w:val="21"/>
        </w:rPr>
        <w:t>2</w:t>
      </w:r>
      <w:r w:rsidR="008E4D28">
        <w:rPr>
          <w:rFonts w:ascii="Arial" w:hAnsi="Arial" w:cs="Arial" w:hint="eastAsia"/>
          <w:szCs w:val="21"/>
        </w:rPr>
        <w:t>1</w:t>
      </w:r>
      <w:r>
        <w:rPr>
          <w:rFonts w:ascii="Arial" w:cs="Arial"/>
          <w:szCs w:val="21"/>
        </w:rPr>
        <w:t>年</w:t>
      </w:r>
      <w:r w:rsidR="00881BD7">
        <w:rPr>
          <w:rFonts w:ascii="Arial" w:hAnsi="Arial" w:cs="Arial" w:hint="eastAsia"/>
          <w:szCs w:val="21"/>
        </w:rPr>
        <w:t>4</w:t>
      </w:r>
      <w:r>
        <w:rPr>
          <w:rFonts w:ascii="Arial" w:cs="Arial"/>
          <w:szCs w:val="21"/>
        </w:rPr>
        <w:t>月</w:t>
      </w:r>
      <w:r w:rsidR="00881BD7">
        <w:rPr>
          <w:rFonts w:ascii="Arial" w:cs="Arial" w:hint="eastAsia"/>
          <w:szCs w:val="21"/>
        </w:rPr>
        <w:t>7</w:t>
      </w:r>
      <w:r>
        <w:rPr>
          <w:rFonts w:ascii="Arial" w:cs="Arial"/>
          <w:szCs w:val="21"/>
        </w:rPr>
        <w:t>日起，</w:t>
      </w:r>
      <w:r>
        <w:rPr>
          <w:rFonts w:ascii="Arial" w:hAnsi="Arial" w:cs="Arial" w:hint="eastAsia"/>
          <w:szCs w:val="21"/>
        </w:rPr>
        <w:t>增加</w:t>
      </w:r>
      <w:r w:rsidR="00117DF8">
        <w:rPr>
          <w:rFonts w:ascii="Arial" w:hAnsi="Arial" w:cs="Arial" w:hint="eastAsia"/>
          <w:szCs w:val="21"/>
        </w:rPr>
        <w:t>中金财富证券</w:t>
      </w:r>
      <w:r>
        <w:rPr>
          <w:rFonts w:ascii="Arial" w:hAnsi="Arial" w:cs="Arial" w:hint="eastAsia"/>
          <w:szCs w:val="21"/>
        </w:rPr>
        <w:t>为本公司旗下</w:t>
      </w:r>
      <w:r w:rsidR="00881BD7">
        <w:rPr>
          <w:rFonts w:ascii="宋体" w:hAnsi="宋体" w:hint="eastAsia"/>
        </w:rPr>
        <w:t>部分基金</w:t>
      </w:r>
      <w:r>
        <w:rPr>
          <w:rFonts w:ascii="Arial" w:hAnsi="Arial" w:cs="Arial" w:hint="eastAsia"/>
          <w:szCs w:val="21"/>
        </w:rPr>
        <w:t>的销售机构。</w:t>
      </w:r>
      <w:r>
        <w:rPr>
          <w:rFonts w:ascii="Arial" w:cs="Arial" w:hint="eastAsia"/>
          <w:szCs w:val="21"/>
        </w:rPr>
        <w:t>现就有关事项公告如下：</w:t>
      </w:r>
    </w:p>
    <w:p w:rsidR="003318B7" w:rsidRDefault="003318B7">
      <w:pPr>
        <w:spacing w:line="360" w:lineRule="auto"/>
        <w:ind w:firstLineChars="200" w:firstLine="420"/>
        <w:rPr>
          <w:rFonts w:ascii="Arial" w:hAnsi="Arial" w:cs="Arial" w:hint="eastAsia"/>
          <w:szCs w:val="21"/>
        </w:rPr>
      </w:pPr>
    </w:p>
    <w:p w:rsidR="003318B7" w:rsidRDefault="003318B7">
      <w:pPr>
        <w:spacing w:line="360" w:lineRule="auto"/>
        <w:ind w:left="420"/>
        <w:rPr>
          <w:rFonts w:ascii="Arial" w:cs="Arial"/>
          <w:szCs w:val="21"/>
        </w:rPr>
      </w:pPr>
      <w:r>
        <w:rPr>
          <w:rFonts w:ascii="Arial" w:cs="Arial" w:hint="eastAsia"/>
          <w:szCs w:val="21"/>
        </w:rPr>
        <w:t>一、</w:t>
      </w:r>
      <w:r>
        <w:rPr>
          <w:rFonts w:ascii="Arial" w:cs="Arial"/>
          <w:szCs w:val="21"/>
        </w:rPr>
        <w:t>业务范围</w:t>
      </w:r>
    </w:p>
    <w:p w:rsidR="003318B7" w:rsidRDefault="003318B7">
      <w:pPr>
        <w:spacing w:line="360" w:lineRule="auto"/>
        <w:ind w:firstLineChars="202" w:firstLine="424"/>
        <w:rPr>
          <w:rFonts w:ascii="Arial" w:cs="Arial" w:hint="eastAsia"/>
          <w:szCs w:val="21"/>
        </w:rPr>
      </w:pPr>
      <w:r>
        <w:rPr>
          <w:rFonts w:ascii="Arial" w:cs="Arial"/>
          <w:szCs w:val="21"/>
        </w:rPr>
        <w:t>投资者可在</w:t>
      </w:r>
      <w:r w:rsidR="00117DF8">
        <w:rPr>
          <w:rFonts w:ascii="Arial" w:cs="Arial" w:hint="eastAsia"/>
          <w:szCs w:val="21"/>
        </w:rPr>
        <w:t>中金财富证券</w:t>
      </w:r>
      <w:r>
        <w:rPr>
          <w:rFonts w:ascii="Arial" w:cs="Arial"/>
          <w:szCs w:val="21"/>
        </w:rPr>
        <w:t>的营业网点办理下述基金的申购、赎回、</w:t>
      </w:r>
      <w:r>
        <w:rPr>
          <w:rFonts w:ascii="Arial" w:cs="Arial" w:hint="eastAsia"/>
          <w:szCs w:val="21"/>
        </w:rPr>
        <w:t>定期定额投资、转换</w:t>
      </w:r>
      <w:r>
        <w:rPr>
          <w:rFonts w:ascii="Arial" w:cs="Arial"/>
          <w:szCs w:val="21"/>
        </w:rPr>
        <w:t>等相关业务：</w:t>
      </w:r>
    </w:p>
    <w:p w:rsidR="003318B7" w:rsidRDefault="00881BD7">
      <w:pPr>
        <w:spacing w:line="360" w:lineRule="auto"/>
        <w:ind w:firstLineChars="200" w:firstLine="420"/>
        <w:rPr>
          <w:rFonts w:ascii="宋体" w:hAnsi="宋体"/>
        </w:rPr>
      </w:pPr>
      <w:r w:rsidRPr="00881BD7">
        <w:rPr>
          <w:rFonts w:ascii="宋体" w:hAnsi="宋体" w:hint="eastAsia"/>
        </w:rPr>
        <w:t>国联安安稳灵活配置混合型证券投资基金（基金简称：国联安安稳灵活配置混合；基金代码：002367）</w:t>
      </w:r>
    </w:p>
    <w:p w:rsidR="00881BD7" w:rsidRDefault="00881BD7">
      <w:pPr>
        <w:spacing w:line="360" w:lineRule="auto"/>
        <w:ind w:firstLineChars="200" w:firstLine="420"/>
        <w:rPr>
          <w:rFonts w:ascii="宋体" w:hAnsi="宋体"/>
        </w:rPr>
      </w:pPr>
      <w:r w:rsidRPr="00881BD7">
        <w:rPr>
          <w:rFonts w:ascii="宋体" w:hAnsi="宋体" w:hint="eastAsia"/>
        </w:rPr>
        <w:t>国联安6个月定期开放债券型证券投资基金（基金简称：国联安6个月定开债；基金代码：A类007701、C类007702）</w:t>
      </w:r>
    </w:p>
    <w:p w:rsidR="00881BD7" w:rsidRDefault="00881BD7">
      <w:pPr>
        <w:spacing w:line="360" w:lineRule="auto"/>
        <w:ind w:firstLineChars="200" w:firstLine="420"/>
        <w:rPr>
          <w:rFonts w:ascii="宋体" w:hAnsi="宋体"/>
        </w:rPr>
      </w:pPr>
      <w:r w:rsidRPr="00881BD7">
        <w:rPr>
          <w:rFonts w:ascii="宋体" w:hAnsi="宋体" w:hint="eastAsia"/>
        </w:rPr>
        <w:t>国联安安泰灵活配置混合型证券投资基金（基金简称：国联安安泰灵活配置混合；基金代码：000058）</w:t>
      </w:r>
    </w:p>
    <w:p w:rsidR="00881BD7" w:rsidRDefault="00FC20F3">
      <w:pPr>
        <w:spacing w:line="360" w:lineRule="auto"/>
        <w:ind w:firstLineChars="200" w:firstLine="420"/>
        <w:rPr>
          <w:rFonts w:ascii="宋体" w:hAnsi="宋体"/>
        </w:rPr>
      </w:pPr>
      <w:r w:rsidRPr="00FC20F3">
        <w:rPr>
          <w:rFonts w:ascii="宋体" w:hAnsi="宋体" w:hint="eastAsia"/>
        </w:rPr>
        <w:t>国联安科技创新3年封闭运作灵活配置混合型证券投资基金（基金简称：国联安科创3年灵活配置混合；基金代码：501096）</w:t>
      </w:r>
    </w:p>
    <w:p w:rsidR="00FC20F3" w:rsidRDefault="00FC20F3">
      <w:pPr>
        <w:spacing w:line="360" w:lineRule="auto"/>
        <w:ind w:firstLineChars="200" w:firstLine="420"/>
        <w:rPr>
          <w:rFonts w:ascii="宋体" w:hAnsi="宋体"/>
        </w:rPr>
      </w:pPr>
      <w:r w:rsidRPr="00FC20F3">
        <w:rPr>
          <w:rFonts w:ascii="宋体" w:hAnsi="宋体" w:hint="eastAsia"/>
        </w:rPr>
        <w:t>国联安科技动力股票型证券投资基金（基金简称：国联安科技动力股票；基金代码：001956）</w:t>
      </w:r>
    </w:p>
    <w:p w:rsidR="00FC20F3" w:rsidRDefault="00FC20F3">
      <w:pPr>
        <w:spacing w:line="360" w:lineRule="auto"/>
        <w:ind w:firstLineChars="200" w:firstLine="420"/>
        <w:rPr>
          <w:rFonts w:ascii="宋体" w:hAnsi="宋体"/>
        </w:rPr>
      </w:pPr>
      <w:r w:rsidRPr="00FC20F3">
        <w:rPr>
          <w:rFonts w:ascii="宋体" w:hAnsi="宋体" w:hint="eastAsia"/>
        </w:rPr>
        <w:t>国联安添鑫灵活配置混合型证券投资基金（基金简称：国联安添鑫灵活配置混合；基金代码：A类001359、C类001654）</w:t>
      </w:r>
    </w:p>
    <w:p w:rsidR="00FC20F3" w:rsidRDefault="00FC20F3">
      <w:pPr>
        <w:spacing w:line="360" w:lineRule="auto"/>
        <w:ind w:firstLineChars="200" w:firstLine="420"/>
        <w:rPr>
          <w:rFonts w:ascii="宋体" w:hAnsi="宋体"/>
        </w:rPr>
      </w:pPr>
      <w:r w:rsidRPr="00FC20F3">
        <w:rPr>
          <w:rFonts w:ascii="宋体" w:hAnsi="宋体" w:hint="eastAsia"/>
        </w:rPr>
        <w:t>国联安通盈灵活配置混合型证券投资基金（基金简称：国联安通盈混合；基金代码：A类000664、C类002485）</w:t>
      </w:r>
    </w:p>
    <w:p w:rsidR="00FC20F3" w:rsidRDefault="00FC20F3">
      <w:pPr>
        <w:spacing w:line="360" w:lineRule="auto"/>
        <w:ind w:firstLineChars="200" w:firstLine="420"/>
        <w:rPr>
          <w:rFonts w:ascii="宋体" w:hAnsi="宋体"/>
        </w:rPr>
      </w:pPr>
      <w:r w:rsidRPr="00FC20F3">
        <w:rPr>
          <w:rFonts w:ascii="宋体" w:hAnsi="宋体" w:hint="eastAsia"/>
        </w:rPr>
        <w:t>国联安新精选灵活配置混合型证券投资基金（基金简称：国联安新精选混合；基金代码：000417）</w:t>
      </w:r>
    </w:p>
    <w:p w:rsidR="00FC20F3" w:rsidRDefault="00FC20F3">
      <w:pPr>
        <w:spacing w:line="360" w:lineRule="auto"/>
        <w:ind w:firstLineChars="200" w:firstLine="420"/>
        <w:rPr>
          <w:rFonts w:ascii="宋体" w:hAnsi="宋体"/>
        </w:rPr>
      </w:pPr>
      <w:r w:rsidRPr="00FC20F3">
        <w:rPr>
          <w:rFonts w:ascii="宋体" w:hAnsi="宋体" w:hint="eastAsia"/>
        </w:rPr>
        <w:t>国联安鑫安灵活配置混合型证券投资基金（基金简称：国联安鑫安灵活配置混合；基金代码：001007）</w:t>
      </w:r>
    </w:p>
    <w:p w:rsidR="00FC20F3" w:rsidRDefault="00FC20F3">
      <w:pPr>
        <w:spacing w:line="360" w:lineRule="auto"/>
        <w:ind w:firstLineChars="200" w:firstLine="420"/>
        <w:rPr>
          <w:rFonts w:ascii="宋体" w:hAnsi="宋体"/>
        </w:rPr>
      </w:pPr>
      <w:r w:rsidRPr="00FC20F3">
        <w:rPr>
          <w:rFonts w:ascii="宋体" w:hAnsi="宋体" w:hint="eastAsia"/>
        </w:rPr>
        <w:t>国联安行业领先混合型证券投资基金（基金简称：国联安行业领先混合；基金代码：</w:t>
      </w:r>
      <w:r w:rsidRPr="00FC20F3">
        <w:rPr>
          <w:rFonts w:ascii="宋体" w:hAnsi="宋体" w:hint="eastAsia"/>
        </w:rPr>
        <w:lastRenderedPageBreak/>
        <w:t>006568）</w:t>
      </w:r>
    </w:p>
    <w:p w:rsidR="00FC20F3" w:rsidRDefault="00FC20F3">
      <w:pPr>
        <w:spacing w:line="360" w:lineRule="auto"/>
        <w:ind w:firstLineChars="200" w:firstLine="420"/>
        <w:rPr>
          <w:rFonts w:ascii="宋体" w:hAnsi="宋体"/>
        </w:rPr>
      </w:pPr>
      <w:r w:rsidRPr="00FC20F3">
        <w:rPr>
          <w:rFonts w:ascii="宋体" w:hAnsi="宋体" w:hint="eastAsia"/>
        </w:rPr>
        <w:t>国联安中证医药100指数证券投资基金 （基金简称：国联安医药100指数A；基金代码：000059）</w:t>
      </w:r>
    </w:p>
    <w:p w:rsidR="00FC20F3" w:rsidRDefault="00FC20F3">
      <w:pPr>
        <w:spacing w:line="360" w:lineRule="auto"/>
        <w:ind w:firstLineChars="200" w:firstLine="420"/>
        <w:rPr>
          <w:rFonts w:ascii="宋体" w:hAnsi="宋体"/>
        </w:rPr>
      </w:pPr>
      <w:r w:rsidRPr="00FC20F3">
        <w:rPr>
          <w:rFonts w:ascii="宋体" w:hAnsi="宋体" w:hint="eastAsia"/>
        </w:rPr>
        <w:t>国联安货币市场证券投资基金（基金简称：国联安货币；基金代码：</w:t>
      </w:r>
      <w:r>
        <w:rPr>
          <w:rFonts w:ascii="宋体" w:hAnsi="宋体" w:hint="eastAsia"/>
        </w:rPr>
        <w:t>A类253050、B类</w:t>
      </w:r>
      <w:r w:rsidRPr="00FC20F3">
        <w:rPr>
          <w:rFonts w:ascii="宋体" w:hAnsi="宋体" w:hint="eastAsia"/>
        </w:rPr>
        <w:t>253051）</w:t>
      </w:r>
    </w:p>
    <w:p w:rsidR="00FC20F3" w:rsidRPr="00FC20F3" w:rsidRDefault="00FC20F3">
      <w:pPr>
        <w:spacing w:line="360" w:lineRule="auto"/>
        <w:ind w:firstLineChars="200" w:firstLine="420"/>
        <w:rPr>
          <w:rFonts w:ascii="宋体" w:hAnsi="宋体" w:hint="eastAsia"/>
        </w:rPr>
      </w:pPr>
      <w:r w:rsidRPr="00FC20F3">
        <w:rPr>
          <w:rFonts w:ascii="宋体" w:hAnsi="宋体" w:hint="eastAsia"/>
        </w:rPr>
        <w:t>国联安智能制造混合型证券投资基金</w:t>
      </w:r>
      <w:r>
        <w:rPr>
          <w:rFonts w:ascii="宋体" w:hAnsi="宋体" w:hint="eastAsia"/>
        </w:rPr>
        <w:t>（基金简称：国联安智能制造混合；基金代码：006863）</w:t>
      </w:r>
    </w:p>
    <w:p w:rsidR="003318B7" w:rsidRDefault="003318B7">
      <w:pPr>
        <w:spacing w:line="360" w:lineRule="auto"/>
        <w:ind w:left="420"/>
        <w:rPr>
          <w:rFonts w:ascii="Arial" w:cs="Arial" w:hint="eastAsia"/>
          <w:szCs w:val="21"/>
        </w:rPr>
      </w:pP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二、基金定期定额投资业务</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投资者可到</w:t>
      </w:r>
      <w:r w:rsidR="00117DF8">
        <w:rPr>
          <w:rFonts w:ascii="Arial" w:hAnsi="Arial" w:cs="Arial" w:hint="eastAsia"/>
          <w:szCs w:val="21"/>
        </w:rPr>
        <w:t>中金财富证券</w:t>
      </w:r>
      <w:r>
        <w:rPr>
          <w:rFonts w:ascii="Arial" w:hAnsi="Arial" w:cs="Arial" w:hint="eastAsia"/>
          <w:szCs w:val="21"/>
        </w:rPr>
        <w:t>营业网点或通过</w:t>
      </w:r>
      <w:r w:rsidR="00117DF8">
        <w:rPr>
          <w:rFonts w:ascii="Arial" w:hAnsi="Arial" w:cs="Arial" w:hint="eastAsia"/>
          <w:szCs w:val="21"/>
        </w:rPr>
        <w:t>中金财富证券</w:t>
      </w:r>
      <w:r>
        <w:rPr>
          <w:rFonts w:ascii="Arial" w:hAnsi="Arial" w:cs="Arial" w:hint="eastAsia"/>
          <w:szCs w:val="21"/>
        </w:rPr>
        <w:t>认可的受理方式办理定投业务申请。具体受理网点或受理方式见</w:t>
      </w:r>
      <w:r w:rsidR="00117DF8">
        <w:rPr>
          <w:rFonts w:ascii="Arial" w:hAnsi="Arial" w:cs="Arial" w:hint="eastAsia"/>
          <w:szCs w:val="21"/>
        </w:rPr>
        <w:t>中金财富证券</w:t>
      </w:r>
      <w:r>
        <w:rPr>
          <w:rFonts w:ascii="Arial" w:hAnsi="Arial" w:cs="Arial" w:hint="eastAsia"/>
          <w:szCs w:val="21"/>
        </w:rPr>
        <w:t>各分支机构的公告。</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sidR="00117DF8">
        <w:rPr>
          <w:rFonts w:ascii="Arial" w:hAnsi="Arial" w:cs="Arial" w:hint="eastAsia"/>
          <w:szCs w:val="21"/>
        </w:rPr>
        <w:t>中金财富证券</w:t>
      </w:r>
      <w:r>
        <w:rPr>
          <w:rFonts w:ascii="Arial" w:hAnsi="Arial" w:cs="Arial" w:hint="eastAsia"/>
          <w:szCs w:val="21"/>
        </w:rPr>
        <w:t>进行日常申购业务的受理时间相同。</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sidR="00117DF8">
        <w:rPr>
          <w:rFonts w:ascii="Arial" w:hAnsi="Arial" w:cs="Arial" w:hint="eastAsia"/>
          <w:szCs w:val="21"/>
        </w:rPr>
        <w:t>中金财富证券</w:t>
      </w:r>
      <w:r>
        <w:rPr>
          <w:rFonts w:ascii="Arial" w:hAnsi="Arial" w:cs="Arial" w:hint="eastAsia"/>
          <w:szCs w:val="21"/>
        </w:rPr>
        <w:t>的规定。</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）已开立本公司开放式基金账户的投资者请携带本人有效身份证件及相关业务凭证，到</w:t>
      </w:r>
      <w:r w:rsidR="00117DF8">
        <w:rPr>
          <w:rFonts w:ascii="Arial" w:hAnsi="Arial" w:cs="Arial" w:hint="eastAsia"/>
          <w:szCs w:val="21"/>
        </w:rPr>
        <w:t>中金财富证券</w:t>
      </w:r>
      <w:r>
        <w:rPr>
          <w:rFonts w:ascii="Arial" w:hAnsi="Arial" w:cs="Arial" w:hint="eastAsia"/>
          <w:szCs w:val="21"/>
        </w:rPr>
        <w:t>各营业网点或</w:t>
      </w:r>
      <w:r w:rsidR="00117DF8">
        <w:rPr>
          <w:rFonts w:ascii="Arial" w:hAnsi="Arial" w:cs="Arial" w:hint="eastAsia"/>
          <w:szCs w:val="21"/>
        </w:rPr>
        <w:t>中金财富证券</w:t>
      </w:r>
      <w:r>
        <w:rPr>
          <w:rFonts w:ascii="Arial" w:hAnsi="Arial" w:cs="Arial" w:hint="eastAsia"/>
          <w:szCs w:val="21"/>
        </w:rPr>
        <w:t>认可的受理方式申请增开交易账号（已在</w:t>
      </w:r>
      <w:r w:rsidR="00117DF8">
        <w:rPr>
          <w:rFonts w:ascii="Arial" w:hAnsi="Arial" w:cs="Arial" w:hint="eastAsia"/>
          <w:szCs w:val="21"/>
        </w:rPr>
        <w:t>中金财富证券</w:t>
      </w:r>
      <w:r>
        <w:rPr>
          <w:rFonts w:ascii="Arial" w:hAnsi="Arial" w:cs="Arial" w:hint="eastAsia"/>
          <w:szCs w:val="21"/>
        </w:rPr>
        <w:t>开户者除外），并申请办理定投业务，具体办理程序请遵循</w:t>
      </w:r>
      <w:r w:rsidR="00117DF8">
        <w:rPr>
          <w:rFonts w:ascii="Arial" w:hAnsi="Arial" w:cs="Arial" w:hint="eastAsia"/>
          <w:szCs w:val="21"/>
        </w:rPr>
        <w:t>中金财富证券</w:t>
      </w:r>
      <w:r>
        <w:rPr>
          <w:rFonts w:ascii="Arial" w:hAnsi="Arial" w:cs="Arial" w:hint="eastAsia"/>
          <w:szCs w:val="21"/>
        </w:rPr>
        <w:t>的规定。</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投资者须遵循</w:t>
      </w:r>
      <w:r w:rsidR="00117DF8">
        <w:rPr>
          <w:rFonts w:ascii="Arial" w:hAnsi="Arial" w:cs="Arial" w:hint="eastAsia"/>
          <w:szCs w:val="21"/>
        </w:rPr>
        <w:t>中金财富证券</w:t>
      </w:r>
      <w:r>
        <w:rPr>
          <w:rFonts w:ascii="Arial" w:hAnsi="Arial" w:cs="Arial" w:hint="eastAsia"/>
          <w:szCs w:val="21"/>
        </w:rPr>
        <w:t>的基金定投业务规则，指定本人的人民币结算账户作为扣款账户，根据</w:t>
      </w:r>
      <w:r w:rsidR="00117DF8">
        <w:rPr>
          <w:rFonts w:ascii="Arial" w:hAnsi="Arial" w:cs="Arial" w:hint="eastAsia"/>
          <w:szCs w:val="21"/>
        </w:rPr>
        <w:t>中金财富证券</w:t>
      </w:r>
      <w:r>
        <w:rPr>
          <w:rFonts w:ascii="Arial" w:hAnsi="Arial" w:cs="Arial" w:hint="eastAsia"/>
          <w:szCs w:val="21"/>
        </w:rPr>
        <w:t>规定的日期进行定期扣款。</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投资者应与</w:t>
      </w:r>
      <w:r w:rsidR="00117DF8">
        <w:rPr>
          <w:rFonts w:ascii="Arial" w:hAnsi="Arial" w:cs="Arial" w:hint="eastAsia"/>
          <w:szCs w:val="21"/>
        </w:rPr>
        <w:t>中金财富证券</w:t>
      </w:r>
      <w:r>
        <w:rPr>
          <w:rFonts w:ascii="Arial" w:hAnsi="Arial" w:cs="Arial" w:hint="eastAsia"/>
          <w:szCs w:val="21"/>
        </w:rPr>
        <w:t>就相关基金申请开办定投业务约定每月固定扣款金额，具体最低申购金额遵循</w:t>
      </w:r>
      <w:r w:rsidR="00117DF8">
        <w:rPr>
          <w:rFonts w:ascii="Arial" w:hAnsi="Arial" w:cs="Arial" w:hint="eastAsia"/>
          <w:szCs w:val="21"/>
        </w:rPr>
        <w:t>中金财富证券</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T+2</w:t>
      </w:r>
      <w:r>
        <w:rPr>
          <w:rFonts w:ascii="Arial" w:hAnsi="Arial" w:cs="Arial" w:hint="eastAsia"/>
          <w:szCs w:val="21"/>
        </w:rPr>
        <w:t>工作日。</w:t>
      </w:r>
      <w:r>
        <w:rPr>
          <w:rFonts w:ascii="Arial" w:hAnsi="Arial" w:cs="Arial" w:hint="eastAsia"/>
          <w:szCs w:val="21"/>
        </w:rPr>
        <w:t xml:space="preserve"> </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sidR="00117DF8">
        <w:rPr>
          <w:rFonts w:ascii="Arial" w:hAnsi="Arial" w:cs="Arial" w:hint="eastAsia"/>
          <w:szCs w:val="21"/>
        </w:rPr>
        <w:t>中金财富证券</w:t>
      </w:r>
      <w:r>
        <w:rPr>
          <w:rFonts w:ascii="Arial" w:hAnsi="Arial" w:cs="Arial" w:hint="eastAsia"/>
          <w:szCs w:val="21"/>
        </w:rPr>
        <w:t>认可的受理方式申请办理业务变更，具体办理程序遵循</w:t>
      </w:r>
      <w:r w:rsidR="00117DF8">
        <w:rPr>
          <w:rFonts w:ascii="Arial" w:hAnsi="Arial" w:cs="Arial" w:hint="eastAsia"/>
          <w:szCs w:val="21"/>
        </w:rPr>
        <w:t>中金财富证券</w:t>
      </w:r>
      <w:r>
        <w:rPr>
          <w:rFonts w:ascii="Arial" w:hAnsi="Arial" w:cs="Arial" w:hint="eastAsia"/>
          <w:szCs w:val="21"/>
        </w:rPr>
        <w:t>的规定。</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sidR="00117DF8">
        <w:rPr>
          <w:rFonts w:ascii="Arial" w:hAnsi="Arial" w:cs="Arial" w:hint="eastAsia"/>
          <w:szCs w:val="21"/>
        </w:rPr>
        <w:t>中金财富证券</w:t>
      </w:r>
      <w:r>
        <w:rPr>
          <w:rFonts w:ascii="Arial" w:hAnsi="Arial" w:cs="Arial" w:hint="eastAsia"/>
          <w:szCs w:val="21"/>
        </w:rPr>
        <w:t>申请办理业务终止，具体办理程序遵循</w:t>
      </w:r>
      <w:r w:rsidR="00117DF8">
        <w:rPr>
          <w:rFonts w:ascii="Arial" w:hAnsi="Arial" w:cs="Arial" w:hint="eastAsia"/>
          <w:szCs w:val="21"/>
        </w:rPr>
        <w:t>中金财富证券</w:t>
      </w:r>
      <w:r>
        <w:rPr>
          <w:rFonts w:ascii="Arial" w:hAnsi="Arial" w:cs="Arial" w:hint="eastAsia"/>
          <w:szCs w:val="21"/>
        </w:rPr>
        <w:t>的有关规定。</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sidR="00117DF8">
        <w:rPr>
          <w:rFonts w:ascii="Arial" w:hAnsi="Arial" w:cs="Arial" w:hint="eastAsia"/>
          <w:szCs w:val="21"/>
        </w:rPr>
        <w:t>中金财富证券</w:t>
      </w:r>
      <w:r>
        <w:rPr>
          <w:rFonts w:ascii="Arial" w:hAnsi="Arial" w:cs="Arial" w:hint="eastAsia"/>
          <w:szCs w:val="21"/>
        </w:rPr>
        <w:t>的具体规定。</w:t>
      </w:r>
    </w:p>
    <w:p w:rsidR="003318B7" w:rsidRDefault="003318B7">
      <w:pPr>
        <w:spacing w:line="360" w:lineRule="auto"/>
        <w:ind w:firstLineChars="200" w:firstLine="420"/>
        <w:rPr>
          <w:rFonts w:ascii="Arial" w:hAnsi="Arial" w:cs="Arial"/>
          <w:szCs w:val="21"/>
        </w:rPr>
      </w:pP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三、基金转换业务</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3318B7" w:rsidRDefault="003318B7">
      <w:pPr>
        <w:tabs>
          <w:tab w:val="left" w:pos="426"/>
        </w:tabs>
        <w:spacing w:line="360" w:lineRule="auto"/>
        <w:ind w:firstLineChars="200" w:firstLine="420"/>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转出金额＝转出基金份额×转出基金当日基金份额净值</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转换费用＝转换手续费＋转出基金的赎回费＋申购补差费</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其中：</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赎回费＝转出金额×转出基金赎回费率</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份时，基金管理人将该交易账户保留的基金份额余额一次性全额转出。单笔转入申请不受转入基金最低申购限额限制。</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sidR="00117DF8">
        <w:rPr>
          <w:rFonts w:ascii="Arial" w:hAnsi="Arial" w:cs="Arial" w:hint="eastAsia"/>
          <w:szCs w:val="21"/>
        </w:rPr>
        <w:t>中金财富证券</w:t>
      </w:r>
      <w:r>
        <w:rPr>
          <w:rFonts w:ascii="Arial" w:hAnsi="Arial" w:cs="Arial" w:hint="eastAsia"/>
          <w:szCs w:val="21"/>
        </w:rPr>
        <w:t>具体可办理转换业务的本公司旗下基金，为</w:t>
      </w:r>
      <w:r w:rsidR="00117DF8">
        <w:rPr>
          <w:rFonts w:ascii="Arial" w:hAnsi="Arial" w:cs="Arial" w:hint="eastAsia"/>
          <w:szCs w:val="21"/>
        </w:rPr>
        <w:t>中金财富证券</w:t>
      </w:r>
      <w:r>
        <w:rPr>
          <w:rFonts w:ascii="Arial" w:hAnsi="Arial" w:cs="Arial" w:hint="eastAsia"/>
          <w:szCs w:val="21"/>
        </w:rPr>
        <w:t>已销售并开通转换业务的基金。</w:t>
      </w:r>
    </w:p>
    <w:p w:rsidR="003318B7" w:rsidRDefault="003318B7">
      <w:pPr>
        <w:spacing w:line="360" w:lineRule="auto"/>
        <w:ind w:firstLineChars="200" w:firstLine="420"/>
        <w:rPr>
          <w:rFonts w:ascii="Arial" w:hAnsi="Arial" w:cs="Arial"/>
          <w:szCs w:val="21"/>
        </w:rPr>
      </w:pPr>
      <w:r>
        <w:rPr>
          <w:rFonts w:ascii="Arial" w:hAnsi="Arial" w:cs="Arial" w:hint="eastAsia"/>
          <w:szCs w:val="21"/>
        </w:rPr>
        <w:t>基金管理人可以在基金合同约定的范围内根据实际情况调整转换业务规则并公告。</w:t>
      </w:r>
    </w:p>
    <w:p w:rsidR="003318B7" w:rsidRDefault="003318B7">
      <w:pPr>
        <w:spacing w:line="360" w:lineRule="auto"/>
        <w:ind w:firstLineChars="200" w:firstLine="420"/>
        <w:rPr>
          <w:rFonts w:ascii="Arial" w:hAnsi="Arial" w:cs="Arial" w:hint="eastAsia"/>
          <w:szCs w:val="21"/>
        </w:rPr>
      </w:pPr>
    </w:p>
    <w:p w:rsidR="003318B7" w:rsidRDefault="003318B7">
      <w:pPr>
        <w:spacing w:line="360" w:lineRule="auto"/>
        <w:ind w:firstLineChars="100" w:firstLine="210"/>
        <w:rPr>
          <w:rFonts w:ascii="Arial" w:hAnsi="Arial" w:cs="Arial"/>
          <w:szCs w:val="21"/>
        </w:rPr>
      </w:pPr>
      <w:r>
        <w:rPr>
          <w:rFonts w:ascii="Arial" w:hAnsi="Arial" w:cs="Arial" w:hint="eastAsia"/>
          <w:szCs w:val="21"/>
        </w:rPr>
        <w:t xml:space="preserve">  </w:t>
      </w:r>
      <w:r w:rsidR="00117DF8">
        <w:rPr>
          <w:rFonts w:ascii="Arial" w:hAnsi="Arial" w:cs="Arial" w:hint="eastAsia"/>
          <w:szCs w:val="21"/>
        </w:rPr>
        <w:t>四</w:t>
      </w:r>
      <w:r>
        <w:rPr>
          <w:rFonts w:ascii="Arial" w:hAnsi="Arial" w:cs="Arial"/>
          <w:szCs w:val="21"/>
        </w:rPr>
        <w:t>、投资者可以通过以下途径了解或咨询相关详情</w:t>
      </w:r>
    </w:p>
    <w:p w:rsidR="003318B7" w:rsidRDefault="003318B7">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3318B7" w:rsidRDefault="003318B7">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3318B7" w:rsidRDefault="003318B7">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3318B7" w:rsidRDefault="003318B7">
      <w:pPr>
        <w:spacing w:line="360" w:lineRule="auto"/>
        <w:ind w:firstLineChars="200" w:firstLine="420"/>
        <w:rPr>
          <w:rFonts w:ascii="Arial" w:cs="Arial"/>
          <w:szCs w:val="21"/>
        </w:rPr>
      </w:pPr>
      <w:r>
        <w:rPr>
          <w:rFonts w:ascii="Arial" w:hAnsi="Arial" w:cs="Arial"/>
          <w:szCs w:val="21"/>
        </w:rPr>
        <w:t>2</w:t>
      </w:r>
      <w:r>
        <w:rPr>
          <w:rFonts w:ascii="Arial" w:hAnsi="Arial" w:cs="Arial"/>
          <w:szCs w:val="21"/>
        </w:rPr>
        <w:t>、</w:t>
      </w:r>
      <w:r w:rsidR="00117DF8">
        <w:rPr>
          <w:rFonts w:ascii="Arial" w:cs="Arial" w:hint="eastAsia"/>
          <w:szCs w:val="21"/>
        </w:rPr>
        <w:t>中金财富证券</w:t>
      </w:r>
      <w:r w:rsidR="008E4D28">
        <w:rPr>
          <w:rFonts w:ascii="Arial" w:cs="Arial" w:hint="eastAsia"/>
          <w:szCs w:val="21"/>
        </w:rPr>
        <w:t>有限公司</w:t>
      </w:r>
      <w:r w:rsidR="00837D13">
        <w:rPr>
          <w:rFonts w:ascii="Arial" w:cs="Arial" w:hint="eastAsia"/>
          <w:szCs w:val="21"/>
        </w:rPr>
        <w:t>：</w:t>
      </w:r>
    </w:p>
    <w:p w:rsidR="003318B7" w:rsidRDefault="003318B7">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hint="eastAsia"/>
          <w:szCs w:val="21"/>
        </w:rPr>
        <w:t>955</w:t>
      </w:r>
      <w:r w:rsidR="00117DF8">
        <w:rPr>
          <w:rFonts w:ascii="Arial" w:hAnsi="Arial" w:cs="Arial" w:hint="eastAsia"/>
          <w:szCs w:val="21"/>
        </w:rPr>
        <w:t>32</w:t>
      </w:r>
    </w:p>
    <w:p w:rsidR="003318B7" w:rsidRDefault="003318B7">
      <w:pPr>
        <w:spacing w:line="360" w:lineRule="auto"/>
        <w:ind w:firstLineChars="200" w:firstLine="420"/>
        <w:rPr>
          <w:rFonts w:ascii="Arial" w:hAnsi="Arial" w:cs="Arial" w:hint="eastAsia"/>
          <w:szCs w:val="21"/>
        </w:rPr>
      </w:pPr>
      <w:r>
        <w:rPr>
          <w:rFonts w:ascii="Arial" w:hAnsi="Arial" w:cs="Arial"/>
          <w:szCs w:val="21"/>
        </w:rPr>
        <w:t>网站：</w:t>
      </w:r>
      <w:r w:rsidR="00117DF8" w:rsidRPr="00117DF8">
        <w:rPr>
          <w:rFonts w:ascii="Arial" w:hAnsi="Arial" w:cs="Arial"/>
          <w:szCs w:val="21"/>
        </w:rPr>
        <w:t>www.ciccwm.com</w:t>
      </w:r>
    </w:p>
    <w:p w:rsidR="003318B7" w:rsidRDefault="003318B7">
      <w:pPr>
        <w:spacing w:line="360" w:lineRule="auto"/>
        <w:rPr>
          <w:rFonts w:ascii="Arial" w:hAnsi="Arial" w:cs="Arial" w:hint="eastAsia"/>
          <w:szCs w:val="21"/>
        </w:rPr>
      </w:pPr>
    </w:p>
    <w:p w:rsidR="003318B7" w:rsidRDefault="00117DF8">
      <w:pPr>
        <w:spacing w:line="360" w:lineRule="auto"/>
        <w:ind w:firstLineChars="200" w:firstLine="420"/>
        <w:rPr>
          <w:rFonts w:ascii="Arial" w:hAnsi="Arial" w:cs="Arial"/>
          <w:szCs w:val="21"/>
        </w:rPr>
      </w:pPr>
      <w:r>
        <w:rPr>
          <w:rFonts w:ascii="Arial" w:hAnsi="Arial" w:cs="Arial" w:hint="eastAsia"/>
          <w:szCs w:val="21"/>
        </w:rPr>
        <w:t>五</w:t>
      </w:r>
      <w:r w:rsidR="003318B7">
        <w:rPr>
          <w:rFonts w:ascii="Arial" w:hAnsi="Arial" w:cs="Arial"/>
          <w:szCs w:val="21"/>
        </w:rPr>
        <w:t>、重要提示</w:t>
      </w:r>
    </w:p>
    <w:p w:rsidR="003318B7" w:rsidRDefault="003318B7">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sidR="00117DF8">
        <w:rPr>
          <w:rFonts w:ascii="Arial" w:hAnsi="Arial" w:cs="Arial" w:hint="eastAsia"/>
          <w:szCs w:val="21"/>
        </w:rPr>
        <w:t>中金财富证券</w:t>
      </w:r>
      <w:r>
        <w:rPr>
          <w:rFonts w:ascii="Arial" w:hAnsi="Arial" w:cs="Arial"/>
          <w:szCs w:val="21"/>
        </w:rPr>
        <w:t>开通</w:t>
      </w:r>
      <w:r>
        <w:rPr>
          <w:rFonts w:ascii="Arial" w:hAnsi="Arial" w:cs="Arial" w:hint="eastAsia"/>
          <w:szCs w:val="21"/>
        </w:rPr>
        <w:t>本公司</w:t>
      </w:r>
      <w:r>
        <w:rPr>
          <w:rFonts w:ascii="Arial" w:hAnsi="Arial" w:cs="Arial"/>
          <w:szCs w:val="21"/>
        </w:rPr>
        <w:t>旗下</w:t>
      </w:r>
      <w:r w:rsidR="001B0BDA">
        <w:rPr>
          <w:rFonts w:ascii="宋体" w:hAnsi="宋体" w:hint="eastAsia"/>
        </w:rPr>
        <w:t>上述基金</w:t>
      </w:r>
      <w:r>
        <w:rPr>
          <w:rFonts w:ascii="Arial" w:hAnsi="Arial" w:cs="Arial"/>
          <w:szCs w:val="21"/>
        </w:rPr>
        <w:t>的申购、赎回、</w:t>
      </w:r>
      <w:r>
        <w:rPr>
          <w:rFonts w:ascii="Arial" w:hAnsi="Arial" w:cs="Arial" w:hint="eastAsia"/>
          <w:szCs w:val="21"/>
        </w:rPr>
        <w:t>定期定额投资、转换</w:t>
      </w:r>
      <w:r>
        <w:rPr>
          <w:rFonts w:ascii="Arial" w:hAnsi="Arial" w:cs="Arial"/>
          <w:szCs w:val="21"/>
        </w:rPr>
        <w:t>等相关销售业务的事项予以公告。今后</w:t>
      </w:r>
      <w:r w:rsidR="00117DF8">
        <w:rPr>
          <w:rFonts w:ascii="Arial" w:hAnsi="Arial" w:cs="Arial" w:hint="eastAsia"/>
          <w:szCs w:val="21"/>
        </w:rPr>
        <w:t>中金财富证券</w:t>
      </w:r>
      <w:r>
        <w:rPr>
          <w:rFonts w:ascii="Arial" w:hAnsi="Arial" w:cs="Arial"/>
          <w:szCs w:val="21"/>
        </w:rPr>
        <w:t>若代理本公司旗下其他基金的销售及相关业务，届时将另行公告。</w:t>
      </w:r>
    </w:p>
    <w:p w:rsidR="003318B7" w:rsidRDefault="003318B7">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、本公告涉及上述基金在</w:t>
      </w:r>
      <w:r w:rsidR="00117DF8">
        <w:rPr>
          <w:rFonts w:ascii="Arial" w:cs="Arial" w:hint="eastAsia"/>
          <w:szCs w:val="21"/>
        </w:rPr>
        <w:t>中金财富证券</w:t>
      </w:r>
      <w:r>
        <w:rPr>
          <w:rFonts w:ascii="宋体" w:hAnsi="宋体" w:cs="宋体" w:hint="eastAsia"/>
          <w:kern w:val="0"/>
          <w:szCs w:val="21"/>
        </w:rPr>
        <w:t>办理基金销售业务的其他未明事项，敬请遵循</w:t>
      </w:r>
      <w:r w:rsidR="00117DF8">
        <w:rPr>
          <w:rFonts w:ascii="Arial" w:cs="Arial" w:hint="eastAsia"/>
          <w:szCs w:val="21"/>
        </w:rPr>
        <w:t>中金财富证券</w:t>
      </w:r>
      <w:r>
        <w:rPr>
          <w:rFonts w:ascii="宋体" w:hAnsi="宋体" w:cs="宋体" w:hint="eastAsia"/>
          <w:kern w:val="0"/>
          <w:szCs w:val="21"/>
        </w:rPr>
        <w:t>的具体规定。</w:t>
      </w:r>
    </w:p>
    <w:p w:rsidR="003318B7" w:rsidRDefault="003318B7">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w:t>
      </w:r>
      <w:r w:rsidR="001B0BDA">
        <w:rPr>
          <w:rFonts w:ascii="宋体" w:hAnsi="宋体" w:hint="eastAsia"/>
        </w:rPr>
        <w:t>相关</w:t>
      </w:r>
      <w:r w:rsidR="00B21C3D" w:rsidRPr="00B21C3D">
        <w:rPr>
          <w:rFonts w:ascii="宋体" w:hAnsi="宋体" w:hint="eastAsia"/>
        </w:rPr>
        <w:t>基金</w:t>
      </w:r>
      <w:r>
        <w:rPr>
          <w:rFonts w:ascii="Arial" w:hAnsi="Arial" w:cs="Arial"/>
          <w:szCs w:val="21"/>
        </w:rPr>
        <w:t>的基金合同、招募说明书及其更新、风险提示及相关业务规则和操作指南等文件。</w:t>
      </w:r>
    </w:p>
    <w:p w:rsidR="003318B7" w:rsidRDefault="003318B7">
      <w:pPr>
        <w:spacing w:line="360" w:lineRule="auto"/>
        <w:ind w:firstLineChars="200" w:firstLine="420"/>
        <w:rPr>
          <w:rFonts w:ascii="Arial" w:hAnsi="Arial" w:cs="Arial"/>
          <w:szCs w:val="21"/>
        </w:rPr>
      </w:pPr>
      <w:r>
        <w:rPr>
          <w:rFonts w:ascii="Arial" w:hAnsi="Arial" w:cs="Arial" w:hint="eastAsia"/>
          <w:szCs w:val="21"/>
        </w:rPr>
        <w:t>4</w:t>
      </w:r>
      <w:r>
        <w:rPr>
          <w:rFonts w:ascii="Arial" w:hAnsi="Arial" w:cs="Arial"/>
          <w:szCs w:val="21"/>
        </w:rPr>
        <w:t>、本公告的最终解释权归本公司所有。</w:t>
      </w:r>
    </w:p>
    <w:p w:rsidR="003318B7" w:rsidRDefault="003318B7">
      <w:pPr>
        <w:spacing w:line="360" w:lineRule="auto"/>
        <w:ind w:firstLineChars="200" w:firstLine="420"/>
        <w:rPr>
          <w:rFonts w:ascii="Arial" w:hAnsi="Arial" w:cs="Arial" w:hint="eastAsia"/>
          <w:szCs w:val="21"/>
        </w:rPr>
      </w:pP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3318B7" w:rsidRDefault="003318B7">
      <w:pPr>
        <w:spacing w:line="360" w:lineRule="auto"/>
        <w:ind w:firstLineChars="200" w:firstLine="420"/>
        <w:rPr>
          <w:rFonts w:ascii="Arial" w:hAnsi="Arial" w:cs="Arial"/>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318B7" w:rsidRDefault="003318B7">
      <w:pPr>
        <w:spacing w:line="360" w:lineRule="auto"/>
        <w:ind w:firstLineChars="200" w:firstLine="420"/>
        <w:rPr>
          <w:rFonts w:ascii="Arial" w:hAnsi="Arial" w:cs="Arial" w:hint="eastAsia"/>
          <w:szCs w:val="21"/>
        </w:rPr>
      </w:pPr>
      <w:r>
        <w:rPr>
          <w:rFonts w:ascii="Arial" w:hAnsi="Arial" w:cs="Arial" w:hint="eastAsia"/>
          <w:szCs w:val="21"/>
        </w:rPr>
        <w:t>特此公告。</w:t>
      </w:r>
      <w:r>
        <w:rPr>
          <w:rFonts w:ascii="Arial" w:hAnsi="Arial" w:cs="Arial"/>
          <w:szCs w:val="21"/>
        </w:rPr>
        <w:t xml:space="preserve">  </w:t>
      </w:r>
    </w:p>
    <w:p w:rsidR="003318B7" w:rsidRDefault="003318B7">
      <w:pPr>
        <w:spacing w:line="360" w:lineRule="auto"/>
        <w:ind w:firstLineChars="200" w:firstLine="420"/>
        <w:rPr>
          <w:rFonts w:ascii="Arial" w:hAnsi="Arial" w:cs="Arial" w:hint="eastAsia"/>
          <w:szCs w:val="21"/>
        </w:rPr>
      </w:pPr>
    </w:p>
    <w:p w:rsidR="003318B7" w:rsidRDefault="003318B7">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3318B7" w:rsidRDefault="003318B7">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8E4D28">
        <w:rPr>
          <w:rFonts w:ascii="Arial" w:hAnsi="Arial" w:cs="Arial" w:hint="eastAsia"/>
          <w:szCs w:val="21"/>
        </w:rPr>
        <w:t>一</w:t>
      </w:r>
      <w:r>
        <w:rPr>
          <w:rFonts w:ascii="Arial" w:hAnsi="Arial" w:cs="Arial"/>
          <w:szCs w:val="21"/>
        </w:rPr>
        <w:t>年</w:t>
      </w:r>
      <w:r w:rsidR="00FC20F3">
        <w:rPr>
          <w:rFonts w:ascii="Arial" w:hAnsi="Arial" w:cs="Arial" w:hint="eastAsia"/>
          <w:szCs w:val="21"/>
        </w:rPr>
        <w:t>四</w:t>
      </w:r>
      <w:r>
        <w:rPr>
          <w:rFonts w:ascii="Arial" w:hAnsi="Arial" w:cs="Arial"/>
          <w:szCs w:val="21"/>
        </w:rPr>
        <w:t>月</w:t>
      </w:r>
      <w:r w:rsidR="00FC20F3">
        <w:rPr>
          <w:rFonts w:ascii="Arial" w:hAnsi="Arial" w:cs="Arial" w:hint="eastAsia"/>
          <w:szCs w:val="21"/>
        </w:rPr>
        <w:t>七</w:t>
      </w:r>
      <w:r>
        <w:rPr>
          <w:rFonts w:ascii="Arial" w:hAnsi="Arial" w:cs="Arial"/>
          <w:szCs w:val="21"/>
        </w:rPr>
        <w:t>日</w:t>
      </w:r>
    </w:p>
    <w:sectPr w:rsidR="003318B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CC" w:rsidRDefault="001848CC" w:rsidP="001848CC">
      <w:r>
        <w:separator/>
      </w:r>
    </w:p>
  </w:endnote>
  <w:endnote w:type="continuationSeparator" w:id="0">
    <w:p w:rsidR="001848CC" w:rsidRDefault="001848CC" w:rsidP="001848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CC" w:rsidRDefault="001848CC" w:rsidP="001848CC">
      <w:r>
        <w:separator/>
      </w:r>
    </w:p>
  </w:footnote>
  <w:footnote w:type="continuationSeparator" w:id="0">
    <w:p w:rsidR="001848CC" w:rsidRDefault="001848CC" w:rsidP="001848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3382"/>
    <w:rsid w:val="00022D2B"/>
    <w:rsid w:val="00024C8D"/>
    <w:rsid w:val="000279A8"/>
    <w:rsid w:val="00040927"/>
    <w:rsid w:val="00050D30"/>
    <w:rsid w:val="0005456C"/>
    <w:rsid w:val="0006028F"/>
    <w:rsid w:val="00060BC1"/>
    <w:rsid w:val="00060C90"/>
    <w:rsid w:val="0006603D"/>
    <w:rsid w:val="000723EB"/>
    <w:rsid w:val="000870F2"/>
    <w:rsid w:val="000B5F24"/>
    <w:rsid w:val="000B7F00"/>
    <w:rsid w:val="000C5664"/>
    <w:rsid w:val="000D0FEB"/>
    <w:rsid w:val="000E36FD"/>
    <w:rsid w:val="000F413C"/>
    <w:rsid w:val="00106BC9"/>
    <w:rsid w:val="00117DF8"/>
    <w:rsid w:val="00122DFA"/>
    <w:rsid w:val="0013792F"/>
    <w:rsid w:val="001737A2"/>
    <w:rsid w:val="00176438"/>
    <w:rsid w:val="001768E1"/>
    <w:rsid w:val="001848CC"/>
    <w:rsid w:val="00184BF8"/>
    <w:rsid w:val="00191E08"/>
    <w:rsid w:val="001936F7"/>
    <w:rsid w:val="001B0BDA"/>
    <w:rsid w:val="001B26CD"/>
    <w:rsid w:val="001D343B"/>
    <w:rsid w:val="001E59AB"/>
    <w:rsid w:val="002304F4"/>
    <w:rsid w:val="002465F6"/>
    <w:rsid w:val="00246BDF"/>
    <w:rsid w:val="002779AA"/>
    <w:rsid w:val="002901FA"/>
    <w:rsid w:val="002A3549"/>
    <w:rsid w:val="002B1A64"/>
    <w:rsid w:val="002B6191"/>
    <w:rsid w:val="002C4287"/>
    <w:rsid w:val="002C6FA7"/>
    <w:rsid w:val="002D0AA2"/>
    <w:rsid w:val="002D61BD"/>
    <w:rsid w:val="002F2B54"/>
    <w:rsid w:val="002F31F8"/>
    <w:rsid w:val="002F5795"/>
    <w:rsid w:val="002F6C10"/>
    <w:rsid w:val="00307327"/>
    <w:rsid w:val="003318B7"/>
    <w:rsid w:val="00333118"/>
    <w:rsid w:val="0035756E"/>
    <w:rsid w:val="003704AA"/>
    <w:rsid w:val="00371D8C"/>
    <w:rsid w:val="00374BB2"/>
    <w:rsid w:val="00380E7E"/>
    <w:rsid w:val="00384127"/>
    <w:rsid w:val="00386602"/>
    <w:rsid w:val="00386691"/>
    <w:rsid w:val="00386C31"/>
    <w:rsid w:val="0039283C"/>
    <w:rsid w:val="003A6491"/>
    <w:rsid w:val="003B3DB7"/>
    <w:rsid w:val="003B5A50"/>
    <w:rsid w:val="003C286C"/>
    <w:rsid w:val="003E6081"/>
    <w:rsid w:val="00410CD5"/>
    <w:rsid w:val="00417EC1"/>
    <w:rsid w:val="00425E99"/>
    <w:rsid w:val="00432328"/>
    <w:rsid w:val="00446AE1"/>
    <w:rsid w:val="0045485F"/>
    <w:rsid w:val="004606D0"/>
    <w:rsid w:val="0048775A"/>
    <w:rsid w:val="004A55E2"/>
    <w:rsid w:val="004C7FBA"/>
    <w:rsid w:val="004D4A5C"/>
    <w:rsid w:val="004D5758"/>
    <w:rsid w:val="004F19FB"/>
    <w:rsid w:val="004F4093"/>
    <w:rsid w:val="00525DFB"/>
    <w:rsid w:val="00537D23"/>
    <w:rsid w:val="005410A3"/>
    <w:rsid w:val="00550DF0"/>
    <w:rsid w:val="005522B9"/>
    <w:rsid w:val="005540FD"/>
    <w:rsid w:val="00555DFD"/>
    <w:rsid w:val="005571E4"/>
    <w:rsid w:val="00573A24"/>
    <w:rsid w:val="00581CE7"/>
    <w:rsid w:val="00591A8C"/>
    <w:rsid w:val="005B0D30"/>
    <w:rsid w:val="005D1A68"/>
    <w:rsid w:val="005E2669"/>
    <w:rsid w:val="005F4716"/>
    <w:rsid w:val="005F790A"/>
    <w:rsid w:val="00605006"/>
    <w:rsid w:val="00616251"/>
    <w:rsid w:val="00617434"/>
    <w:rsid w:val="0062774B"/>
    <w:rsid w:val="0063360A"/>
    <w:rsid w:val="00640265"/>
    <w:rsid w:val="0064260F"/>
    <w:rsid w:val="00645976"/>
    <w:rsid w:val="006467A4"/>
    <w:rsid w:val="00656788"/>
    <w:rsid w:val="00656F1C"/>
    <w:rsid w:val="00670E10"/>
    <w:rsid w:val="006717D9"/>
    <w:rsid w:val="00672179"/>
    <w:rsid w:val="00676B6A"/>
    <w:rsid w:val="00687909"/>
    <w:rsid w:val="00692EBE"/>
    <w:rsid w:val="006B4D14"/>
    <w:rsid w:val="006B7A43"/>
    <w:rsid w:val="006C30E9"/>
    <w:rsid w:val="006C5EAD"/>
    <w:rsid w:val="006C695E"/>
    <w:rsid w:val="006D252C"/>
    <w:rsid w:val="006E5BBF"/>
    <w:rsid w:val="006F4100"/>
    <w:rsid w:val="0070215C"/>
    <w:rsid w:val="00706649"/>
    <w:rsid w:val="00717BC0"/>
    <w:rsid w:val="007605AD"/>
    <w:rsid w:val="00775009"/>
    <w:rsid w:val="00780E2D"/>
    <w:rsid w:val="00786F80"/>
    <w:rsid w:val="007B6063"/>
    <w:rsid w:val="007B7BE8"/>
    <w:rsid w:val="007C3A19"/>
    <w:rsid w:val="007D593C"/>
    <w:rsid w:val="007E2DEC"/>
    <w:rsid w:val="007E396E"/>
    <w:rsid w:val="007E679E"/>
    <w:rsid w:val="007F516E"/>
    <w:rsid w:val="008009D7"/>
    <w:rsid w:val="00836030"/>
    <w:rsid w:val="00837D13"/>
    <w:rsid w:val="008400B5"/>
    <w:rsid w:val="00840C9B"/>
    <w:rsid w:val="00846AE1"/>
    <w:rsid w:val="008536FA"/>
    <w:rsid w:val="00854920"/>
    <w:rsid w:val="00875925"/>
    <w:rsid w:val="00881BD7"/>
    <w:rsid w:val="008873A8"/>
    <w:rsid w:val="008932FA"/>
    <w:rsid w:val="008954CE"/>
    <w:rsid w:val="00895628"/>
    <w:rsid w:val="008B6E96"/>
    <w:rsid w:val="008E1106"/>
    <w:rsid w:val="008E4D28"/>
    <w:rsid w:val="008F4E9C"/>
    <w:rsid w:val="009144FD"/>
    <w:rsid w:val="00942B47"/>
    <w:rsid w:val="00947D38"/>
    <w:rsid w:val="009575E9"/>
    <w:rsid w:val="00961E86"/>
    <w:rsid w:val="00962A1C"/>
    <w:rsid w:val="00972CF5"/>
    <w:rsid w:val="009A0D87"/>
    <w:rsid w:val="009B0C0B"/>
    <w:rsid w:val="009C38CA"/>
    <w:rsid w:val="009C3B86"/>
    <w:rsid w:val="009C5325"/>
    <w:rsid w:val="009C5C5D"/>
    <w:rsid w:val="009D1790"/>
    <w:rsid w:val="00A04718"/>
    <w:rsid w:val="00A2008D"/>
    <w:rsid w:val="00A32DFE"/>
    <w:rsid w:val="00A32ED5"/>
    <w:rsid w:val="00A52BB6"/>
    <w:rsid w:val="00A63F59"/>
    <w:rsid w:val="00A63FE1"/>
    <w:rsid w:val="00A74C31"/>
    <w:rsid w:val="00A90280"/>
    <w:rsid w:val="00AB566B"/>
    <w:rsid w:val="00AC14E8"/>
    <w:rsid w:val="00AC29E8"/>
    <w:rsid w:val="00AC3AFD"/>
    <w:rsid w:val="00AC7E76"/>
    <w:rsid w:val="00AE3FC1"/>
    <w:rsid w:val="00B12582"/>
    <w:rsid w:val="00B131E3"/>
    <w:rsid w:val="00B21C3D"/>
    <w:rsid w:val="00B2336C"/>
    <w:rsid w:val="00B333CA"/>
    <w:rsid w:val="00B6576A"/>
    <w:rsid w:val="00B7161C"/>
    <w:rsid w:val="00B7378F"/>
    <w:rsid w:val="00B818F1"/>
    <w:rsid w:val="00B9310F"/>
    <w:rsid w:val="00BA18A1"/>
    <w:rsid w:val="00BA3522"/>
    <w:rsid w:val="00BB17B4"/>
    <w:rsid w:val="00BB3059"/>
    <w:rsid w:val="00BD0CA4"/>
    <w:rsid w:val="00BD5661"/>
    <w:rsid w:val="00BD63B3"/>
    <w:rsid w:val="00C0599F"/>
    <w:rsid w:val="00C10754"/>
    <w:rsid w:val="00C24D0A"/>
    <w:rsid w:val="00C272EF"/>
    <w:rsid w:val="00C302F8"/>
    <w:rsid w:val="00C577DB"/>
    <w:rsid w:val="00C62AD3"/>
    <w:rsid w:val="00C72184"/>
    <w:rsid w:val="00C95232"/>
    <w:rsid w:val="00C97E3E"/>
    <w:rsid w:val="00CB01BE"/>
    <w:rsid w:val="00CE00FF"/>
    <w:rsid w:val="00CE2F4F"/>
    <w:rsid w:val="00CE479D"/>
    <w:rsid w:val="00D13C0F"/>
    <w:rsid w:val="00D13D2A"/>
    <w:rsid w:val="00D14403"/>
    <w:rsid w:val="00D36201"/>
    <w:rsid w:val="00D41E86"/>
    <w:rsid w:val="00D47047"/>
    <w:rsid w:val="00D50242"/>
    <w:rsid w:val="00D50891"/>
    <w:rsid w:val="00D54863"/>
    <w:rsid w:val="00D61755"/>
    <w:rsid w:val="00D67907"/>
    <w:rsid w:val="00D71CDD"/>
    <w:rsid w:val="00D723F7"/>
    <w:rsid w:val="00D72F03"/>
    <w:rsid w:val="00D84D0C"/>
    <w:rsid w:val="00DB3892"/>
    <w:rsid w:val="00DB3EDB"/>
    <w:rsid w:val="00DB4D12"/>
    <w:rsid w:val="00DB621B"/>
    <w:rsid w:val="00DC19A7"/>
    <w:rsid w:val="00DF694F"/>
    <w:rsid w:val="00E14256"/>
    <w:rsid w:val="00E1751E"/>
    <w:rsid w:val="00E402DB"/>
    <w:rsid w:val="00E42F29"/>
    <w:rsid w:val="00E46B32"/>
    <w:rsid w:val="00E61663"/>
    <w:rsid w:val="00E65B4C"/>
    <w:rsid w:val="00E67ADF"/>
    <w:rsid w:val="00E77B31"/>
    <w:rsid w:val="00EA2828"/>
    <w:rsid w:val="00EB1A5F"/>
    <w:rsid w:val="00EC40BB"/>
    <w:rsid w:val="00EC79EA"/>
    <w:rsid w:val="00ED204B"/>
    <w:rsid w:val="00ED4E47"/>
    <w:rsid w:val="00F058C1"/>
    <w:rsid w:val="00F14633"/>
    <w:rsid w:val="00F507B8"/>
    <w:rsid w:val="00F54C06"/>
    <w:rsid w:val="00F66B63"/>
    <w:rsid w:val="00F74B30"/>
    <w:rsid w:val="00F771AD"/>
    <w:rsid w:val="00F85163"/>
    <w:rsid w:val="00F86429"/>
    <w:rsid w:val="00F9438E"/>
    <w:rsid w:val="00FB24F1"/>
    <w:rsid w:val="00FC20F3"/>
    <w:rsid w:val="00FC4537"/>
    <w:rsid w:val="00FC6C3A"/>
    <w:rsid w:val="00FE2650"/>
    <w:rsid w:val="00FE2950"/>
    <w:rsid w:val="00FF7CD6"/>
    <w:rsid w:val="163508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annotation reference"/>
    <w:rPr>
      <w:sz w:val="21"/>
      <w:szCs w:val="21"/>
    </w:rPr>
  </w:style>
  <w:style w:type="character" w:customStyle="1" w:styleId="a5">
    <w:name w:val="批注文字 字符"/>
    <w:link w:val="a6"/>
    <w:rPr>
      <w:kern w:val="2"/>
      <w:sz w:val="21"/>
      <w:szCs w:val="24"/>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customStyle="1" w:styleId="ab">
    <w:name w:val="批注主题 字符"/>
    <w:link w:val="ac"/>
    <w:rPr>
      <w:b/>
      <w:bCs/>
      <w:kern w:val="2"/>
      <w:sz w:val="21"/>
      <w:szCs w:val="24"/>
    </w:rPr>
  </w:style>
  <w:style w:type="paragraph" w:styleId="a6">
    <w:name w:val="annotation text"/>
    <w:basedOn w:val="a"/>
    <w:link w:val="a5"/>
    <w:pPr>
      <w:jc w:val="left"/>
    </w:pPr>
  </w:style>
  <w:style w:type="paragraph" w:styleId="aa">
    <w:name w:val="footer"/>
    <w:basedOn w:val="a"/>
    <w:link w:val="a9"/>
    <w:pPr>
      <w:tabs>
        <w:tab w:val="center" w:pos="4153"/>
        <w:tab w:val="right" w:pos="8306"/>
      </w:tabs>
      <w:snapToGrid w:val="0"/>
      <w:jc w:val="left"/>
    </w:pPr>
    <w:rPr>
      <w:sz w:val="18"/>
      <w:szCs w:val="18"/>
    </w:rPr>
  </w:style>
  <w:style w:type="paragraph" w:styleId="ac">
    <w:name w:val="annotation subject"/>
    <w:basedOn w:val="a6"/>
    <w:next w:val="a6"/>
    <w:link w:val="ab"/>
    <w:rPr>
      <w:b/>
      <w:bCs/>
    </w:rPr>
  </w:style>
  <w:style w:type="paragraph" w:styleId="ad">
    <w:name w:val="Balloon Text"/>
    <w:basedOn w:val="a"/>
    <w:semiHidden/>
    <w:rPr>
      <w:sz w:val="18"/>
      <w:szCs w:val="18"/>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e">
    <w:name w:val="Revision"/>
    <w:uiPriority w:val="99"/>
    <w:semiHidden/>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4</DocSecurity>
  <Lines>30</Lines>
  <Paragraphs>8</Paragraphs>
  <ScaleCrop>false</ScaleCrop>
  <Company>国联安基金</Company>
  <LinksUpToDate>false</LinksUpToDate>
  <CharactersWithSpaces>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2019-07-22T08:29:00Z</cp:lastPrinted>
  <dcterms:created xsi:type="dcterms:W3CDTF">2021-04-06T16:07:00Z</dcterms:created>
  <dcterms:modified xsi:type="dcterms:W3CDTF">2021-04-06T16:07:00Z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