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603C" w:rsidRDefault="00DF603C">
      <w:pPr>
        <w:jc w:val="center"/>
        <w:rPr>
          <w:rFonts w:cs="Times New Roman"/>
          <w:b/>
          <w:sz w:val="48"/>
          <w:szCs w:val="48"/>
        </w:rPr>
      </w:pPr>
    </w:p>
    <w:p w:rsidR="00DF603C" w:rsidRDefault="00DF603C">
      <w:pPr>
        <w:jc w:val="center"/>
        <w:rPr>
          <w:rFonts w:cs="Times New Roman"/>
          <w:b/>
          <w:sz w:val="48"/>
          <w:szCs w:val="48"/>
        </w:rPr>
      </w:pPr>
    </w:p>
    <w:p w:rsidR="00D80EF4" w:rsidRDefault="00D80EF4">
      <w:pPr>
        <w:jc w:val="center"/>
      </w:pPr>
      <w:r>
        <w:rPr>
          <w:rFonts w:cs="Times New Roman" w:hint="eastAsia"/>
          <w:b/>
          <w:sz w:val="48"/>
          <w:szCs w:val="48"/>
        </w:rPr>
        <w:t>工银瑞信大和日经225交易型开放式指数证券投资基金（QDII</w:t>
      </w:r>
      <w:r w:rsidR="00DF603C">
        <w:rPr>
          <w:rFonts w:cs="Times New Roman" w:hint="eastAsia"/>
          <w:b/>
          <w:sz w:val="48"/>
          <w:szCs w:val="48"/>
        </w:rPr>
        <w:t>）</w:t>
      </w:r>
      <w:r>
        <w:rPr>
          <w:rFonts w:cs="Times New Roman" w:hint="eastAsia"/>
          <w:b/>
          <w:sz w:val="48"/>
          <w:szCs w:val="48"/>
        </w:rPr>
        <w:t>开放日常申购、赎回业务的公告</w:t>
      </w:r>
    </w:p>
    <w:p w:rsidR="00D80EF4" w:rsidRDefault="00D80EF4">
      <w:pPr>
        <w:spacing w:line="360" w:lineRule="auto"/>
        <w:jc w:val="center"/>
        <w:rPr>
          <w:rFonts w:hint="eastAsia"/>
          <w:sz w:val="24"/>
          <w:szCs w:val="30"/>
        </w:rPr>
      </w:pPr>
      <w:r>
        <w:rPr>
          <w:rFonts w:hint="eastAsia"/>
          <w:sz w:val="24"/>
          <w:szCs w:val="30"/>
        </w:rPr>
        <w:t xml:space="preserve">　 </w:t>
      </w:r>
    </w:p>
    <w:p w:rsidR="00D80EF4" w:rsidRDefault="00D80EF4">
      <w:pPr>
        <w:spacing w:line="360" w:lineRule="auto"/>
        <w:jc w:val="center"/>
        <w:rPr>
          <w:rFonts w:hint="eastAsia"/>
          <w:sz w:val="24"/>
          <w:szCs w:val="30"/>
        </w:rPr>
      </w:pPr>
      <w:r>
        <w:rPr>
          <w:rFonts w:hint="eastAsia"/>
          <w:sz w:val="24"/>
          <w:szCs w:val="30"/>
        </w:rPr>
        <w:t xml:space="preserve">　 </w:t>
      </w:r>
    </w:p>
    <w:p w:rsidR="00D80EF4" w:rsidRDefault="00D80EF4">
      <w:pPr>
        <w:spacing w:line="360" w:lineRule="auto"/>
        <w:jc w:val="center"/>
        <w:rPr>
          <w:rFonts w:hint="eastAsia"/>
          <w:sz w:val="24"/>
          <w:szCs w:val="30"/>
        </w:rPr>
      </w:pPr>
      <w:r>
        <w:rPr>
          <w:rFonts w:hint="eastAsia"/>
          <w:sz w:val="24"/>
          <w:szCs w:val="30"/>
        </w:rPr>
        <w:t xml:space="preserve">　 </w:t>
      </w:r>
    </w:p>
    <w:p w:rsidR="00D80EF4" w:rsidRDefault="00D80EF4">
      <w:pPr>
        <w:spacing w:line="360" w:lineRule="auto"/>
        <w:jc w:val="center"/>
        <w:rPr>
          <w:rFonts w:hint="eastAsia"/>
          <w:sz w:val="24"/>
          <w:szCs w:val="30"/>
        </w:rPr>
      </w:pPr>
      <w:r>
        <w:rPr>
          <w:rFonts w:hint="eastAsia"/>
          <w:sz w:val="24"/>
          <w:szCs w:val="30"/>
        </w:rPr>
        <w:t xml:space="preserve">　 </w:t>
      </w:r>
    </w:p>
    <w:p w:rsidR="00D80EF4" w:rsidRDefault="00D80EF4">
      <w:pPr>
        <w:spacing w:line="360" w:lineRule="auto"/>
        <w:jc w:val="center"/>
        <w:rPr>
          <w:rFonts w:hint="eastAsia"/>
          <w:sz w:val="24"/>
          <w:szCs w:val="30"/>
        </w:rPr>
      </w:pPr>
      <w:r>
        <w:rPr>
          <w:rFonts w:hint="eastAsia"/>
          <w:sz w:val="24"/>
          <w:szCs w:val="30"/>
        </w:rPr>
        <w:t xml:space="preserve">　 </w:t>
      </w:r>
    </w:p>
    <w:p w:rsidR="00E11858" w:rsidRDefault="00E11858">
      <w:pPr>
        <w:spacing w:line="360" w:lineRule="auto"/>
        <w:jc w:val="center"/>
        <w:rPr>
          <w:sz w:val="24"/>
          <w:szCs w:val="30"/>
        </w:rPr>
      </w:pPr>
    </w:p>
    <w:p w:rsidR="00E11858" w:rsidRDefault="00E11858">
      <w:pPr>
        <w:spacing w:line="360" w:lineRule="auto"/>
        <w:jc w:val="center"/>
        <w:rPr>
          <w:sz w:val="24"/>
          <w:szCs w:val="30"/>
        </w:rPr>
      </w:pPr>
    </w:p>
    <w:p w:rsidR="00E11858" w:rsidRDefault="00E11858">
      <w:pPr>
        <w:spacing w:line="360" w:lineRule="auto"/>
        <w:jc w:val="center"/>
        <w:rPr>
          <w:sz w:val="24"/>
          <w:szCs w:val="30"/>
        </w:rPr>
      </w:pPr>
    </w:p>
    <w:p w:rsidR="00E11858" w:rsidRDefault="00E11858">
      <w:pPr>
        <w:spacing w:line="360" w:lineRule="auto"/>
        <w:jc w:val="center"/>
        <w:rPr>
          <w:sz w:val="24"/>
          <w:szCs w:val="30"/>
        </w:rPr>
      </w:pPr>
    </w:p>
    <w:p w:rsidR="00E11858" w:rsidRDefault="00E11858">
      <w:pPr>
        <w:spacing w:line="360" w:lineRule="auto"/>
        <w:jc w:val="center"/>
        <w:rPr>
          <w:sz w:val="24"/>
          <w:szCs w:val="30"/>
        </w:rPr>
      </w:pPr>
    </w:p>
    <w:p w:rsidR="00E11858" w:rsidRDefault="00E11858">
      <w:pPr>
        <w:spacing w:line="360" w:lineRule="auto"/>
        <w:jc w:val="center"/>
        <w:rPr>
          <w:sz w:val="24"/>
          <w:szCs w:val="30"/>
        </w:rPr>
      </w:pPr>
    </w:p>
    <w:p w:rsidR="00E11858" w:rsidRDefault="00E11858">
      <w:pPr>
        <w:spacing w:line="360" w:lineRule="auto"/>
        <w:jc w:val="center"/>
        <w:rPr>
          <w:sz w:val="24"/>
          <w:szCs w:val="30"/>
        </w:rPr>
      </w:pPr>
    </w:p>
    <w:p w:rsidR="00E11858" w:rsidRDefault="00E11858">
      <w:pPr>
        <w:spacing w:line="360" w:lineRule="auto"/>
        <w:jc w:val="center"/>
        <w:rPr>
          <w:sz w:val="24"/>
          <w:szCs w:val="30"/>
        </w:rPr>
      </w:pPr>
    </w:p>
    <w:p w:rsidR="00E11858" w:rsidRDefault="00E11858">
      <w:pPr>
        <w:spacing w:line="360" w:lineRule="auto"/>
        <w:jc w:val="center"/>
        <w:rPr>
          <w:sz w:val="24"/>
          <w:szCs w:val="30"/>
        </w:rPr>
      </w:pPr>
    </w:p>
    <w:p w:rsidR="00E11858" w:rsidRDefault="00E11858">
      <w:pPr>
        <w:spacing w:line="360" w:lineRule="auto"/>
        <w:jc w:val="center"/>
        <w:rPr>
          <w:sz w:val="24"/>
          <w:szCs w:val="30"/>
        </w:rPr>
      </w:pPr>
    </w:p>
    <w:p w:rsidR="00E11858" w:rsidRDefault="00E11858">
      <w:pPr>
        <w:spacing w:line="360" w:lineRule="auto"/>
        <w:jc w:val="center"/>
        <w:rPr>
          <w:sz w:val="24"/>
          <w:szCs w:val="30"/>
        </w:rPr>
      </w:pPr>
    </w:p>
    <w:p w:rsidR="00E11858" w:rsidRDefault="00E11858">
      <w:pPr>
        <w:spacing w:line="360" w:lineRule="auto"/>
        <w:jc w:val="center"/>
        <w:rPr>
          <w:sz w:val="24"/>
          <w:szCs w:val="30"/>
        </w:rPr>
      </w:pPr>
    </w:p>
    <w:p w:rsidR="00E11858" w:rsidRDefault="00E11858">
      <w:pPr>
        <w:spacing w:line="360" w:lineRule="auto"/>
        <w:jc w:val="center"/>
        <w:rPr>
          <w:sz w:val="24"/>
          <w:szCs w:val="30"/>
        </w:rPr>
      </w:pPr>
    </w:p>
    <w:p w:rsidR="00E11858" w:rsidRDefault="00E11858">
      <w:pPr>
        <w:spacing w:line="360" w:lineRule="auto"/>
        <w:jc w:val="center"/>
        <w:rPr>
          <w:sz w:val="24"/>
          <w:szCs w:val="30"/>
        </w:rPr>
      </w:pPr>
    </w:p>
    <w:p w:rsidR="00D80EF4" w:rsidRDefault="00D80EF4" w:rsidP="00DF603C">
      <w:pPr>
        <w:spacing w:line="360" w:lineRule="auto"/>
        <w:jc w:val="center"/>
        <w:rPr>
          <w:rFonts w:hint="eastAsia"/>
          <w:sz w:val="24"/>
          <w:szCs w:val="30"/>
        </w:rPr>
      </w:pPr>
      <w:r>
        <w:rPr>
          <w:rFonts w:hint="eastAsia"/>
          <w:sz w:val="24"/>
          <w:szCs w:val="30"/>
        </w:rPr>
        <w:t xml:space="preserve">　　 </w:t>
      </w:r>
    </w:p>
    <w:p w:rsidR="00D80EF4" w:rsidRDefault="00D80EF4">
      <w:pPr>
        <w:spacing w:line="360" w:lineRule="auto"/>
        <w:jc w:val="center"/>
        <w:rPr>
          <w:rFonts w:hint="eastAsia"/>
          <w:sz w:val="24"/>
          <w:szCs w:val="30"/>
        </w:rPr>
      </w:pPr>
      <w:r>
        <w:rPr>
          <w:rFonts w:hint="eastAsia"/>
          <w:sz w:val="24"/>
          <w:szCs w:val="30"/>
        </w:rPr>
        <w:t xml:space="preserve">　 </w:t>
      </w:r>
    </w:p>
    <w:p w:rsidR="00D80EF4" w:rsidRDefault="00D80EF4">
      <w:pPr>
        <w:spacing w:line="360" w:lineRule="auto"/>
        <w:jc w:val="center"/>
        <w:rPr>
          <w:rFonts w:hint="eastAsia"/>
        </w:rPr>
      </w:pPr>
      <w:r>
        <w:rPr>
          <w:rFonts w:hint="eastAsia"/>
          <w:b/>
          <w:bCs/>
          <w:sz w:val="24"/>
          <w:szCs w:val="30"/>
        </w:rPr>
        <w:t>公告送出日期：2021年4月2日</w:t>
      </w:r>
    </w:p>
    <w:p w:rsidR="00D80EF4" w:rsidRDefault="00D80EF4">
      <w:pPr>
        <w:pStyle w:val="XBRLTitle1"/>
        <w:spacing w:before="156" w:line="360" w:lineRule="auto"/>
        <w:rPr>
          <w:rFonts w:hAnsi="宋体" w:hint="eastAsia"/>
          <w:szCs w:val="44"/>
        </w:rPr>
      </w:pPr>
      <w:r>
        <w:rPr>
          <w:rFonts w:hint="eastAsia"/>
          <w:color w:val="404040"/>
          <w:kern w:val="0"/>
        </w:rPr>
        <w:br w:type="page"/>
      </w:r>
      <w:bookmarkStart w:id="0" w:name="_Toc34841028"/>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758519"/>
      <w:bookmarkStart w:id="10" w:name="m101"/>
      <w:bookmarkStart w:id="11" w:name="_Toc194311890"/>
      <w:bookmarkStart w:id="12" w:name="m01_01"/>
      <w:r>
        <w:rPr>
          <w:rFonts w:hAnsi="宋体" w:hint="eastAsia"/>
        </w:rPr>
        <w:lastRenderedPageBreak/>
        <w:t>公告基本信息</w:t>
      </w:r>
      <w:bookmarkEnd w:id="0"/>
      <w:bookmarkEnd w:id="1"/>
      <w:bookmarkEnd w:id="2"/>
      <w:bookmarkEnd w:id="3"/>
      <w:bookmarkEnd w:id="4"/>
      <w:bookmarkEnd w:id="5"/>
      <w:bookmarkEnd w:id="6"/>
      <w:bookmarkEnd w:id="7"/>
      <w:bookmarkEnd w:id="8"/>
      <w:bookmarkEnd w:id="9"/>
      <w:r>
        <w:rPr>
          <w:rFonts w:hAnsi="宋体" w:hint="eastAsia"/>
          <w:szCs w:val="4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4870"/>
      </w:tblGrid>
      <w:tr w:rsidR="00D80EF4" w:rsidRPr="005C6084" w:rsidTr="005C6084">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EF4" w:rsidRPr="005C6084" w:rsidRDefault="00D80EF4" w:rsidP="005C6084">
            <w:pPr>
              <w:rPr>
                <w:rFonts w:hint="eastAsia"/>
              </w:rPr>
            </w:pPr>
            <w:r w:rsidRPr="005C6084">
              <w:rPr>
                <w:rFonts w:hint="eastAsia"/>
              </w:rPr>
              <w:t xml:space="preserve">基金名称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EF4" w:rsidRDefault="00D80EF4">
            <w:pPr>
              <w:rPr>
                <w:rFonts w:hint="eastAsia"/>
              </w:rPr>
            </w:pPr>
            <w:r w:rsidRPr="005C6084">
              <w:rPr>
                <w:rFonts w:hint="eastAsia"/>
              </w:rPr>
              <w:t>工银瑞信大和日经225交易型开放式指数证券投资基金（QDII）</w:t>
            </w:r>
          </w:p>
        </w:tc>
      </w:tr>
      <w:tr w:rsidR="00D80EF4" w:rsidRPr="005C6084" w:rsidTr="005C6084">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EF4" w:rsidRPr="005C6084" w:rsidRDefault="00D80EF4">
            <w:pPr>
              <w:rPr>
                <w:rFonts w:hint="eastAsia"/>
              </w:rPr>
            </w:pPr>
            <w:r w:rsidRPr="005C6084">
              <w:rPr>
                <w:rFonts w:hint="eastAsia"/>
              </w:rPr>
              <w:t xml:space="preserve">基金简称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EF4" w:rsidRDefault="00D80EF4">
            <w:pPr>
              <w:rPr>
                <w:rFonts w:hint="eastAsia"/>
              </w:rPr>
            </w:pPr>
            <w:r w:rsidRPr="005C6084">
              <w:rPr>
                <w:rFonts w:hint="eastAsia"/>
              </w:rPr>
              <w:t>日经ETF</w:t>
            </w:r>
          </w:p>
        </w:tc>
      </w:tr>
      <w:tr w:rsidR="00D80EF4" w:rsidRPr="005C6084" w:rsidTr="005C6084">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EF4" w:rsidRPr="005C6084" w:rsidRDefault="00D80EF4">
            <w:pPr>
              <w:rPr>
                <w:rFonts w:hint="eastAsia"/>
              </w:rPr>
            </w:pPr>
            <w:r w:rsidRPr="005C6084">
              <w:rPr>
                <w:rFonts w:hint="eastAsia"/>
              </w:rPr>
              <w:t xml:space="preserve">基金主代码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EF4" w:rsidRDefault="00D80EF4">
            <w:pPr>
              <w:rPr>
                <w:rFonts w:hint="eastAsia"/>
              </w:rPr>
            </w:pPr>
            <w:r w:rsidRPr="005C6084">
              <w:rPr>
                <w:rFonts w:hint="eastAsia"/>
              </w:rPr>
              <w:t>159866</w:t>
            </w:r>
          </w:p>
        </w:tc>
      </w:tr>
      <w:tr w:rsidR="00D80EF4" w:rsidRPr="005C6084" w:rsidTr="005C6084">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EF4" w:rsidRPr="005C6084" w:rsidRDefault="00D80EF4">
            <w:pPr>
              <w:rPr>
                <w:rFonts w:hint="eastAsia"/>
              </w:rPr>
            </w:pPr>
            <w:r w:rsidRPr="005C6084">
              <w:rPr>
                <w:rFonts w:hint="eastAsia"/>
              </w:rPr>
              <w:t xml:space="preserve">基金运作方式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EF4" w:rsidRDefault="00D80EF4">
            <w:pPr>
              <w:rPr>
                <w:rFonts w:hint="eastAsia"/>
              </w:rPr>
            </w:pPr>
            <w:r w:rsidRPr="005C6084">
              <w:rPr>
                <w:rFonts w:hint="eastAsia"/>
              </w:rPr>
              <w:t>交易型开放式</w:t>
            </w:r>
          </w:p>
        </w:tc>
      </w:tr>
      <w:tr w:rsidR="00D80EF4" w:rsidRPr="005C6084" w:rsidTr="005C6084">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EF4" w:rsidRPr="005C6084" w:rsidRDefault="00D80EF4">
            <w:pPr>
              <w:rPr>
                <w:rFonts w:hint="eastAsia"/>
              </w:rPr>
            </w:pPr>
            <w:r w:rsidRPr="005C6084">
              <w:rPr>
                <w:rFonts w:hint="eastAsia"/>
              </w:rPr>
              <w:t xml:space="preserve">基金合同生效日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EF4" w:rsidRDefault="00D80EF4">
            <w:pPr>
              <w:rPr>
                <w:rFonts w:hint="eastAsia"/>
              </w:rPr>
            </w:pPr>
            <w:r w:rsidRPr="005C6084">
              <w:rPr>
                <w:rFonts w:hint="eastAsia"/>
              </w:rPr>
              <w:t>2021年3月24日</w:t>
            </w:r>
          </w:p>
        </w:tc>
      </w:tr>
      <w:tr w:rsidR="00D80EF4" w:rsidRPr="005C6084" w:rsidTr="005C6084">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EF4" w:rsidRPr="005C6084" w:rsidRDefault="00D80EF4">
            <w:pPr>
              <w:rPr>
                <w:rFonts w:hint="eastAsia"/>
              </w:rPr>
            </w:pPr>
            <w:r w:rsidRPr="005C6084">
              <w:rPr>
                <w:rFonts w:hint="eastAsia"/>
              </w:rPr>
              <w:t xml:space="preserve">基金管理人名称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EF4" w:rsidRDefault="00D80EF4">
            <w:pPr>
              <w:rPr>
                <w:rFonts w:hint="eastAsia"/>
              </w:rPr>
            </w:pPr>
            <w:r w:rsidRPr="005C6084">
              <w:rPr>
                <w:rFonts w:hint="eastAsia"/>
              </w:rPr>
              <w:t>工银瑞信基金管理有限公司</w:t>
            </w:r>
          </w:p>
        </w:tc>
      </w:tr>
      <w:tr w:rsidR="00D80EF4" w:rsidRPr="005C6084" w:rsidTr="005C6084">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EF4" w:rsidRPr="005C6084" w:rsidRDefault="00D80EF4">
            <w:pPr>
              <w:rPr>
                <w:rFonts w:hint="eastAsia"/>
              </w:rPr>
            </w:pPr>
            <w:r w:rsidRPr="005C6084">
              <w:rPr>
                <w:rFonts w:hint="eastAsia"/>
              </w:rPr>
              <w:t xml:space="preserve">基金托管人名称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EF4" w:rsidRDefault="00D80EF4">
            <w:pPr>
              <w:rPr>
                <w:rFonts w:hint="eastAsia"/>
              </w:rPr>
            </w:pPr>
            <w:r w:rsidRPr="005C6084">
              <w:rPr>
                <w:rFonts w:hint="eastAsia"/>
              </w:rPr>
              <w:t>中国农业银行股份有限公司</w:t>
            </w:r>
          </w:p>
        </w:tc>
      </w:tr>
      <w:tr w:rsidR="00D80EF4" w:rsidRPr="005C6084" w:rsidTr="005C6084">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EF4" w:rsidRPr="005C6084" w:rsidRDefault="00D80EF4">
            <w:pPr>
              <w:rPr>
                <w:rFonts w:hint="eastAsia"/>
              </w:rPr>
            </w:pPr>
            <w:r w:rsidRPr="005C6084">
              <w:rPr>
                <w:rFonts w:hint="eastAsia"/>
              </w:rPr>
              <w:t xml:space="preserve">基金注册登记机构名称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EF4" w:rsidRPr="006C1485" w:rsidRDefault="006C1485" w:rsidP="006C1485">
            <w:pPr>
              <w:rPr>
                <w:rFonts w:hint="eastAsia"/>
              </w:rPr>
            </w:pPr>
            <w:r w:rsidRPr="006C1485">
              <w:rPr>
                <w:rFonts w:hint="eastAsia"/>
              </w:rPr>
              <w:t>中国证券登记结算有限责任公司</w:t>
            </w:r>
          </w:p>
        </w:tc>
      </w:tr>
      <w:tr w:rsidR="00D80EF4" w:rsidRPr="005C6084" w:rsidTr="005C6084">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EF4" w:rsidRPr="005C6084" w:rsidRDefault="00D80EF4">
            <w:pPr>
              <w:rPr>
                <w:rFonts w:hint="eastAsia"/>
              </w:rPr>
            </w:pPr>
            <w:r w:rsidRPr="005C6084">
              <w:rPr>
                <w:rFonts w:hint="eastAsia"/>
              </w:rPr>
              <w:t xml:space="preserve">公告依据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EF4" w:rsidRDefault="00D80EF4">
            <w:pPr>
              <w:rPr>
                <w:rFonts w:hint="eastAsia"/>
              </w:rPr>
            </w:pPr>
            <w:r w:rsidRPr="005C6084">
              <w:rPr>
                <w:rFonts w:hint="eastAsia"/>
              </w:rPr>
              <w:t>根据《中华人民共和国证券投资基金法》、《公开募集证券投资基金运作管理办法》、《公开募集证券投资基金信息披露管理办法》及其他有关法律法规以及本基金相关法律文件等。</w:t>
            </w:r>
          </w:p>
        </w:tc>
      </w:tr>
      <w:tr w:rsidR="00D80EF4" w:rsidRPr="005C6084" w:rsidTr="005C6084">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EF4" w:rsidRPr="005C6084" w:rsidRDefault="00D80EF4">
            <w:pPr>
              <w:rPr>
                <w:rFonts w:hint="eastAsia"/>
              </w:rPr>
            </w:pPr>
            <w:r w:rsidRPr="005C6084">
              <w:rPr>
                <w:rFonts w:hint="eastAsia"/>
              </w:rPr>
              <w:t xml:space="preserve">申购起始日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EF4" w:rsidRDefault="00D80EF4">
            <w:pPr>
              <w:rPr>
                <w:rFonts w:hint="eastAsia"/>
              </w:rPr>
            </w:pPr>
            <w:r w:rsidRPr="005C6084">
              <w:rPr>
                <w:rFonts w:hint="eastAsia"/>
              </w:rPr>
              <w:t>2021年4月8日</w:t>
            </w:r>
          </w:p>
        </w:tc>
      </w:tr>
      <w:tr w:rsidR="00D80EF4" w:rsidRPr="005C6084" w:rsidTr="005C6084">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EF4" w:rsidRPr="005C6084" w:rsidRDefault="00D80EF4">
            <w:pPr>
              <w:rPr>
                <w:rFonts w:hint="eastAsia"/>
              </w:rPr>
            </w:pPr>
            <w:r w:rsidRPr="005C6084">
              <w:rPr>
                <w:rFonts w:hint="eastAsia"/>
              </w:rPr>
              <w:t xml:space="preserve">赎回起始日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EF4" w:rsidRDefault="00D80EF4">
            <w:pPr>
              <w:rPr>
                <w:rFonts w:hint="eastAsia"/>
              </w:rPr>
            </w:pPr>
            <w:r w:rsidRPr="005C6084">
              <w:rPr>
                <w:rFonts w:hint="eastAsia"/>
              </w:rPr>
              <w:t>2021年4月8日</w:t>
            </w:r>
          </w:p>
        </w:tc>
      </w:tr>
    </w:tbl>
    <w:p w:rsidR="00D80EF4" w:rsidRDefault="00D80EF4">
      <w:pPr>
        <w:spacing w:line="360" w:lineRule="auto"/>
        <w:jc w:val="left"/>
        <w:rPr>
          <w:rFonts w:hint="eastAsia"/>
        </w:rPr>
      </w:pPr>
      <w:r>
        <w:rPr>
          <w:rFonts w:hint="eastAsia"/>
          <w:szCs w:val="21"/>
        </w:rPr>
        <w:t>注：本公告内容仅适用于本基金基金份额的场内申购、赎回业务。</w:t>
      </w:r>
    </w:p>
    <w:p w:rsidR="00D80EF4" w:rsidRDefault="00D80EF4">
      <w:pPr>
        <w:pStyle w:val="XBRLTitle1"/>
        <w:spacing w:before="156" w:line="360" w:lineRule="auto"/>
        <w:rPr>
          <w:rFonts w:hAnsi="宋体" w:hint="eastAsia"/>
        </w:rPr>
      </w:pPr>
      <w:bookmarkStart w:id="13" w:name="_Toc34841029"/>
      <w:bookmarkStart w:id="14" w:name="_Toc34758520"/>
      <w:bookmarkStart w:id="15" w:name="_Toc17898179"/>
      <w:bookmarkStart w:id="16" w:name="_Toc17897937"/>
      <w:bookmarkStart w:id="17" w:name="_Toc512519481"/>
      <w:bookmarkStart w:id="18" w:name="_Toc481075047"/>
      <w:bookmarkStart w:id="19" w:name="_Toc438646452"/>
      <w:bookmarkStart w:id="20" w:name="_Toc490050001"/>
      <w:bookmarkStart w:id="21" w:name="_Toc513295847"/>
      <w:bookmarkStart w:id="22" w:name="_Toc513295893"/>
      <w:r>
        <w:rPr>
          <w:rFonts w:hAnsi="宋体" w:hint="eastAsia"/>
        </w:rPr>
        <w:t>日常申购、赎回业务的办理时间</w:t>
      </w:r>
      <w:bookmarkEnd w:id="13"/>
      <w:bookmarkEnd w:id="14"/>
      <w:r>
        <w:rPr>
          <w:rFonts w:hAnsi="宋体" w:hint="eastAsia"/>
        </w:rPr>
        <w:t xml:space="preserve"> </w:t>
      </w:r>
    </w:p>
    <w:p w:rsidR="00D80EF4" w:rsidRDefault="00D80EF4">
      <w:pPr>
        <w:spacing w:line="360" w:lineRule="auto"/>
        <w:ind w:firstLineChars="200" w:firstLine="420"/>
        <w:rPr>
          <w:rFonts w:hint="eastAsia"/>
        </w:rPr>
      </w:pPr>
      <w:bookmarkStart w:id="23" w:name="m07_04_13_00"/>
      <w:bookmarkStart w:id="24" w:name="m201"/>
      <w:bookmarkStart w:id="25" w:name="m07_04_07_09_tab"/>
      <w:bookmarkStart w:id="26" w:name="m07_04_07_09"/>
      <w:bookmarkStart w:id="27" w:name="m201_01"/>
      <w:r>
        <w:rPr>
          <w:rFonts w:hint="eastAsia"/>
          <w:lang/>
        </w:rPr>
        <w:t>申购和赎回的开放日为深圳证券交易所和日本东京证券交易所同时开放交易的每个工作日（基金管理人公告暂停申购或赎回时除外）。投资人在开放日办理基金份额的申购和赎回，具体办理时间为深圳证券交易所的正常交易日的交易时间，但基金管理人根据法律法规、中国证监会的要求或基金合同的规定公告暂停申购、赎回时除外。</w:t>
      </w:r>
      <w:r>
        <w:rPr>
          <w:rFonts w:hint="eastAsia"/>
          <w:lang/>
        </w:rPr>
        <w:br/>
        <w:t xml:space="preserve">　　基金合同生效后，若出现新的证券/期货交易市场、证券/期货交易所交易时间变更、登记机构的业务规则变更或其他特殊情况，基金管理人将视情况对前述开放日及开放时间进行相应的调整，但应在实施日前依照《公开募集证券投资基金信息披露管理办法》（以下简称《信息披露办法》）的有关规定在指定媒介上公告。</w:t>
      </w:r>
      <w:r>
        <w:rPr>
          <w:rFonts w:hint="eastAsia"/>
          <w:lang/>
        </w:rPr>
        <w:br/>
        <w:t xml:space="preserve">　　基金管理人不得在基金合同约定之外的日期或者时间办理基金份额的申购或者赎回。</w:t>
      </w:r>
      <w:r>
        <w:rPr>
          <w:rFonts w:hint="eastAsia"/>
          <w:lang/>
        </w:rPr>
        <w:br/>
        <w:t xml:space="preserve">　　本基金可在基金上市交易之前开始办理申购、赎回，但在基金申请上市期间，可暂停办理申购和赎回。</w:t>
      </w:r>
    </w:p>
    <w:p w:rsidR="00D80EF4" w:rsidRDefault="00D80EF4">
      <w:pPr>
        <w:pStyle w:val="XBRLTitle1"/>
        <w:spacing w:before="156" w:line="360" w:lineRule="auto"/>
        <w:rPr>
          <w:rFonts w:hAnsi="宋体" w:hint="eastAsia"/>
        </w:rPr>
      </w:pPr>
      <w:bookmarkStart w:id="28" w:name="m401_tab"/>
      <w:bookmarkStart w:id="29" w:name="m401"/>
      <w:bookmarkStart w:id="30" w:name="_Toc34841030"/>
      <w:bookmarkStart w:id="31" w:name="_Toc34758521"/>
      <w:bookmarkStart w:id="32" w:name="_Toc17898180"/>
      <w:bookmarkStart w:id="33" w:name="_Toc17897938"/>
      <w:bookmarkStart w:id="34" w:name="_Toc512519482"/>
      <w:bookmarkStart w:id="35" w:name="_Toc481075049"/>
      <w:bookmarkStart w:id="36" w:name="_Toc438646455"/>
      <w:bookmarkStart w:id="37" w:name="_Toc490050003"/>
      <w:bookmarkStart w:id="38" w:name="_Toc513295848"/>
      <w:bookmarkStart w:id="39" w:name="_Toc513295894"/>
      <w:r>
        <w:rPr>
          <w:rFonts w:hAnsi="宋体" w:hint="eastAsia"/>
        </w:rPr>
        <w:t>日常申购业务</w:t>
      </w:r>
      <w:bookmarkEnd w:id="30"/>
      <w:bookmarkEnd w:id="31"/>
      <w:r>
        <w:rPr>
          <w:rFonts w:hAnsi="宋体" w:hint="eastAsia"/>
        </w:rPr>
        <w:t xml:space="preserve"> </w:t>
      </w:r>
    </w:p>
    <w:p w:rsidR="00D80EF4" w:rsidRDefault="00D80EF4">
      <w:pPr>
        <w:pStyle w:val="XBRLTitle2"/>
        <w:spacing w:before="156" w:line="360" w:lineRule="auto"/>
        <w:rPr>
          <w:rFonts w:hAnsi="宋体" w:hint="eastAsia"/>
        </w:rPr>
      </w:pPr>
      <w:bookmarkStart w:id="40" w:name="_Toc34841031"/>
      <w:bookmarkStart w:id="41" w:name="_Toc17898181"/>
      <w:bookmarkStart w:id="42" w:name="_Toc17897939"/>
      <w:bookmarkStart w:id="43" w:name="_Toc512519483"/>
      <w:bookmarkStart w:id="44" w:name="_Toc481075050"/>
      <w:bookmarkStart w:id="45" w:name="_Toc438646456"/>
      <w:bookmarkStart w:id="46" w:name="_Toc490050004"/>
      <w:bookmarkStart w:id="47" w:name="_Toc513295849"/>
      <w:bookmarkStart w:id="48" w:name="_Toc513295895"/>
      <w:bookmarkStart w:id="49" w:name="_Toc34758522"/>
      <w:r>
        <w:rPr>
          <w:rFonts w:hAnsi="宋体" w:hint="eastAsia"/>
        </w:rPr>
        <w:t>申购金额限制</w:t>
      </w:r>
      <w:bookmarkEnd w:id="40"/>
      <w:bookmarkEnd w:id="41"/>
      <w:bookmarkEnd w:id="42"/>
      <w:bookmarkEnd w:id="43"/>
      <w:bookmarkEnd w:id="44"/>
      <w:bookmarkEnd w:id="45"/>
      <w:bookmarkEnd w:id="46"/>
      <w:bookmarkEnd w:id="47"/>
      <w:bookmarkEnd w:id="48"/>
      <w:bookmarkEnd w:id="49"/>
      <w:r>
        <w:rPr>
          <w:rFonts w:hAnsi="宋体" w:hint="eastAsia"/>
        </w:rPr>
        <w:t xml:space="preserve"> </w:t>
      </w:r>
    </w:p>
    <w:p w:rsidR="00D80EF4" w:rsidRDefault="00D80EF4">
      <w:pPr>
        <w:spacing w:line="360" w:lineRule="auto"/>
        <w:ind w:firstLineChars="200" w:firstLine="420"/>
        <w:rPr>
          <w:rFonts w:hint="eastAsia"/>
        </w:rPr>
      </w:pPr>
      <w:r>
        <w:rPr>
          <w:rFonts w:hint="eastAsia"/>
          <w:lang/>
        </w:rPr>
        <w:t>投资者申购的基金份额需为最小申购单位的整数倍。本基金最小申购单位为50万份。基金管理人可根据基金运作情况、市场情况、投资人需求等因素对基金的最小申购单位进行调整，并在</w:t>
      </w:r>
      <w:r>
        <w:rPr>
          <w:rFonts w:hint="eastAsia"/>
          <w:lang/>
        </w:rPr>
        <w:lastRenderedPageBreak/>
        <w:t>调整生效前依照《信息披露办法》的有关规定在规定媒介公告。</w:t>
      </w:r>
    </w:p>
    <w:p w:rsidR="00D80EF4" w:rsidRDefault="00D80EF4">
      <w:pPr>
        <w:pStyle w:val="XBRLTitle2"/>
        <w:spacing w:before="156" w:line="360" w:lineRule="auto"/>
        <w:rPr>
          <w:rFonts w:hAnsi="宋体" w:hint="eastAsia"/>
        </w:rPr>
      </w:pPr>
      <w:bookmarkStart w:id="50" w:name="_Toc513465658"/>
      <w:bookmarkStart w:id="51" w:name="_Toc490050005"/>
      <w:bookmarkStart w:id="52" w:name="_Toc438646457"/>
      <w:bookmarkStart w:id="53" w:name="_Toc481075051"/>
      <w:bookmarkStart w:id="54" w:name="_Toc512519484"/>
      <w:r>
        <w:rPr>
          <w:rFonts w:hAnsi="宋体" w:hint="eastAsia"/>
        </w:rPr>
        <w:t>申购费率</w:t>
      </w:r>
      <w:bookmarkEnd w:id="50"/>
      <w:r>
        <w:rPr>
          <w:rFonts w:hAnsi="宋体" w:hint="eastAsia"/>
        </w:rPr>
        <w:t xml:space="preserve"> </w:t>
      </w:r>
    </w:p>
    <w:p w:rsidR="00D80EF4" w:rsidRDefault="00D80EF4">
      <w:pPr>
        <w:spacing w:line="360" w:lineRule="auto"/>
        <w:ind w:firstLineChars="200" w:firstLine="420"/>
        <w:rPr>
          <w:rFonts w:hint="eastAsia"/>
        </w:rPr>
      </w:pPr>
      <w:r>
        <w:rPr>
          <w:rFonts w:hint="eastAsia"/>
          <w:lang/>
        </w:rPr>
        <w:t>投资人在申购基金份额时，申购赎回代理券商可按照不超过0.5%的标准收取佣金，其中包含证券交易所、登记机构等收取的相关费用。</w:t>
      </w:r>
    </w:p>
    <w:p w:rsidR="00D80EF4" w:rsidRDefault="00D80EF4">
      <w:pPr>
        <w:pStyle w:val="XBRLTitle2"/>
        <w:spacing w:before="156"/>
        <w:rPr>
          <w:rFonts w:hint="eastAsia"/>
        </w:rPr>
      </w:pPr>
      <w:bookmarkStart w:id="55" w:name="_Toc490050006"/>
      <w:bookmarkStart w:id="56" w:name="_Toc481075052"/>
      <w:bookmarkStart w:id="57" w:name="_Toc512519485"/>
      <w:bookmarkStart w:id="58" w:name="_Toc34841033"/>
      <w:bookmarkStart w:id="59" w:name="_Toc34758524"/>
      <w:bookmarkStart w:id="60" w:name="_Toc433036679"/>
      <w:bookmarkStart w:id="61" w:name="_Toc247616208"/>
      <w:bookmarkStart w:id="62" w:name="_Toc245003735"/>
      <w:bookmarkStart w:id="63" w:name="_Toc244948694"/>
      <w:bookmarkStart w:id="64" w:name="_Toc485300223"/>
      <w:bookmarkStart w:id="65" w:name="_Toc453852604"/>
      <w:bookmarkStart w:id="66" w:name="_Toc452398732"/>
      <w:bookmarkStart w:id="67" w:name="_Toc454983260"/>
      <w:bookmarkStart w:id="68" w:name="m03_03"/>
      <w:bookmarkStart w:id="69" w:name="_Toc17898185"/>
      <w:bookmarkStart w:id="70" w:name="_Toc17897941"/>
      <w:bookmarkStart w:id="71" w:name="_Toc497398101"/>
      <w:bookmarkStart w:id="72" w:name="_Toc506208214"/>
      <w:bookmarkStart w:id="73" w:name="_Toc490050007"/>
      <w:bookmarkStart w:id="74" w:name="_Toc481075053"/>
      <w:bookmarkStart w:id="75" w:name="_Toc512519486"/>
      <w:r>
        <w:rPr>
          <w:rFonts w:hint="eastAsia"/>
        </w:rPr>
        <w:t>其他与申购相关的事项</w:t>
      </w:r>
      <w:bookmarkEnd w:id="58"/>
      <w:bookmarkEnd w:id="59"/>
    </w:p>
    <w:p w:rsidR="00D80EF4" w:rsidRDefault="00D80EF4">
      <w:pPr>
        <w:spacing w:line="360" w:lineRule="auto"/>
        <w:ind w:firstLineChars="200" w:firstLine="420"/>
        <w:rPr>
          <w:rFonts w:hint="eastAsia"/>
        </w:rPr>
      </w:pPr>
      <w:r>
        <w:rPr>
          <w:rFonts w:hint="eastAsia"/>
          <w:lang/>
        </w:rPr>
        <w:t>1、当接受申购申请对存量基金份额持有人利益构成潜在重大不利影响时，基金管理人应当采取设定单一投资者申购份额上限或基金单日净申购比例上限、拒绝大额申购、暂停基金申购等措施，切实保护存量基金份额持有人的合法权益，基金管理人基于投资运作与风险控制的需要，可采取上述措施对基金规模予以控制。具体规定请参见相关公告。</w:t>
      </w:r>
      <w:r>
        <w:rPr>
          <w:rFonts w:hint="eastAsia"/>
          <w:lang/>
        </w:rPr>
        <w:br/>
        <w:t xml:space="preserve">　　2、基金管理人可在法律法规允许的情况下，调整上述规定申购份额的数量限制。基金管理人必须在调整实施前依照《信息披露办法》的有关规定在规定媒介上公告。</w:t>
      </w:r>
    </w:p>
    <w:p w:rsidR="00D80EF4" w:rsidRDefault="00D80EF4">
      <w:pPr>
        <w:pStyle w:val="XBRLTitle1"/>
        <w:spacing w:before="156" w:line="360" w:lineRule="auto"/>
        <w:rPr>
          <w:rFonts w:hAnsi="宋体" w:hint="eastAsia"/>
          <w:szCs w:val="44"/>
        </w:rPr>
      </w:pPr>
      <w:bookmarkStart w:id="76" w:name="_Toc34841034"/>
      <w:bookmarkStart w:id="77" w:name="_Toc17898186"/>
      <w:bookmarkStart w:id="78" w:name="_Toc17897942"/>
      <w:bookmarkStart w:id="79" w:name="_Toc481075054"/>
      <w:bookmarkStart w:id="80" w:name="_Toc438646458"/>
      <w:bookmarkStart w:id="81" w:name="_Toc490050008"/>
      <w:bookmarkStart w:id="82" w:name="_Toc512519487"/>
      <w:bookmarkStart w:id="83" w:name="_Toc513295851"/>
      <w:bookmarkStart w:id="84" w:name="_Toc513295899"/>
      <w:bookmarkStart w:id="85" w:name="_Toc34758525"/>
      <w:r>
        <w:rPr>
          <w:rFonts w:hAnsi="宋体" w:hint="eastAsia"/>
        </w:rPr>
        <w:t>日常赎回业务</w:t>
      </w:r>
      <w:bookmarkEnd w:id="76"/>
      <w:bookmarkEnd w:id="77"/>
      <w:bookmarkEnd w:id="78"/>
      <w:bookmarkEnd w:id="79"/>
      <w:bookmarkEnd w:id="80"/>
      <w:bookmarkEnd w:id="81"/>
      <w:bookmarkEnd w:id="82"/>
      <w:bookmarkEnd w:id="83"/>
      <w:bookmarkEnd w:id="84"/>
      <w:bookmarkEnd w:id="85"/>
      <w:r>
        <w:rPr>
          <w:rFonts w:hAnsi="宋体" w:hint="eastAsia"/>
          <w:szCs w:val="44"/>
        </w:rPr>
        <w:t xml:space="preserve"> </w:t>
      </w:r>
    </w:p>
    <w:p w:rsidR="00D80EF4" w:rsidRDefault="00D80EF4">
      <w:pPr>
        <w:pStyle w:val="XBRLTitle2"/>
        <w:spacing w:before="156" w:line="360" w:lineRule="auto"/>
        <w:rPr>
          <w:rFonts w:hAnsi="宋体" w:hint="eastAsia"/>
        </w:rPr>
      </w:pPr>
      <w:bookmarkStart w:id="86" w:name="_Toc34841035"/>
      <w:bookmarkStart w:id="87" w:name="_Toc17898187"/>
      <w:bookmarkStart w:id="88" w:name="_Toc17897943"/>
      <w:bookmarkStart w:id="89" w:name="_Toc481075055"/>
      <w:bookmarkStart w:id="90" w:name="_Toc438646459"/>
      <w:bookmarkStart w:id="91" w:name="_Toc490050009"/>
      <w:bookmarkStart w:id="92" w:name="_Toc512519488"/>
      <w:bookmarkStart w:id="93" w:name="_Toc513295852"/>
      <w:bookmarkStart w:id="94" w:name="_Toc513295900"/>
      <w:bookmarkStart w:id="95" w:name="_Toc34758526"/>
      <w:r>
        <w:rPr>
          <w:rFonts w:hAnsi="宋体" w:hint="eastAsia"/>
        </w:rPr>
        <w:t>赎回份额限制</w:t>
      </w:r>
      <w:bookmarkEnd w:id="86"/>
      <w:bookmarkEnd w:id="87"/>
      <w:bookmarkEnd w:id="88"/>
      <w:bookmarkEnd w:id="89"/>
      <w:bookmarkEnd w:id="90"/>
      <w:bookmarkEnd w:id="91"/>
      <w:bookmarkEnd w:id="92"/>
      <w:bookmarkEnd w:id="93"/>
      <w:bookmarkEnd w:id="94"/>
      <w:bookmarkEnd w:id="95"/>
      <w:r>
        <w:rPr>
          <w:rFonts w:hAnsi="宋体" w:hint="eastAsia"/>
        </w:rPr>
        <w:t xml:space="preserve"> </w:t>
      </w:r>
    </w:p>
    <w:p w:rsidR="00D80EF4" w:rsidRDefault="00D80EF4">
      <w:pPr>
        <w:spacing w:line="360" w:lineRule="auto"/>
        <w:ind w:firstLineChars="200" w:firstLine="420"/>
        <w:rPr>
          <w:rFonts w:hint="eastAsia"/>
        </w:rPr>
      </w:pPr>
      <w:r>
        <w:rPr>
          <w:rFonts w:hint="eastAsia"/>
          <w:lang/>
        </w:rPr>
        <w:t>投资者赎回的基金份额需为最小赎回单位的整数倍。本基金最小赎回单位为50万份。基金管理人可根据基金运作情况、市场情况、投资人需求等因素对基金的最小赎回单位进行调整，并在调整生效前依照《信息披露办法》的有关规定在规定媒介公告。</w:t>
      </w:r>
    </w:p>
    <w:p w:rsidR="00D80EF4" w:rsidRDefault="00D80EF4">
      <w:pPr>
        <w:pStyle w:val="XBRLTitle2"/>
        <w:spacing w:before="156" w:line="360" w:lineRule="auto"/>
        <w:rPr>
          <w:rFonts w:hAnsi="宋体" w:hint="eastAsia"/>
        </w:rPr>
      </w:pPr>
      <w:bookmarkStart w:id="96" w:name="_Toc34841036"/>
      <w:bookmarkStart w:id="97" w:name="_Toc17898188"/>
      <w:bookmarkStart w:id="98" w:name="_Toc17897944"/>
      <w:bookmarkStart w:id="99" w:name="_Toc481075056"/>
      <w:bookmarkStart w:id="100" w:name="_Toc438646460"/>
      <w:bookmarkStart w:id="101" w:name="_Toc490050010"/>
      <w:bookmarkStart w:id="102" w:name="_Toc512519489"/>
      <w:bookmarkStart w:id="103" w:name="_Toc513295853"/>
      <w:bookmarkStart w:id="104" w:name="_Toc513295901"/>
      <w:bookmarkStart w:id="105" w:name="_Toc34758527"/>
      <w:bookmarkStart w:id="106" w:name="m402"/>
      <w:r>
        <w:rPr>
          <w:rFonts w:hAnsi="宋体" w:hint="eastAsia"/>
        </w:rPr>
        <w:t>赎回费率</w:t>
      </w:r>
      <w:bookmarkEnd w:id="96"/>
      <w:bookmarkEnd w:id="97"/>
      <w:bookmarkEnd w:id="98"/>
      <w:bookmarkEnd w:id="99"/>
      <w:bookmarkEnd w:id="100"/>
      <w:bookmarkEnd w:id="101"/>
      <w:bookmarkEnd w:id="102"/>
      <w:bookmarkEnd w:id="103"/>
      <w:bookmarkEnd w:id="104"/>
      <w:bookmarkEnd w:id="105"/>
      <w:r>
        <w:rPr>
          <w:rFonts w:hAnsi="宋体" w:hint="eastAsia"/>
        </w:rPr>
        <w:t xml:space="preserve"> </w:t>
      </w:r>
    </w:p>
    <w:bookmarkEnd w:id="106"/>
    <w:p w:rsidR="00D80EF4" w:rsidRDefault="00D80EF4">
      <w:pPr>
        <w:wordWrap w:val="0"/>
        <w:spacing w:line="360" w:lineRule="auto"/>
        <w:ind w:firstLineChars="200" w:firstLine="420"/>
        <w:divId w:val="1211069581"/>
        <w:rPr>
          <w:rFonts w:hint="eastAsia"/>
        </w:rPr>
      </w:pPr>
      <w:r>
        <w:rPr>
          <w:rFonts w:hint="eastAsia"/>
          <w:lang/>
        </w:rPr>
        <w:t xml:space="preserve">投资人在赎回基金份额时，申购赎回代理券商可按照不超过0.5%的标准收取佣金，其中包含证券交易所、登记机构等收取的相关费用。　</w:t>
      </w:r>
      <w:r>
        <w:rPr>
          <w:rFonts w:hint="eastAsia"/>
        </w:rPr>
        <w:t xml:space="preserve"> </w:t>
      </w:r>
    </w:p>
    <w:p w:rsidR="00D80EF4" w:rsidRDefault="00D80EF4">
      <w:pPr>
        <w:pStyle w:val="XBRLTitle2"/>
        <w:spacing w:before="156" w:line="360" w:lineRule="auto"/>
        <w:rPr>
          <w:rFonts w:hAnsi="宋体" w:hint="eastAsia"/>
        </w:rPr>
      </w:pPr>
      <w:bookmarkStart w:id="107" w:name="m403"/>
      <w:bookmarkStart w:id="108" w:name="_Toc34841037"/>
      <w:bookmarkStart w:id="109" w:name="_Toc17898192"/>
      <w:bookmarkStart w:id="110" w:name="_Toc17897946"/>
      <w:bookmarkStart w:id="111" w:name="_Toc481075061"/>
      <w:bookmarkStart w:id="112" w:name="_Toc490050014"/>
      <w:bookmarkStart w:id="113" w:name="_Toc512519493"/>
      <w:bookmarkStart w:id="114" w:name="_Toc513295855"/>
      <w:bookmarkStart w:id="115" w:name="_Toc513295905"/>
      <w:bookmarkStart w:id="116" w:name="_Toc34758528"/>
      <w:bookmarkStart w:id="117" w:name="m405_01_2550"/>
      <w:bookmarkEnd w:id="107"/>
      <w:r>
        <w:rPr>
          <w:rFonts w:hAnsi="宋体" w:hint="eastAsia"/>
        </w:rPr>
        <w:t>其他与赎回相关的事项</w:t>
      </w:r>
      <w:bookmarkEnd w:id="108"/>
      <w:bookmarkEnd w:id="109"/>
      <w:bookmarkEnd w:id="110"/>
      <w:bookmarkEnd w:id="111"/>
      <w:bookmarkEnd w:id="112"/>
      <w:bookmarkEnd w:id="113"/>
      <w:bookmarkEnd w:id="114"/>
      <w:bookmarkEnd w:id="115"/>
      <w:bookmarkEnd w:id="116"/>
      <w:r>
        <w:rPr>
          <w:rFonts w:hAnsi="宋体" w:hint="eastAsia"/>
        </w:rPr>
        <w:t xml:space="preserve"> </w:t>
      </w:r>
    </w:p>
    <w:p w:rsidR="00D80EF4" w:rsidRDefault="00D80EF4">
      <w:pPr>
        <w:spacing w:line="360" w:lineRule="auto"/>
        <w:ind w:firstLineChars="200" w:firstLine="420"/>
        <w:rPr>
          <w:rFonts w:hint="eastAsia"/>
        </w:rPr>
      </w:pPr>
      <w:r>
        <w:rPr>
          <w:rFonts w:hint="eastAsia"/>
          <w:lang/>
        </w:rPr>
        <w:t>基金管理人可在法律法规允许的情况下，调整上述规定赎回份额的数量限制。基金管理人必须在调整实施前依照《信息披露办法》的有关规定在规定媒介上公告。</w:t>
      </w:r>
    </w:p>
    <w:p w:rsidR="00D80EF4" w:rsidRDefault="00D80EF4">
      <w:pPr>
        <w:pStyle w:val="XBRLTitle1"/>
        <w:spacing w:before="156" w:line="360" w:lineRule="auto"/>
        <w:rPr>
          <w:rFonts w:hAnsi="宋体" w:hint="eastAsia"/>
        </w:rPr>
      </w:pPr>
      <w:bookmarkStart w:id="118" w:name="_Toc34841042"/>
      <w:bookmarkStart w:id="119" w:name="_Toc3475852111"/>
      <w:bookmarkEnd w:id="117"/>
      <w:r>
        <w:rPr>
          <w:rFonts w:hAnsi="宋体" w:hint="eastAsia"/>
        </w:rPr>
        <w:t>基金销售机构</w:t>
      </w:r>
      <w:bookmarkEnd w:id="32"/>
      <w:bookmarkEnd w:id="33"/>
      <w:bookmarkEnd w:id="34"/>
      <w:bookmarkEnd w:id="35"/>
      <w:bookmarkEnd w:id="36"/>
      <w:bookmarkEnd w:id="37"/>
      <w:bookmarkEnd w:id="38"/>
      <w:bookmarkEnd w:id="39"/>
      <w:bookmarkEnd w:id="118"/>
      <w:bookmarkEnd w:id="119"/>
      <w:r>
        <w:rPr>
          <w:rFonts w:hAnsi="宋体" w:hint="eastAsia"/>
        </w:rPr>
        <w:t xml:space="preserve"> </w:t>
      </w:r>
      <w:bookmarkEnd w:id="60"/>
      <w:bookmarkEnd w:id="61"/>
      <w:bookmarkEnd w:id="62"/>
      <w:bookmarkEnd w:id="63"/>
      <w:bookmarkEnd w:id="64"/>
      <w:bookmarkEnd w:id="65"/>
      <w:bookmarkEnd w:id="66"/>
      <w:bookmarkEnd w:id="67"/>
      <w:bookmarkEnd w:id="68"/>
      <w:bookmarkEnd w:id="69"/>
      <w:bookmarkEnd w:id="70"/>
      <w:bookmarkEnd w:id="71"/>
      <w:bookmarkEnd w:id="72"/>
    </w:p>
    <w:p w:rsidR="00D80EF4" w:rsidRDefault="00D80EF4">
      <w:pPr>
        <w:pStyle w:val="XBRLTitle2"/>
        <w:spacing w:before="156" w:line="360" w:lineRule="auto"/>
        <w:rPr>
          <w:rFonts w:hAnsi="宋体" w:hint="eastAsia"/>
        </w:rPr>
      </w:pPr>
      <w:bookmarkStart w:id="120" w:name="_Toc51346565811"/>
      <w:r>
        <w:rPr>
          <w:rFonts w:hAnsi="宋体" w:hint="eastAsia"/>
        </w:rPr>
        <w:t>场</w:t>
      </w:r>
      <w:r w:rsidR="00E11858">
        <w:rPr>
          <w:rFonts w:hAnsi="宋体" w:hint="eastAsia"/>
          <w:lang w:eastAsia="zh-CN"/>
        </w:rPr>
        <w:t>内</w:t>
      </w:r>
      <w:r>
        <w:rPr>
          <w:rFonts w:hAnsi="宋体" w:hint="eastAsia"/>
        </w:rPr>
        <w:t>销售机构</w:t>
      </w:r>
      <w:bookmarkEnd w:id="51"/>
      <w:bookmarkEnd w:id="52"/>
      <w:bookmarkEnd w:id="53"/>
      <w:bookmarkEnd w:id="54"/>
      <w:bookmarkEnd w:id="120"/>
      <w:r>
        <w:rPr>
          <w:rFonts w:hAnsi="宋体" w:hint="eastAsia"/>
        </w:rPr>
        <w:t xml:space="preserve"> </w:t>
      </w:r>
    </w:p>
    <w:bookmarkEnd w:id="55"/>
    <w:bookmarkEnd w:id="56"/>
    <w:bookmarkEnd w:id="57"/>
    <w:bookmarkEnd w:id="73"/>
    <w:bookmarkEnd w:id="74"/>
    <w:bookmarkEnd w:id="75"/>
    <w:p w:rsidR="00D80EF4" w:rsidRPr="00773031" w:rsidRDefault="00773031" w:rsidP="00773031">
      <w:pPr>
        <w:spacing w:line="360" w:lineRule="auto"/>
        <w:ind w:firstLineChars="200" w:firstLine="420"/>
        <w:divId w:val="2138257147"/>
        <w:rPr>
          <w:rFonts w:hint="eastAsia"/>
          <w:lang/>
        </w:rPr>
      </w:pPr>
      <w:r w:rsidRPr="007F31D3">
        <w:rPr>
          <w:rFonts w:hint="eastAsia"/>
          <w:lang/>
        </w:rPr>
        <w:t>华泰证券股份有限公司、中泰证券股份有限公司</w:t>
      </w:r>
      <w:r w:rsidRPr="00773031">
        <w:rPr>
          <w:rFonts w:hint="eastAsia"/>
          <w:lang/>
        </w:rPr>
        <w:t>、</w:t>
      </w:r>
      <w:r w:rsidRPr="007F31D3">
        <w:rPr>
          <w:rFonts w:hint="eastAsia"/>
          <w:lang/>
        </w:rPr>
        <w:t>中信证券股份有</w:t>
      </w:r>
      <w:r w:rsidR="007F31D3" w:rsidRPr="007F31D3">
        <w:rPr>
          <w:rFonts w:hint="eastAsia"/>
          <w:lang/>
        </w:rPr>
        <w:t>限公司、中信证券（山东）有限责任公司、中信证券华南股份有限公司。</w:t>
      </w:r>
    </w:p>
    <w:p w:rsidR="00D80EF4" w:rsidRDefault="00D80EF4">
      <w:pPr>
        <w:pStyle w:val="XBRLTitle1"/>
        <w:spacing w:before="156" w:line="360" w:lineRule="auto"/>
        <w:rPr>
          <w:rFonts w:hAnsi="宋体" w:hint="eastAsia"/>
        </w:rPr>
      </w:pPr>
      <w:bookmarkStart w:id="121" w:name="_Toc34841045"/>
      <w:bookmarkStart w:id="122" w:name="_Toc3475853211"/>
      <w:r>
        <w:rPr>
          <w:rFonts w:hAnsi="宋体" w:hint="eastAsia"/>
        </w:rPr>
        <w:t>基金份额净值公告/基金收益公告的披露安排</w:t>
      </w:r>
      <w:bookmarkEnd w:id="121"/>
      <w:bookmarkEnd w:id="122"/>
      <w:r>
        <w:rPr>
          <w:rFonts w:hAnsi="宋体" w:hint="eastAsia"/>
        </w:rPr>
        <w:t xml:space="preserve"> </w:t>
      </w:r>
    </w:p>
    <w:p w:rsidR="00D80EF4" w:rsidRDefault="00D80EF4">
      <w:pPr>
        <w:spacing w:line="360" w:lineRule="auto"/>
        <w:ind w:firstLineChars="200" w:firstLine="420"/>
        <w:rPr>
          <w:rFonts w:hint="eastAsia"/>
        </w:rPr>
      </w:pPr>
      <w:r>
        <w:rPr>
          <w:rFonts w:hint="eastAsia"/>
          <w:lang/>
        </w:rPr>
        <w:lastRenderedPageBreak/>
        <w:t>在开始办理基金份额申购或者赎回或上市交易后，基金管理人应当在不晚于每个开放日/交易日的次日，通过规定网站、基金销售机构网站或者营业网点，披露开放日/交易日的基金份额净值和基金份额累计净值。</w:t>
      </w:r>
      <w:r>
        <w:rPr>
          <w:rFonts w:hint="eastAsia"/>
          <w:lang/>
        </w:rPr>
        <w:br/>
        <w:t xml:space="preserve">　　基金管理人应当在不晚于半年度和年度最后一日的次日，在规定网站披露半年度和年度最后一日的基金份额净值和基金份额累计净值。</w:t>
      </w:r>
    </w:p>
    <w:p w:rsidR="00D80EF4" w:rsidRDefault="00D80EF4">
      <w:pPr>
        <w:pStyle w:val="XBRLTitle1"/>
        <w:spacing w:before="156" w:line="360" w:lineRule="auto"/>
        <w:rPr>
          <w:rFonts w:hAnsi="宋体" w:hint="eastAsia"/>
        </w:rPr>
      </w:pPr>
      <w:bookmarkStart w:id="123" w:name="_Toc34841046"/>
      <w:bookmarkStart w:id="124" w:name="_Toc3475853212"/>
      <w:r>
        <w:rPr>
          <w:rFonts w:hAnsi="宋体" w:hint="eastAsia"/>
        </w:rPr>
        <w:t>其他需要提示的事项</w:t>
      </w:r>
      <w:bookmarkEnd w:id="15"/>
      <w:bookmarkEnd w:id="16"/>
      <w:bookmarkEnd w:id="17"/>
      <w:bookmarkEnd w:id="18"/>
      <w:bookmarkEnd w:id="19"/>
      <w:bookmarkEnd w:id="20"/>
      <w:bookmarkEnd w:id="21"/>
      <w:bookmarkEnd w:id="22"/>
      <w:bookmarkEnd w:id="123"/>
      <w:bookmarkEnd w:id="124"/>
      <w:r>
        <w:rPr>
          <w:rFonts w:hAnsi="宋体" w:hint="eastAsia"/>
        </w:rPr>
        <w:t xml:space="preserve"> </w:t>
      </w:r>
      <w:bookmarkEnd w:id="28"/>
      <w:bookmarkEnd w:id="29"/>
    </w:p>
    <w:bookmarkEnd w:id="10"/>
    <w:p w:rsidR="00D80EF4" w:rsidRDefault="00D80EF4" w:rsidP="00E11858">
      <w:pPr>
        <w:spacing w:line="360" w:lineRule="auto"/>
        <w:rPr>
          <w:rFonts w:hint="eastAsia"/>
        </w:rPr>
      </w:pPr>
      <w:r>
        <w:rPr>
          <w:rFonts w:hint="eastAsia"/>
          <w:lang/>
        </w:rPr>
        <w:t xml:space="preserve">　　（一）申购与赎回的原则</w:t>
      </w:r>
      <w:r>
        <w:rPr>
          <w:rFonts w:hint="eastAsia"/>
          <w:lang/>
        </w:rPr>
        <w:br/>
        <w:t xml:space="preserve">　　1、本基金采用“份额申购”和“份额赎回”的方式，即申购和赎回均以份额申请；</w:t>
      </w:r>
      <w:r>
        <w:rPr>
          <w:rFonts w:hint="eastAsia"/>
          <w:lang/>
        </w:rPr>
        <w:br/>
        <w:t xml:space="preserve">　　2、本基金的申购对价、赎回对价包括现金替代、现金差额及其他对价；</w:t>
      </w:r>
      <w:r>
        <w:rPr>
          <w:rFonts w:hint="eastAsia"/>
          <w:lang/>
        </w:rPr>
        <w:br/>
        <w:t xml:space="preserve">　　3、申购、赎回申请提交后不得撤销；</w:t>
      </w:r>
      <w:r>
        <w:rPr>
          <w:rFonts w:hint="eastAsia"/>
          <w:lang/>
        </w:rPr>
        <w:br/>
        <w:t xml:space="preserve">　　4、申购、赎回应遵守《深圳证券交易所证券投资基金交易和申购赎回实施细则》、《中国证券登记结算有限责任公司关于交易所交易型开放式证券投资基金登记结算业务实施细则》的规定。如深圳证券交易所、中国证券登记结算有限责任公司修改或更新上述规则并适用于本基金的，则按照新的规则执行，并在招募说明书中进行更新；</w:t>
      </w:r>
      <w:r>
        <w:rPr>
          <w:rFonts w:hint="eastAsia"/>
          <w:lang/>
        </w:rPr>
        <w:br/>
        <w:t xml:space="preserve">　　5、办理申购、赎回业务时，应当遵循基金份额持有人利益优先原则，确保投资者的合法权益不受损害并得到公平对待。基金管理人可在法律法规允许的情况下，对上述原则进行调整。基金管理人必须在新规则开始实施前依照《信息披露办法》的有关规定在规定媒介上公告。</w:t>
      </w:r>
      <w:r>
        <w:rPr>
          <w:rFonts w:hint="eastAsia"/>
          <w:lang/>
        </w:rPr>
        <w:br/>
        <w:t xml:space="preserve">　　（二）申购与赎回的程序</w:t>
      </w:r>
      <w:r>
        <w:rPr>
          <w:rFonts w:hint="eastAsia"/>
          <w:lang/>
        </w:rPr>
        <w:br/>
        <w:t xml:space="preserve">　　1、申购和赎回的申请的提出</w:t>
      </w:r>
      <w:r>
        <w:rPr>
          <w:rFonts w:hint="eastAsia"/>
          <w:lang/>
        </w:rPr>
        <w:br/>
        <w:t xml:space="preserve">　　投资者必须根据申购赎回代理券商规定的程序，在开放日的具体业务办理时间内提出申购或赎回的申请。</w:t>
      </w:r>
      <w:r>
        <w:rPr>
          <w:rFonts w:hint="eastAsia"/>
          <w:lang/>
        </w:rPr>
        <w:br/>
        <w:t xml:space="preserve">　　投资者申购基金份额时，须根据申购赎回清单备足申购对价。基金份额持有人提交赎回申请时，必须持有足够的基金份额余额和现金。否则所提交的现金申购、赎回申请不成立。</w:t>
      </w:r>
      <w:r>
        <w:rPr>
          <w:rFonts w:hint="eastAsia"/>
          <w:lang/>
        </w:rPr>
        <w:br/>
        <w:t xml:space="preserve">　　2、申购和赎回申请的确认</w:t>
      </w:r>
      <w:r>
        <w:rPr>
          <w:rFonts w:hint="eastAsia"/>
          <w:lang/>
        </w:rPr>
        <w:br/>
        <w:t xml:space="preserve">　　投资人申购、赎回申请在受理当日进行确认。如投资人未能提供符合要求的申购对价，则申购申请不成立。如投资人持有的符合要求的基金份额不足或未能根据要求准备足额的现金，或投资人提交的赎回申请超过基金管理人设定的当日净赎回份额上限、当日累计赎回份额上限、单个账户当日净赎回份额上限或单个账户当日累计赎回份额上限，则赎回申请不成立。</w:t>
      </w:r>
      <w:r>
        <w:rPr>
          <w:rFonts w:hint="eastAsia"/>
          <w:lang/>
        </w:rPr>
        <w:br/>
        <w:t xml:space="preserve">　　申购赎回代理券商受理申购、赎回申请并不代表该申购、赎回申请一定成功。申购、赎回的确认以登记机构的确认结果为准。投资人应及时查询有关申请的确认情况。</w:t>
      </w:r>
      <w:r>
        <w:rPr>
          <w:rFonts w:hint="eastAsia"/>
          <w:lang/>
        </w:rPr>
        <w:br/>
        <w:t xml:space="preserve">　　3、申购和赎回的清算交收与登记</w:t>
      </w:r>
      <w:r>
        <w:rPr>
          <w:rFonts w:hint="eastAsia"/>
          <w:lang/>
        </w:rPr>
        <w:br/>
        <w:t xml:space="preserve">　　本基金申购赎回过程中涉及的基金份额、现金替代、现金差额及其他对价的清算交收适用深圳证券交易所、登记机构的相关规定和参与各方相关协议的有关规定。如深圳证券交易所、中国证券登记结算有限责任公司修改或更新上述规则并适用于本基金的，则按照新的规则执行，并在招募说明书中进行更新。</w:t>
      </w:r>
      <w:r>
        <w:rPr>
          <w:rFonts w:hint="eastAsia"/>
          <w:lang/>
        </w:rPr>
        <w:br/>
        <w:t xml:space="preserve">　　本基金现金申购业务中的现金替代采用逐笔全额结算（T</w:t>
      </w:r>
      <w:r w:rsidR="00DF603C">
        <w:rPr>
          <w:rFonts w:hint="eastAsia"/>
          <w:lang/>
        </w:rPr>
        <w:t>日日间</w:t>
      </w:r>
      <w:r>
        <w:rPr>
          <w:rFonts w:hint="eastAsia"/>
          <w:lang/>
        </w:rPr>
        <w:t>RTGS交收+T日日终逐笔全额非担保交收）处理；现金赎回业务中的现金替代采用代收代付处理；现金申购、</w:t>
      </w:r>
      <w:r w:rsidR="00DF603C">
        <w:rPr>
          <w:rFonts w:hint="eastAsia"/>
          <w:lang/>
        </w:rPr>
        <w:t>赎回业务涉及的现金差额和现金替代退补款采用代收代付处理。投资者</w:t>
      </w:r>
      <w:r>
        <w:rPr>
          <w:rFonts w:hint="eastAsia"/>
          <w:lang/>
        </w:rPr>
        <w:t>T日现金申购后，正常情况下，如选择采用　RTGS</w:t>
      </w:r>
      <w:r w:rsidR="00DF603C">
        <w:rPr>
          <w:rFonts w:hint="eastAsia"/>
          <w:lang/>
        </w:rPr>
        <w:t>交收且申购资金足额的，登记机构在</w:t>
      </w:r>
      <w:r>
        <w:rPr>
          <w:rFonts w:hint="eastAsia"/>
          <w:lang/>
        </w:rPr>
        <w:t>T日日间实时办理基金份额及现金替代的清算交收；T</w:t>
      </w:r>
      <w:r w:rsidR="00DF603C">
        <w:rPr>
          <w:rFonts w:hint="eastAsia"/>
          <w:lang/>
        </w:rPr>
        <w:t>日日间资金不足或不选择</w:t>
      </w:r>
      <w:r>
        <w:rPr>
          <w:rFonts w:hint="eastAsia"/>
          <w:lang/>
        </w:rPr>
        <w:t>RTGS</w:t>
      </w:r>
      <w:r w:rsidR="00DF603C">
        <w:rPr>
          <w:rFonts w:hint="eastAsia"/>
          <w:lang/>
        </w:rPr>
        <w:t>交收的，登记机构在</w:t>
      </w:r>
      <w:r>
        <w:rPr>
          <w:rFonts w:hint="eastAsia"/>
          <w:lang/>
        </w:rPr>
        <w:t>T日收市后办理基金份额及现金替代的清算交收，并将结</w:t>
      </w:r>
      <w:r w:rsidR="00DF603C">
        <w:rPr>
          <w:rFonts w:hint="eastAsia"/>
          <w:lang/>
        </w:rPr>
        <w:t>果发送给基金管理人、申购赎回代理券商和基金托管人。基金管理人在</w:t>
      </w:r>
      <w:r>
        <w:rPr>
          <w:rFonts w:hint="eastAsia"/>
          <w:lang/>
        </w:rPr>
        <w:t>T+1日办理现金差</w:t>
      </w:r>
      <w:r w:rsidR="00DF603C">
        <w:rPr>
          <w:rFonts w:hint="eastAsia"/>
          <w:lang/>
        </w:rPr>
        <w:t>额的清算，在</w:t>
      </w:r>
      <w:r>
        <w:rPr>
          <w:rFonts w:hint="eastAsia"/>
          <w:lang/>
        </w:rPr>
        <w:t>T+2日办理现金差额的交收。</w:t>
      </w:r>
      <w:r>
        <w:rPr>
          <w:rFonts w:hint="eastAsia"/>
          <w:lang/>
        </w:rPr>
        <w:br/>
      </w:r>
      <w:r w:rsidR="00DF603C">
        <w:rPr>
          <w:rFonts w:hint="eastAsia"/>
          <w:lang/>
        </w:rPr>
        <w:t xml:space="preserve">　　投资者</w:t>
      </w:r>
      <w:r>
        <w:rPr>
          <w:rFonts w:hint="eastAsia"/>
          <w:lang/>
        </w:rPr>
        <w:t>T</w:t>
      </w:r>
      <w:r w:rsidR="00DF603C">
        <w:rPr>
          <w:rFonts w:hint="eastAsia"/>
          <w:lang/>
        </w:rPr>
        <w:t>日提交的现金赎回申请受理后，登记机构在</w:t>
      </w:r>
      <w:r>
        <w:rPr>
          <w:rFonts w:hint="eastAsia"/>
          <w:lang/>
        </w:rPr>
        <w:t>T日为投资者办理基金份额的注销，并将结</w:t>
      </w:r>
      <w:r w:rsidR="00DF603C">
        <w:rPr>
          <w:rFonts w:hint="eastAsia"/>
          <w:lang/>
        </w:rPr>
        <w:t>果发送给基金管理人、申购赎回代理券商和基金托管人。基金管理人在</w:t>
      </w:r>
      <w:r>
        <w:rPr>
          <w:rFonts w:hint="eastAsia"/>
          <w:lang/>
        </w:rPr>
        <w:t>T+1</w:t>
      </w:r>
      <w:r w:rsidR="00DF603C">
        <w:rPr>
          <w:rFonts w:hint="eastAsia"/>
          <w:lang/>
        </w:rPr>
        <w:t>日办理现金差额的清算，在</w:t>
      </w:r>
      <w:r>
        <w:rPr>
          <w:rFonts w:hint="eastAsia"/>
          <w:lang/>
        </w:rPr>
        <w:t>T+2日办理现金差额的交收。现金赎回替代款的清算交收由基金管</w:t>
      </w:r>
      <w:r w:rsidR="00DF603C">
        <w:rPr>
          <w:rFonts w:hint="eastAsia"/>
          <w:lang/>
        </w:rPr>
        <w:t>理人和申购赎回代理券商协商处理，正常情况下，该款项的清算交收于</w:t>
      </w:r>
      <w:r>
        <w:rPr>
          <w:rFonts w:hint="eastAsia"/>
          <w:lang/>
        </w:rPr>
        <w:t>T+6日（指开放日）内办理。如遇国家外管局相关规定有变更或本基金投资的境外主要市场的交易清算规则有变更、基金投资的境外主要市场及外汇市场休市或暂停交易、登记公司系统故障、交易所或交易市场数据传输延迟、通讯系统故障、银行数据交换系统故障或其它非基金管理人及基金托管人所能控制的因素影响业务处理流程，则现金赎回替代款的支付时间可相应顺延。</w:t>
      </w:r>
      <w:r>
        <w:rPr>
          <w:rFonts w:hint="eastAsia"/>
          <w:lang/>
        </w:rPr>
        <w:br/>
        <w:t xml:space="preserve">　　如果登记机构和基金管理人在清算交收时发现不能正常履约的情形，则依据《深圳证券交易所证券投资基金交易和申购赎回实施细则》、《中国证券登记结算有限责任公司关于交易所交易型开放式证券投资基金登记结算业务实施细则》和参与各方相关协议的有关规定进行处理。</w:t>
      </w:r>
      <w:r>
        <w:rPr>
          <w:rFonts w:hint="eastAsia"/>
          <w:lang/>
        </w:rPr>
        <w:br/>
        <w:t xml:space="preserve">　　在法律法规允许的范围内，基金管理人在不损害基金份额持有人权益并不违背交易所和登记机构相关规则的情况下可更改上述程序。基金管理人必须在新规则开始实施前依照《信息披露办法》的有关规定在规定媒介上公告。</w:t>
      </w:r>
      <w:r>
        <w:rPr>
          <w:rFonts w:hint="eastAsia"/>
          <w:lang/>
        </w:rPr>
        <w:br/>
        <w:t xml:space="preserve">　　投资人应按照基金合同的约定和申购赎回代理券商的规定按时足额支付应付的现金差额和现金替代退补款。因投资人原因导致现金差额或现金替代退补款未能按时足额交收的，基金管理人有权为基金的利益向该投资人追偿并要求其承担由此导致的其他基金份额持有人或基金资产的损失。</w:t>
      </w:r>
      <w:r>
        <w:rPr>
          <w:rFonts w:hint="eastAsia"/>
          <w:lang/>
        </w:rPr>
        <w:br/>
        <w:t xml:space="preserve">　　（三）申购和赎回的对价、费用及其用途</w:t>
      </w:r>
      <w:r>
        <w:rPr>
          <w:rFonts w:hint="eastAsia"/>
          <w:lang/>
        </w:rPr>
        <w:br/>
        <w:t xml:space="preserve">　　1、申购对价、赎回对价根据申购赎回清单和投资人申购、赎回的基金份额数额确定。申购对价是指投资人申购基金份额时应交付的现金替代、现金差额及其他对价。赎回对价是指基金份额持有人赎回基金份额时，基金管理人应交付的现金替代、现金差额及其他对价。申购赎回清单由基金管理人编制。T日的申购赎回清单在当日深圳证券交易所开市前公告。未来，若市场情况发生变化，或相关业务规则发生变化，基金管理人可以在不违反相关法律法规的情况下对申购赎回清单计算和公告时间进行调整并提前公告。</w:t>
      </w:r>
      <w:r>
        <w:rPr>
          <w:rFonts w:hint="eastAsia"/>
          <w:lang/>
        </w:rPr>
        <w:br/>
        <w:t xml:space="preserve">　　2、T</w:t>
      </w:r>
      <w:r w:rsidR="00DF603C">
        <w:rPr>
          <w:rFonts w:hint="eastAsia"/>
          <w:lang/>
        </w:rPr>
        <w:t>日的基金份额净值在当天收市后计算，并在</w:t>
      </w:r>
      <w:r>
        <w:rPr>
          <w:rFonts w:hint="eastAsia"/>
          <w:lang/>
        </w:rPr>
        <w:t>T+1日内公告，计算公式为计算日基金资产净值除以计算日发售在外的基金份额总</w:t>
      </w:r>
      <w:r w:rsidR="00DF603C">
        <w:rPr>
          <w:rFonts w:hint="eastAsia"/>
          <w:lang/>
        </w:rPr>
        <w:t>数，精确到</w:t>
      </w:r>
      <w:r>
        <w:rPr>
          <w:rFonts w:hint="eastAsia"/>
          <w:lang/>
        </w:rPr>
        <w:t>0.0001</w:t>
      </w:r>
      <w:r w:rsidR="00DF603C">
        <w:rPr>
          <w:rFonts w:hint="eastAsia"/>
          <w:lang/>
        </w:rPr>
        <w:t>元，小数点后第</w:t>
      </w:r>
      <w:r>
        <w:rPr>
          <w:rFonts w:hint="eastAsia"/>
          <w:lang/>
        </w:rPr>
        <w:t>5位四舍五入。如遇特殊情况，经履行适当程序，可以适当延迟计算或公告。</w:t>
      </w:r>
      <w:r>
        <w:rPr>
          <w:rFonts w:hint="eastAsia"/>
          <w:lang/>
        </w:rPr>
        <w:br/>
        <w:t xml:space="preserve">　　（四）其他</w:t>
      </w:r>
      <w:r>
        <w:rPr>
          <w:rFonts w:hint="eastAsia"/>
          <w:lang/>
        </w:rPr>
        <w:br/>
        <w:t xml:space="preserve">　　1、本公告仅对本基金场内份额开放日常申购和赎回业务的有关事项予以说明，投资者欲了解本基金的详细情况，请仔细阅读《</w:t>
      </w:r>
      <w:r w:rsidR="00DF603C">
        <w:rPr>
          <w:rFonts w:hint="eastAsia"/>
          <w:lang/>
        </w:rPr>
        <w:t>工银瑞信大和日经</w:t>
      </w:r>
      <w:r>
        <w:rPr>
          <w:rFonts w:hint="eastAsia"/>
          <w:lang/>
        </w:rPr>
        <w:t>225交易型开放式指数证券投资基金（QDII</w:t>
      </w:r>
      <w:r w:rsidR="00DF603C">
        <w:rPr>
          <w:rFonts w:hint="eastAsia"/>
          <w:lang/>
        </w:rPr>
        <w:t>）基金合同》和《工银瑞信大和日经</w:t>
      </w:r>
      <w:r>
        <w:rPr>
          <w:rFonts w:hint="eastAsia"/>
          <w:lang/>
        </w:rPr>
        <w:t>225交易型开放式指数证券投资基金（QDII）招募说明书》。有关本基金上市交易事宜本公司将另行公告。</w:t>
      </w:r>
      <w:r>
        <w:rPr>
          <w:rFonts w:hint="eastAsia"/>
          <w:lang/>
        </w:rPr>
        <w:br/>
        <w:t xml:space="preserve">　　2、如有任何疑问，欢迎与我们联系：</w:t>
      </w:r>
      <w:r>
        <w:rPr>
          <w:rFonts w:hint="eastAsia"/>
          <w:lang/>
        </w:rPr>
        <w:br/>
        <w:t xml:space="preserve">　　客户服务中心电话：400-811-9999</w:t>
      </w:r>
      <w:r>
        <w:rPr>
          <w:rFonts w:hint="eastAsia"/>
          <w:lang/>
        </w:rPr>
        <w:br/>
        <w:t xml:space="preserve">　　电子邮件地址：customerservice@icbccs.com.cn</w:t>
      </w:r>
      <w:r>
        <w:rPr>
          <w:rFonts w:hint="eastAsia"/>
          <w:lang/>
        </w:rPr>
        <w:br/>
        <w:t xml:space="preserve">　　3、风险提示：本基金管理人承诺以诚实信用、勤勉尽责的原则管理和运用基金资产，但不保证基金一定盈利，也不保证最低收益。敬请投资者于投资前认真阅读本基金的《基金产品资料概要》、《基金合同》和《招募说明书》。</w:t>
      </w:r>
      <w:bookmarkEnd w:id="11"/>
      <w:bookmarkEnd w:id="12"/>
      <w:bookmarkEnd w:id="23"/>
      <w:bookmarkEnd w:id="24"/>
      <w:bookmarkEnd w:id="25"/>
      <w:bookmarkEnd w:id="26"/>
    </w:p>
    <w:p w:rsidR="00D80EF4" w:rsidRPr="00E11858" w:rsidRDefault="00D80EF4">
      <w:pPr>
        <w:spacing w:line="360" w:lineRule="auto"/>
        <w:ind w:firstLineChars="600" w:firstLine="1446"/>
        <w:jc w:val="left"/>
        <w:rPr>
          <w:rFonts w:hint="eastAsia"/>
          <w:lang/>
        </w:rPr>
      </w:pPr>
      <w:r>
        <w:rPr>
          <w:rFonts w:hint="eastAsia"/>
          <w:b/>
          <w:bCs/>
          <w:sz w:val="24"/>
          <w:szCs w:val="30"/>
        </w:rPr>
        <w:t xml:space="preserve">　 </w:t>
      </w:r>
    </w:p>
    <w:p w:rsidR="00D80EF4" w:rsidRPr="00E11858" w:rsidRDefault="00D80EF4">
      <w:pPr>
        <w:spacing w:line="360" w:lineRule="auto"/>
        <w:ind w:firstLineChars="600" w:firstLine="1260"/>
        <w:jc w:val="left"/>
        <w:rPr>
          <w:rFonts w:hint="eastAsia"/>
          <w:lang/>
        </w:rPr>
      </w:pPr>
      <w:r w:rsidRPr="00E11858">
        <w:rPr>
          <w:rFonts w:hint="eastAsia"/>
          <w:lang/>
        </w:rPr>
        <w:t xml:space="preserve">　 </w:t>
      </w:r>
    </w:p>
    <w:p w:rsidR="00D80EF4" w:rsidRDefault="00D80EF4">
      <w:pPr>
        <w:spacing w:line="360" w:lineRule="auto"/>
        <w:ind w:firstLineChars="600" w:firstLine="1260"/>
        <w:jc w:val="right"/>
        <w:rPr>
          <w:rFonts w:hint="eastAsia"/>
          <w:lang/>
        </w:rPr>
      </w:pPr>
      <w:r w:rsidRPr="00E11858">
        <w:rPr>
          <w:rFonts w:hint="eastAsia"/>
          <w:lang/>
        </w:rPr>
        <w:t>工银瑞信基金管理有限公司</w:t>
      </w:r>
    </w:p>
    <w:p w:rsidR="00D80EF4" w:rsidRDefault="00D80EF4">
      <w:pPr>
        <w:spacing w:line="360" w:lineRule="auto"/>
        <w:ind w:firstLineChars="600" w:firstLine="1260"/>
        <w:jc w:val="right"/>
        <w:rPr>
          <w:rFonts w:hint="eastAsia"/>
          <w:lang/>
        </w:rPr>
      </w:pPr>
      <w:r w:rsidRPr="00E11858">
        <w:rPr>
          <w:rFonts w:hint="eastAsia"/>
          <w:lang/>
        </w:rPr>
        <w:t>2021年4月2日</w:t>
      </w:r>
      <w:bookmarkEnd w:id="27"/>
    </w:p>
    <w:sectPr w:rsidR="00D80EF4">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1AB" w:rsidRDefault="00B751AB">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B751AB" w:rsidRDefault="00B751AB">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EF4" w:rsidRDefault="00D80EF4">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DF2A82">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DF2A82">
      <w:rPr>
        <w:noProof/>
        <w:sz w:val="18"/>
        <w:szCs w:val="18"/>
      </w:rPr>
      <w:t>4</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1AB" w:rsidRDefault="00B751AB">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B751AB" w:rsidRDefault="00B751AB">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EF4" w:rsidRDefault="00D80EF4">
    <w:pPr>
      <w:pStyle w:val="a8"/>
      <w:jc w:val="right"/>
      <w:rPr>
        <w:rFonts w:hint="eastAsia"/>
      </w:rPr>
    </w:pPr>
    <w:r>
      <w:rPr>
        <w:rFonts w:hint="eastAsia"/>
      </w:rPr>
      <w:t>工银瑞信大和日经225交易型开放式指数证券投资基金（QDII）开放日常申购、赎回业务的公告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24A63880"/>
    <w:lvl w:ilvl="0">
      <w:start w:val="1"/>
      <w:numFmt w:val="decimal"/>
      <w:pStyle w:val="XBRLTitle1"/>
      <w:suff w:val="space"/>
      <w:lvlText w:val="%1"/>
      <w:lvlJc w:val="left"/>
      <w:pPr>
        <w:ind w:left="425" w:hanging="425"/>
      </w:pPr>
      <w:rPr>
        <w:sz w:val="24"/>
        <w:szCs w:val="24"/>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6084"/>
    <w:rsid w:val="000A42A2"/>
    <w:rsid w:val="0028267A"/>
    <w:rsid w:val="002D697C"/>
    <w:rsid w:val="00371B9E"/>
    <w:rsid w:val="00497AF4"/>
    <w:rsid w:val="004E6406"/>
    <w:rsid w:val="00560933"/>
    <w:rsid w:val="005C6084"/>
    <w:rsid w:val="006C1485"/>
    <w:rsid w:val="00773031"/>
    <w:rsid w:val="007876A3"/>
    <w:rsid w:val="007C7FC6"/>
    <w:rsid w:val="007F31D3"/>
    <w:rsid w:val="009114F6"/>
    <w:rsid w:val="00AB4E04"/>
    <w:rsid w:val="00AD156E"/>
    <w:rsid w:val="00B751AB"/>
    <w:rsid w:val="00D025A4"/>
    <w:rsid w:val="00D5146D"/>
    <w:rsid w:val="00D719E0"/>
    <w:rsid w:val="00D80EF4"/>
    <w:rsid w:val="00DF2A82"/>
    <w:rsid w:val="00DF603C"/>
    <w:rsid w:val="00E11858"/>
    <w:rsid w:val="00EE6039"/>
    <w:rsid w:val="00FC1610"/>
    <w:rsid w:val="00FF67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12">
    <w:name w:val="toc 1"/>
    <w:basedOn w:val="a"/>
    <w:next w:val="a"/>
    <w:autoRedefine/>
    <w:uiPriority w:val="39"/>
    <w:semiHidden/>
    <w:unhideWhenUsed/>
    <w:pPr>
      <w:tabs>
        <w:tab w:val="right" w:leader="dot" w:pos="8835"/>
      </w:tabs>
    </w:pPr>
    <w:rPr>
      <w:noProof/>
    </w:rPr>
  </w:style>
  <w:style w:type="paragraph" w:styleId="22">
    <w:name w:val="toc 2"/>
    <w:basedOn w:val="a"/>
    <w:next w:val="a"/>
    <w:autoRedefine/>
    <w:uiPriority w:val="39"/>
    <w:semiHidden/>
    <w:unhideWhenUsed/>
    <w:pPr>
      <w:ind w:leftChars="200" w:left="420"/>
    </w:pPr>
  </w:style>
  <w:style w:type="paragraph" w:styleId="32">
    <w:name w:val="toc 3"/>
    <w:basedOn w:val="a"/>
    <w:next w:val="a"/>
    <w:autoRedefine/>
    <w:uiPriority w:val="39"/>
    <w:semiHidden/>
    <w:unhideWhenUsed/>
    <w:pPr>
      <w:ind w:leftChars="200" w:left="420"/>
    </w:pPr>
  </w:style>
  <w:style w:type="paragraph" w:styleId="a6">
    <w:name w:val="footnote text"/>
    <w:basedOn w:val="a"/>
    <w:link w:val="13"/>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3"/>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4"/>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5"/>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6"/>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7"/>
    <w:rPr>
      <w:sz w:val="32"/>
      <w:lang/>
    </w:rPr>
  </w:style>
  <w:style w:type="character" w:customStyle="1" w:styleId="af1">
    <w:name w:val="日期 字符"/>
    <w:link w:val="af0"/>
    <w:locked/>
    <w:rPr>
      <w:kern w:val="2"/>
      <w:sz w:val="21"/>
    </w:rPr>
  </w:style>
  <w:style w:type="paragraph" w:styleId="af2">
    <w:name w:val="Document Map"/>
    <w:basedOn w:val="a"/>
    <w:link w:val="18"/>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9"/>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left"/>
    </w:pPr>
    <w:rPr>
      <w:rFonts w:hAnsi="Cambria"/>
      <w:sz w:val="24"/>
      <w:szCs w:val="32"/>
    </w:rPr>
  </w:style>
  <w:style w:type="paragraph" w:customStyle="1" w:styleId="XBRLTitle2">
    <w:name w:val="XBRLTitle2"/>
    <w:basedOn w:val="ae"/>
    <w:next w:val="4"/>
    <w:qFormat/>
    <w:pPr>
      <w:keepNext w:val="0"/>
      <w:keepLines w:val="0"/>
      <w:numPr>
        <w:ilvl w:val="1"/>
        <w:numId w:val="2"/>
      </w:numPr>
      <w:spacing w:beforeLines="50" w:after="0" w:line="240" w:lineRule="auto"/>
    </w:pPr>
    <w:rPr>
      <w:rFonts w:ascii="宋体"/>
      <w:bCs/>
    </w:rPr>
  </w:style>
  <w:style w:type="paragraph" w:customStyle="1" w:styleId="XBRLTitle5">
    <w:name w:val="XBRLTitle5"/>
    <w:basedOn w:val="ae"/>
    <w:next w:val="4"/>
    <w:qFormat/>
    <w:pPr>
      <w:numPr>
        <w:ilvl w:val="4"/>
        <w:numId w:val="2"/>
      </w:numPr>
      <w:spacing w:beforeLines="50" w:after="0" w:line="240" w:lineRule="auto"/>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3">
    <w:name w:val="脚注文本 字符1"/>
    <w:link w:val="a6"/>
    <w:locked/>
    <w:rPr>
      <w:kern w:val="2"/>
      <w:sz w:val="18"/>
      <w:szCs w:val="18"/>
    </w:rPr>
  </w:style>
  <w:style w:type="character" w:customStyle="1" w:styleId="23">
    <w:name w:val="页眉 字符2"/>
    <w:link w:val="a8"/>
    <w:locked/>
    <w:rPr>
      <w:kern w:val="2"/>
      <w:sz w:val="18"/>
      <w:szCs w:val="18"/>
    </w:rPr>
  </w:style>
  <w:style w:type="character" w:customStyle="1" w:styleId="14">
    <w:name w:val="页脚 字符1"/>
    <w:link w:val="aa"/>
    <w:uiPriority w:val="99"/>
    <w:locked/>
    <w:rPr>
      <w:kern w:val="2"/>
      <w:sz w:val="18"/>
      <w:szCs w:val="18"/>
    </w:rPr>
  </w:style>
  <w:style w:type="character" w:customStyle="1" w:styleId="15">
    <w:name w:val="标题 字符1"/>
    <w:link w:val="ac"/>
    <w:uiPriority w:val="10"/>
    <w:locked/>
    <w:rPr>
      <w:rFonts w:ascii="Cambria" w:hAnsi="Cambria" w:cs="宋体" w:hint="default"/>
      <w:b/>
      <w:bCs/>
      <w:sz w:val="32"/>
      <w:szCs w:val="32"/>
    </w:rPr>
  </w:style>
  <w:style w:type="character" w:customStyle="1" w:styleId="16">
    <w:name w:val="副标题 字符1"/>
    <w:link w:val="ae"/>
    <w:locked/>
    <w:rPr>
      <w:rFonts w:ascii="Cambria" w:eastAsia="宋体" w:hAnsi="Cambria" w:cs="宋体" w:hint="default"/>
      <w:b/>
      <w:bCs w:val="0"/>
      <w:kern w:val="24"/>
      <w:sz w:val="24"/>
      <w:szCs w:val="32"/>
    </w:rPr>
  </w:style>
  <w:style w:type="character" w:customStyle="1" w:styleId="17">
    <w:name w:val="日期 字符1"/>
    <w:link w:val="af0"/>
    <w:locked/>
    <w:rPr>
      <w:rFonts w:ascii="宋体" w:eastAsia="宋体" w:hAnsi="宋体" w:hint="eastAsia"/>
      <w:kern w:val="2"/>
      <w:sz w:val="32"/>
    </w:rPr>
  </w:style>
  <w:style w:type="character" w:customStyle="1" w:styleId="18">
    <w:name w:val="文档结构图 字符1"/>
    <w:link w:val="af2"/>
    <w:locked/>
    <w:rPr>
      <w:rFonts w:ascii="宋体" w:eastAsia="宋体" w:hAnsi="宋体" w:hint="eastAsia"/>
      <w:kern w:val="2"/>
      <w:sz w:val="18"/>
      <w:szCs w:val="18"/>
    </w:rPr>
  </w:style>
  <w:style w:type="character" w:customStyle="1" w:styleId="19">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a">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 w:type="character" w:styleId="af9">
    <w:name w:val="annotation reference"/>
    <w:uiPriority w:val="99"/>
    <w:semiHidden/>
    <w:unhideWhenUsed/>
    <w:rsid w:val="00DF603C"/>
    <w:rPr>
      <w:sz w:val="21"/>
      <w:szCs w:val="21"/>
    </w:rPr>
  </w:style>
  <w:style w:type="paragraph" w:styleId="afa">
    <w:name w:val="annotation text"/>
    <w:basedOn w:val="a"/>
    <w:link w:val="afb"/>
    <w:uiPriority w:val="99"/>
    <w:semiHidden/>
    <w:unhideWhenUsed/>
    <w:rsid w:val="00DF603C"/>
    <w:pPr>
      <w:jc w:val="left"/>
    </w:pPr>
  </w:style>
  <w:style w:type="character" w:customStyle="1" w:styleId="afb">
    <w:name w:val="批注文字 字符"/>
    <w:link w:val="afa"/>
    <w:uiPriority w:val="99"/>
    <w:semiHidden/>
    <w:rsid w:val="00DF603C"/>
    <w:rPr>
      <w:rFonts w:cs="宋体"/>
      <w:kern w:val="2"/>
      <w:sz w:val="21"/>
    </w:rPr>
  </w:style>
  <w:style w:type="paragraph" w:styleId="afc">
    <w:name w:val="annotation subject"/>
    <w:basedOn w:val="afa"/>
    <w:next w:val="afa"/>
    <w:link w:val="afd"/>
    <w:uiPriority w:val="99"/>
    <w:semiHidden/>
    <w:unhideWhenUsed/>
    <w:rsid w:val="00DF603C"/>
    <w:rPr>
      <w:b/>
      <w:bCs/>
    </w:rPr>
  </w:style>
  <w:style w:type="character" w:customStyle="1" w:styleId="afd">
    <w:name w:val="批注主题 字符"/>
    <w:link w:val="afc"/>
    <w:uiPriority w:val="99"/>
    <w:semiHidden/>
    <w:rsid w:val="00DF603C"/>
    <w:rPr>
      <w:rFonts w:cs="宋体"/>
      <w:b/>
      <w:bCs/>
      <w:kern w:val="2"/>
      <w:sz w:val="21"/>
    </w:rPr>
  </w:style>
  <w:style w:type="paragraph" w:styleId="afe">
    <w:name w:val="List Paragraph"/>
    <w:basedOn w:val="a"/>
    <w:uiPriority w:val="34"/>
    <w:qFormat/>
    <w:rsid w:val="00773031"/>
    <w:pPr>
      <w:ind w:firstLineChars="200" w:firstLine="420"/>
    </w:pPr>
    <w:rPr>
      <w:rFonts w:ascii="Calibri" w:hAnsi="Calibri" w:cs="Times New Roman"/>
      <w:szCs w:val="22"/>
    </w:rPr>
  </w:style>
</w:styles>
</file>

<file path=word/webSettings.xml><?xml version="1.0" encoding="utf-8"?>
<w:webSettings xmlns:r="http://schemas.openxmlformats.org/officeDocument/2006/relationships" xmlns:w="http://schemas.openxmlformats.org/wordprocessingml/2006/main">
  <w:divs>
    <w:div w:id="1211069581">
      <w:marLeft w:val="0"/>
      <w:marRight w:val="0"/>
      <w:marTop w:val="0"/>
      <w:marBottom w:val="0"/>
      <w:divBdr>
        <w:top w:val="none" w:sz="0" w:space="0" w:color="auto"/>
        <w:left w:val="none" w:sz="0" w:space="0" w:color="auto"/>
        <w:bottom w:val="none" w:sz="0" w:space="0" w:color="auto"/>
        <w:right w:val="none" w:sz="0" w:space="0" w:color="auto"/>
      </w:divBdr>
    </w:div>
    <w:div w:id="213825714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A8DE-656D-4D08-B3C3-60DDEF11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3815</Characters>
  <Application>Microsoft Office Word</Application>
  <DocSecurity>4</DocSecurity>
  <Lines>31</Lines>
  <Paragraphs>8</Paragraphs>
  <ScaleCrop>false</ScaleCrop>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cp:lastPrinted>2021-04-01T06:08:00Z</cp:lastPrinted>
  <dcterms:created xsi:type="dcterms:W3CDTF">2021-04-01T16:02:00Z</dcterms:created>
  <dcterms:modified xsi:type="dcterms:W3CDTF">2021-04-01T16:02:00Z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