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68" w:rsidRDefault="00B63A68" w:rsidP="00341AED">
      <w:pPr>
        <w:autoSpaceDE w:val="0"/>
        <w:autoSpaceDN w:val="0"/>
        <w:adjustRightInd w:val="0"/>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泰信基金管理有限公司</w:t>
      </w:r>
    </w:p>
    <w:p w:rsidR="00B63A68" w:rsidRDefault="00B63A68" w:rsidP="00341AED">
      <w:pPr>
        <w:autoSpaceDE w:val="0"/>
        <w:autoSpaceDN w:val="0"/>
        <w:adjustRightInd w:val="0"/>
        <w:ind w:firstLineChars="200" w:firstLine="560"/>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关于新增</w:t>
      </w:r>
      <w:r w:rsidR="002D085A">
        <w:rPr>
          <w:rFonts w:ascii="仿宋" w:eastAsia="仿宋" w:hAnsi="仿宋" w:cs="宋体" w:hint="eastAsia"/>
          <w:b/>
          <w:color w:val="000000"/>
          <w:kern w:val="0"/>
          <w:sz w:val="28"/>
          <w:szCs w:val="28"/>
        </w:rPr>
        <w:t>甬兴证券</w:t>
      </w:r>
      <w:r w:rsidR="006519D4" w:rsidRPr="006519D4">
        <w:rPr>
          <w:rFonts w:ascii="仿宋" w:eastAsia="仿宋" w:hAnsi="仿宋" w:cs="宋体"/>
          <w:b/>
          <w:color w:val="000000"/>
          <w:kern w:val="0"/>
          <w:sz w:val="28"/>
          <w:szCs w:val="28"/>
        </w:rPr>
        <w:t>有限公司</w:t>
      </w:r>
      <w:r w:rsidR="0048643B">
        <w:rPr>
          <w:rFonts w:ascii="仿宋" w:eastAsia="仿宋" w:hAnsi="仿宋" w:cs="宋体" w:hint="eastAsia"/>
          <w:b/>
          <w:color w:val="000000"/>
          <w:kern w:val="0"/>
          <w:sz w:val="28"/>
          <w:szCs w:val="28"/>
        </w:rPr>
        <w:t>为销售机构并开通</w:t>
      </w:r>
      <w:r w:rsidR="00E775A4">
        <w:rPr>
          <w:rFonts w:ascii="仿宋" w:eastAsia="仿宋" w:hAnsi="仿宋" w:cs="宋体" w:hint="eastAsia"/>
          <w:b/>
          <w:color w:val="000000"/>
          <w:kern w:val="0"/>
          <w:sz w:val="28"/>
          <w:szCs w:val="28"/>
        </w:rPr>
        <w:t>定投、</w:t>
      </w:r>
      <w:r w:rsidR="0048643B">
        <w:rPr>
          <w:rFonts w:ascii="仿宋" w:eastAsia="仿宋" w:hAnsi="仿宋" w:cs="宋体" w:hint="eastAsia"/>
          <w:b/>
          <w:color w:val="000000"/>
          <w:kern w:val="0"/>
          <w:sz w:val="28"/>
          <w:szCs w:val="28"/>
        </w:rPr>
        <w:t>转换业务及参加其</w:t>
      </w:r>
      <w:r>
        <w:rPr>
          <w:rFonts w:ascii="仿宋" w:eastAsia="仿宋" w:hAnsi="仿宋" w:cs="宋体" w:hint="eastAsia"/>
          <w:b/>
          <w:color w:val="000000"/>
          <w:kern w:val="0"/>
          <w:sz w:val="28"/>
          <w:szCs w:val="28"/>
        </w:rPr>
        <w:t>费率优惠活动的公告</w:t>
      </w:r>
    </w:p>
    <w:p w:rsidR="00B63A68" w:rsidRPr="00483099" w:rsidRDefault="00B63A68" w:rsidP="00176289">
      <w:pPr>
        <w:pStyle w:val="Default"/>
        <w:spacing w:line="360" w:lineRule="auto"/>
        <w:ind w:firstLineChars="200" w:firstLine="480"/>
        <w:rPr>
          <w:rFonts w:ascii="仿宋" w:eastAsia="仿宋" w:hAnsi="仿宋"/>
          <w:szCs w:val="28"/>
        </w:rPr>
      </w:pPr>
      <w:r w:rsidRPr="00483099">
        <w:rPr>
          <w:rFonts w:ascii="仿宋" w:eastAsia="仿宋" w:hAnsi="仿宋" w:hint="eastAsia"/>
          <w:szCs w:val="28"/>
        </w:rPr>
        <w:t>根据泰信基金管理有限公司（以下简称“本公司”）与</w:t>
      </w:r>
      <w:r w:rsidR="002D085A" w:rsidRPr="002D085A">
        <w:rPr>
          <w:rFonts w:ascii="仿宋" w:eastAsia="仿宋" w:hAnsi="仿宋" w:hint="eastAsia"/>
          <w:szCs w:val="28"/>
        </w:rPr>
        <w:t>甬兴证券有限公司</w:t>
      </w:r>
      <w:r w:rsidRPr="00483099">
        <w:rPr>
          <w:rFonts w:ascii="仿宋" w:eastAsia="仿宋" w:hAnsi="仿宋" w:hint="eastAsia"/>
          <w:szCs w:val="28"/>
        </w:rPr>
        <w:t>（以下简称“</w:t>
      </w:r>
      <w:r w:rsidR="002D085A" w:rsidRPr="002D085A">
        <w:rPr>
          <w:rFonts w:ascii="仿宋" w:eastAsia="仿宋" w:hAnsi="仿宋" w:hint="eastAsia"/>
          <w:szCs w:val="28"/>
        </w:rPr>
        <w:t>甬兴证券</w:t>
      </w:r>
      <w:r w:rsidRPr="00483099">
        <w:rPr>
          <w:rFonts w:ascii="仿宋" w:eastAsia="仿宋" w:hAnsi="仿宋" w:hint="eastAsia"/>
          <w:szCs w:val="28"/>
        </w:rPr>
        <w:t>”）签署的相关协议，自</w:t>
      </w:r>
      <w:r w:rsidR="006737AE">
        <w:rPr>
          <w:rFonts w:ascii="仿宋" w:eastAsia="仿宋" w:hAnsi="仿宋" w:hint="eastAsia"/>
          <w:szCs w:val="28"/>
        </w:rPr>
        <w:t>2021</w:t>
      </w:r>
      <w:r w:rsidRPr="00483099">
        <w:rPr>
          <w:rFonts w:ascii="仿宋" w:eastAsia="仿宋" w:hAnsi="仿宋" w:hint="eastAsia"/>
          <w:szCs w:val="28"/>
        </w:rPr>
        <w:t>年</w:t>
      </w:r>
      <w:r w:rsidR="007A49FC">
        <w:rPr>
          <w:rFonts w:ascii="仿宋" w:eastAsia="仿宋" w:hAnsi="仿宋" w:hint="eastAsia"/>
          <w:szCs w:val="28"/>
        </w:rPr>
        <w:t>4</w:t>
      </w:r>
      <w:r w:rsidRPr="00FC60B5">
        <w:rPr>
          <w:rFonts w:ascii="仿宋" w:eastAsia="仿宋" w:hAnsi="仿宋" w:hint="eastAsia"/>
          <w:szCs w:val="28"/>
        </w:rPr>
        <w:t>月</w:t>
      </w:r>
      <w:r w:rsidR="007A49FC">
        <w:rPr>
          <w:rFonts w:ascii="仿宋" w:eastAsia="仿宋" w:hAnsi="仿宋"/>
          <w:szCs w:val="28"/>
        </w:rPr>
        <w:t>6</w:t>
      </w:r>
      <w:r w:rsidRPr="00FC60B5">
        <w:rPr>
          <w:rFonts w:ascii="仿宋" w:eastAsia="仿宋" w:hAnsi="仿宋" w:hint="eastAsia"/>
          <w:szCs w:val="28"/>
        </w:rPr>
        <w:t>日起</w:t>
      </w:r>
      <w:r w:rsidRPr="00483099">
        <w:rPr>
          <w:rFonts w:ascii="仿宋" w:eastAsia="仿宋" w:hAnsi="仿宋" w:hint="eastAsia"/>
          <w:szCs w:val="28"/>
        </w:rPr>
        <w:t>本公司旗下部分开放式基金新增</w:t>
      </w:r>
      <w:r w:rsidR="002D085A" w:rsidRPr="002D085A">
        <w:rPr>
          <w:rFonts w:ascii="仿宋" w:eastAsia="仿宋" w:hAnsi="仿宋" w:hint="eastAsia"/>
          <w:szCs w:val="28"/>
        </w:rPr>
        <w:t>甬兴证券</w:t>
      </w:r>
      <w:r w:rsidR="00176289">
        <w:rPr>
          <w:rFonts w:ascii="仿宋" w:eastAsia="仿宋" w:hAnsi="仿宋" w:hint="eastAsia"/>
          <w:szCs w:val="28"/>
        </w:rPr>
        <w:t>为销售机构并开通转换、定投业务及参加其</w:t>
      </w:r>
      <w:r w:rsidRPr="00483099">
        <w:rPr>
          <w:rFonts w:ascii="仿宋" w:eastAsia="仿宋" w:hAnsi="仿宋" w:hint="eastAsia"/>
          <w:szCs w:val="28"/>
        </w:rPr>
        <w:t>费率优惠活动。具体业务情况如下：</w:t>
      </w:r>
    </w:p>
    <w:p w:rsidR="00B63A68" w:rsidRPr="00483099" w:rsidRDefault="00B63A68" w:rsidP="00B63A68">
      <w:pPr>
        <w:pStyle w:val="Default"/>
        <w:ind w:firstLineChars="200" w:firstLine="480"/>
        <w:rPr>
          <w:rFonts w:ascii="仿宋" w:eastAsia="仿宋" w:hAnsi="仿宋"/>
          <w:szCs w:val="28"/>
        </w:rPr>
      </w:pPr>
      <w:r w:rsidRPr="00483099">
        <w:rPr>
          <w:rFonts w:ascii="仿宋" w:eastAsia="仿宋" w:hAnsi="仿宋" w:hint="eastAsia"/>
          <w:szCs w:val="28"/>
        </w:rPr>
        <w:t>适用基金范围及业务开通情况：</w:t>
      </w:r>
    </w:p>
    <w:tbl>
      <w:tblPr>
        <w:tblW w:w="7083" w:type="dxa"/>
        <w:jc w:val="center"/>
        <w:tblLook w:val="04A0"/>
      </w:tblPr>
      <w:tblGrid>
        <w:gridCol w:w="2625"/>
        <w:gridCol w:w="2460"/>
        <w:gridCol w:w="901"/>
        <w:gridCol w:w="1097"/>
      </w:tblGrid>
      <w:tr w:rsidR="00FC60B5" w:rsidRPr="000733C6" w:rsidTr="00FC60B5">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bookmarkStart w:id="0" w:name="_GoBack"/>
            <w:r w:rsidRPr="000733C6">
              <w:rPr>
                <w:rFonts w:ascii="仿宋" w:eastAsia="仿宋" w:hAnsi="仿宋" w:cs="宋体" w:hint="eastAsia"/>
                <w:color w:val="000000"/>
                <w:kern w:val="0"/>
                <w:szCs w:val="21"/>
              </w:rPr>
              <w:t>基金名称</w:t>
            </w:r>
          </w:p>
        </w:tc>
        <w:tc>
          <w:tcPr>
            <w:tcW w:w="2460" w:type="dxa"/>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基金代码</w:t>
            </w:r>
          </w:p>
        </w:tc>
        <w:tc>
          <w:tcPr>
            <w:tcW w:w="901" w:type="dxa"/>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转换</w:t>
            </w:r>
          </w:p>
        </w:tc>
        <w:tc>
          <w:tcPr>
            <w:tcW w:w="1097" w:type="dxa"/>
            <w:tcBorders>
              <w:top w:val="single" w:sz="4" w:space="0" w:color="auto"/>
              <w:left w:val="nil"/>
              <w:bottom w:val="single" w:sz="4" w:space="0" w:color="auto"/>
              <w:right w:val="single" w:sz="4" w:space="0" w:color="auto"/>
            </w:tcBorders>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定投</w:t>
            </w:r>
          </w:p>
        </w:tc>
      </w:tr>
      <w:tr w:rsidR="00FC60B5" w:rsidRPr="000733C6" w:rsidTr="00FC60B5">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泰信天天收益货币A</w:t>
            </w:r>
          </w:p>
        </w:tc>
        <w:tc>
          <w:tcPr>
            <w:tcW w:w="2460" w:type="dxa"/>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290001</w:t>
            </w:r>
          </w:p>
        </w:tc>
        <w:tc>
          <w:tcPr>
            <w:tcW w:w="901" w:type="dxa"/>
            <w:vMerge w:val="restart"/>
            <w:tcBorders>
              <w:top w:val="single" w:sz="4" w:space="0" w:color="auto"/>
              <w:left w:val="nil"/>
              <w:bottom w:val="single" w:sz="4" w:space="0" w:color="auto"/>
              <w:right w:val="single" w:sz="4" w:space="0" w:color="auto"/>
            </w:tcBorders>
            <w:vAlign w:val="center"/>
          </w:tcPr>
          <w:p w:rsidR="00FC60B5" w:rsidRPr="000733C6" w:rsidRDefault="00FC60B5" w:rsidP="00440AFD">
            <w:pPr>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是</w:t>
            </w:r>
          </w:p>
        </w:tc>
        <w:tc>
          <w:tcPr>
            <w:tcW w:w="1097" w:type="dxa"/>
            <w:tcBorders>
              <w:top w:val="single" w:sz="4" w:space="0" w:color="auto"/>
              <w:left w:val="nil"/>
              <w:bottom w:val="single" w:sz="4" w:space="0" w:color="auto"/>
              <w:right w:val="single" w:sz="4" w:space="0" w:color="auto"/>
            </w:tcBorders>
            <w:vAlign w:val="center"/>
          </w:tcPr>
          <w:p w:rsidR="00FC60B5" w:rsidRPr="000733C6" w:rsidRDefault="00FC60B5" w:rsidP="00440AFD">
            <w:pPr>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10</w:t>
            </w:r>
          </w:p>
        </w:tc>
      </w:tr>
      <w:tr w:rsidR="00FC60B5" w:rsidRPr="000733C6" w:rsidTr="00FC60B5">
        <w:trPr>
          <w:trHeight w:val="270"/>
          <w:jc w:val="center"/>
        </w:trPr>
        <w:tc>
          <w:tcPr>
            <w:tcW w:w="2625" w:type="dxa"/>
            <w:tcBorders>
              <w:top w:val="single" w:sz="4" w:space="0" w:color="auto"/>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泰信天天收益货币B</w:t>
            </w:r>
          </w:p>
        </w:tc>
        <w:tc>
          <w:tcPr>
            <w:tcW w:w="2460" w:type="dxa"/>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002234</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single" w:sz="4" w:space="0" w:color="auto"/>
              <w:left w:val="nil"/>
              <w:bottom w:val="single" w:sz="4" w:space="0" w:color="auto"/>
              <w:right w:val="single" w:sz="4" w:space="0" w:color="auto"/>
            </w:tcBorders>
            <w:vAlign w:val="center"/>
          </w:tcPr>
          <w:p w:rsidR="00FC60B5" w:rsidRPr="000733C6" w:rsidRDefault="00FC60B5" w:rsidP="00440AFD">
            <w:pPr>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否</w:t>
            </w: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泰信先行策略混合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290002</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vMerge w:val="restart"/>
            <w:tcBorders>
              <w:top w:val="single" w:sz="4" w:space="0" w:color="auto"/>
              <w:left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color w:val="000000"/>
                <w:kern w:val="0"/>
                <w:szCs w:val="21"/>
              </w:rPr>
              <w:t>10</w:t>
            </w: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泰信双息双利债券</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290003</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泰信优质生活混合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290004</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泰信优势增长混合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290005</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泰信蓝筹精选混合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290006</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泰信增强收益债券</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A类：290007</w:t>
            </w:r>
          </w:p>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C类：291007</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泰信发展主题混合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290008</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泰信周期回报债券</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290009</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泰信中证200指数</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290010</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lastRenderedPageBreak/>
              <w:t>泰信基本面400指数（LOF）</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162907</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color w:val="000000"/>
                <w:kern w:val="0"/>
                <w:szCs w:val="21"/>
              </w:rPr>
              <w:t>500</w:t>
            </w: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泰信中小盘精选混合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290011</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val="restart"/>
            <w:tcBorders>
              <w:top w:val="single" w:sz="4" w:space="0" w:color="auto"/>
              <w:left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color w:val="000000"/>
                <w:kern w:val="0"/>
                <w:szCs w:val="21"/>
              </w:rPr>
              <w:t>10</w:t>
            </w: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泰信行业精选混合A</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290012</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泰信现代服务业混合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290014</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0" w:type="auto"/>
            <w:vMerge/>
            <w:tcBorders>
              <w:left w:val="single" w:sz="4" w:space="0" w:color="auto"/>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泰信鑫益定期开放债券</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A类：000212</w:t>
            </w:r>
          </w:p>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C类：000213</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single" w:sz="4" w:space="0" w:color="auto"/>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否</w:t>
            </w: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泰信国策驱动混合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001569</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single" w:sz="4" w:space="0" w:color="auto"/>
              <w:left w:val="single" w:sz="4" w:space="0" w:color="auto"/>
              <w:bottom w:val="nil"/>
              <w:right w:val="single" w:sz="4" w:space="0" w:color="auto"/>
            </w:tcBorders>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泰信鑫选混合A</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001970</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nil"/>
              <w:left w:val="single" w:sz="4" w:space="0" w:color="auto"/>
              <w:bottom w:val="nil"/>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10</w:t>
            </w: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泰信互联网+混合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001978</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nil"/>
              <w:left w:val="single" w:sz="4" w:space="0" w:color="auto"/>
              <w:bottom w:val="nil"/>
              <w:right w:val="single" w:sz="4" w:space="0" w:color="auto"/>
            </w:tcBorders>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泰信智选成长</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003333</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nil"/>
              <w:left w:val="single" w:sz="4" w:space="0" w:color="auto"/>
              <w:bottom w:val="nil"/>
              <w:right w:val="single" w:sz="4" w:space="0" w:color="auto"/>
            </w:tcBorders>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泰信鑫利混合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A类：004227</w:t>
            </w:r>
          </w:p>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C类：004228</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nil"/>
              <w:left w:val="single" w:sz="4" w:space="0" w:color="auto"/>
              <w:bottom w:val="nil"/>
              <w:right w:val="single" w:sz="4" w:space="0" w:color="auto"/>
            </w:tcBorders>
          </w:tcPr>
          <w:p w:rsidR="00FC60B5" w:rsidRPr="000733C6" w:rsidRDefault="00FC60B5" w:rsidP="00440AFD">
            <w:pPr>
              <w:widowControl/>
              <w:jc w:val="left"/>
              <w:rPr>
                <w:rFonts w:ascii="仿宋" w:eastAsia="仿宋" w:hAnsi="仿宋" w:cs="宋体"/>
                <w:color w:val="000000"/>
                <w:kern w:val="0"/>
                <w:szCs w:val="21"/>
              </w:rPr>
            </w:pPr>
          </w:p>
        </w:tc>
      </w:tr>
      <w:tr w:rsidR="00FC60B5" w:rsidRPr="000733C6" w:rsidTr="00FC60B5">
        <w:trPr>
          <w:trHeight w:val="270"/>
          <w:jc w:val="center"/>
        </w:trPr>
        <w:tc>
          <w:tcPr>
            <w:tcW w:w="2625" w:type="dxa"/>
            <w:tcBorders>
              <w:top w:val="nil"/>
              <w:left w:val="single" w:sz="4" w:space="0" w:color="auto"/>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泰信竞争优选混合</w:t>
            </w:r>
          </w:p>
        </w:tc>
        <w:tc>
          <w:tcPr>
            <w:tcW w:w="2460" w:type="dxa"/>
            <w:tcBorders>
              <w:top w:val="nil"/>
              <w:left w:val="nil"/>
              <w:bottom w:val="single" w:sz="4" w:space="0" w:color="auto"/>
              <w:right w:val="single" w:sz="4" w:space="0" w:color="auto"/>
            </w:tcBorders>
            <w:vAlign w:val="center"/>
          </w:tcPr>
          <w:p w:rsidR="00FC60B5" w:rsidRPr="000733C6" w:rsidRDefault="00FC60B5" w:rsidP="00440AFD">
            <w:pPr>
              <w:widowControl/>
              <w:jc w:val="center"/>
              <w:rPr>
                <w:rFonts w:ascii="仿宋" w:eastAsia="仿宋" w:hAnsi="仿宋" w:cs="宋体"/>
                <w:color w:val="000000"/>
                <w:kern w:val="0"/>
                <w:szCs w:val="21"/>
              </w:rPr>
            </w:pPr>
            <w:r w:rsidRPr="000733C6">
              <w:rPr>
                <w:rFonts w:ascii="仿宋" w:eastAsia="仿宋" w:hAnsi="仿宋" w:cs="宋体" w:hint="eastAsia"/>
                <w:color w:val="000000"/>
                <w:kern w:val="0"/>
                <w:szCs w:val="21"/>
              </w:rPr>
              <w:t>005535</w:t>
            </w:r>
          </w:p>
        </w:tc>
        <w:tc>
          <w:tcPr>
            <w:tcW w:w="0" w:type="auto"/>
            <w:vMerge/>
            <w:tcBorders>
              <w:top w:val="single" w:sz="4" w:space="0" w:color="auto"/>
              <w:left w:val="nil"/>
              <w:bottom w:val="single" w:sz="4" w:space="0" w:color="auto"/>
              <w:right w:val="single" w:sz="4" w:space="0" w:color="auto"/>
            </w:tcBorders>
            <w:vAlign w:val="center"/>
          </w:tcPr>
          <w:p w:rsidR="00FC60B5" w:rsidRPr="000733C6" w:rsidRDefault="00FC60B5" w:rsidP="00440AFD">
            <w:pPr>
              <w:widowControl/>
              <w:jc w:val="left"/>
              <w:rPr>
                <w:rFonts w:ascii="仿宋" w:eastAsia="仿宋" w:hAnsi="仿宋" w:cs="宋体"/>
                <w:color w:val="000000"/>
                <w:kern w:val="0"/>
                <w:szCs w:val="21"/>
              </w:rPr>
            </w:pPr>
          </w:p>
        </w:tc>
        <w:tc>
          <w:tcPr>
            <w:tcW w:w="1097" w:type="dxa"/>
            <w:tcBorders>
              <w:top w:val="nil"/>
              <w:left w:val="single" w:sz="4" w:space="0" w:color="auto"/>
              <w:bottom w:val="single" w:sz="4" w:space="0" w:color="auto"/>
              <w:right w:val="single" w:sz="4" w:space="0" w:color="auto"/>
            </w:tcBorders>
          </w:tcPr>
          <w:p w:rsidR="00FC60B5" w:rsidRPr="000733C6" w:rsidRDefault="00FC60B5" w:rsidP="00440AFD">
            <w:pPr>
              <w:widowControl/>
              <w:jc w:val="left"/>
              <w:rPr>
                <w:rFonts w:ascii="仿宋" w:eastAsia="仿宋" w:hAnsi="仿宋" w:cs="宋体"/>
                <w:color w:val="000000"/>
                <w:kern w:val="0"/>
                <w:szCs w:val="21"/>
              </w:rPr>
            </w:pPr>
          </w:p>
        </w:tc>
      </w:tr>
    </w:tbl>
    <w:bookmarkEnd w:id="0"/>
    <w:p w:rsidR="00B63A68" w:rsidRDefault="00B63A68" w:rsidP="00B63A68">
      <w:pPr>
        <w:autoSpaceDE w:val="0"/>
        <w:autoSpaceDN w:val="0"/>
        <w:adjustRightInd w:val="0"/>
        <w:spacing w:line="360" w:lineRule="auto"/>
        <w:jc w:val="left"/>
        <w:rPr>
          <w:rFonts w:ascii="仿宋" w:eastAsia="仿宋" w:hAnsi="仿宋" w:cs="宋体"/>
          <w:color w:val="000000"/>
          <w:kern w:val="0"/>
          <w:szCs w:val="21"/>
        </w:rPr>
      </w:pPr>
      <w:r>
        <w:rPr>
          <w:rFonts w:ascii="仿宋" w:eastAsia="仿宋" w:hAnsi="仿宋" w:cs="宋体" w:hint="eastAsia"/>
          <w:color w:val="000000"/>
          <w:kern w:val="0"/>
          <w:szCs w:val="21"/>
        </w:rPr>
        <w:t>注：1、泰信鑫益定期开放债券基金为定期开放式基金，不同基金份额类别（A类：000212、C类：000213）之间不得互相转换，本基金现处于封闭期，具体开放申购赎回时间以本公司发布相关业务公告为准。</w:t>
      </w:r>
    </w:p>
    <w:p w:rsidR="00B63A68" w:rsidRDefault="00B63A68" w:rsidP="00B63A68">
      <w:pPr>
        <w:autoSpaceDE w:val="0"/>
        <w:autoSpaceDN w:val="0"/>
        <w:adjustRightIn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2、泰信鑫利混合型证券投资基金不同基金份额类别（A类：004227、C类:004228）之间暂时不得互相转换。</w:t>
      </w:r>
    </w:p>
    <w:p w:rsidR="00B63A68" w:rsidRDefault="00B63A68" w:rsidP="00B63A68">
      <w:pPr>
        <w:autoSpaceDE w:val="0"/>
        <w:autoSpaceDN w:val="0"/>
        <w:adjustRightInd w:val="0"/>
        <w:spacing w:line="360" w:lineRule="auto"/>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3、泰信天天收益货币A（</w:t>
      </w:r>
      <w:r>
        <w:rPr>
          <w:rFonts w:ascii="宋体" w:hAnsi="宋体" w:cs="宋体" w:hint="eastAsia"/>
          <w:color w:val="000000"/>
          <w:kern w:val="0"/>
          <w:sz w:val="18"/>
          <w:szCs w:val="18"/>
        </w:rPr>
        <w:t>290001</w:t>
      </w:r>
      <w:r>
        <w:rPr>
          <w:rFonts w:ascii="仿宋" w:eastAsia="仿宋" w:hAnsi="仿宋" w:cs="宋体" w:hint="eastAsia"/>
          <w:color w:val="000000"/>
          <w:kern w:val="0"/>
          <w:szCs w:val="21"/>
        </w:rPr>
        <w:t>）与泰信天天收益货币B（</w:t>
      </w:r>
      <w:r>
        <w:rPr>
          <w:rFonts w:ascii="宋体" w:hAnsi="宋体" w:cs="宋体" w:hint="eastAsia"/>
          <w:color w:val="000000"/>
          <w:kern w:val="0"/>
          <w:sz w:val="18"/>
          <w:szCs w:val="18"/>
        </w:rPr>
        <w:t>002234</w:t>
      </w:r>
      <w:r>
        <w:rPr>
          <w:rFonts w:ascii="仿宋" w:eastAsia="仿宋" w:hAnsi="仿宋" w:cs="宋体" w:hint="eastAsia"/>
          <w:color w:val="000000"/>
          <w:kern w:val="0"/>
          <w:szCs w:val="21"/>
        </w:rPr>
        <w:t>）之间不得互相转换。</w:t>
      </w:r>
    </w:p>
    <w:p w:rsidR="00483099" w:rsidRDefault="00483099" w:rsidP="00B63A68">
      <w:pPr>
        <w:autoSpaceDE w:val="0"/>
        <w:autoSpaceDN w:val="0"/>
        <w:adjustRightInd w:val="0"/>
        <w:spacing w:line="360" w:lineRule="auto"/>
        <w:ind w:firstLineChars="200" w:firstLine="420"/>
        <w:jc w:val="left"/>
        <w:rPr>
          <w:rFonts w:ascii="仿宋" w:eastAsia="仿宋" w:hAnsi="仿宋" w:cs="宋体"/>
          <w:color w:val="000000"/>
          <w:kern w:val="0"/>
          <w:szCs w:val="21"/>
        </w:rPr>
      </w:pPr>
      <w:r>
        <w:rPr>
          <w:rFonts w:ascii="仿宋" w:eastAsia="仿宋" w:hAnsi="仿宋" w:cs="宋体"/>
          <w:color w:val="000000"/>
          <w:kern w:val="0"/>
          <w:szCs w:val="21"/>
        </w:rPr>
        <w:t>4、</w:t>
      </w:r>
      <w:r w:rsidRPr="001F3992">
        <w:rPr>
          <w:rFonts w:ascii="仿宋" w:eastAsia="仿宋" w:hAnsi="仿宋" w:cs="宋体" w:hint="eastAsia"/>
          <w:color w:val="000000"/>
          <w:kern w:val="0"/>
          <w:szCs w:val="21"/>
        </w:rPr>
        <w:t>除泰信天天收益货币B（002234）和泰信基本面400指数（LOF）（162907）之外，其他基金的普通申购起点金额均调整为10元。</w:t>
      </w:r>
    </w:p>
    <w:p w:rsidR="00B63A68" w:rsidRPr="003D1441" w:rsidRDefault="00B63A68" w:rsidP="00176289">
      <w:pPr>
        <w:pStyle w:val="Default"/>
        <w:spacing w:line="360" w:lineRule="auto"/>
        <w:ind w:firstLineChars="200" w:firstLine="480"/>
        <w:rPr>
          <w:rFonts w:ascii="仿宋" w:eastAsia="仿宋" w:hAnsi="仿宋"/>
        </w:rPr>
      </w:pPr>
      <w:r w:rsidRPr="003D1441">
        <w:rPr>
          <w:rFonts w:ascii="仿宋" w:eastAsia="仿宋" w:hAnsi="仿宋" w:hint="eastAsia"/>
        </w:rPr>
        <w:lastRenderedPageBreak/>
        <w:t>二、具体费率优惠情况</w:t>
      </w:r>
    </w:p>
    <w:p w:rsidR="00FC60B5" w:rsidRPr="00141EC1" w:rsidRDefault="00CD2925" w:rsidP="00176289">
      <w:pPr>
        <w:pStyle w:val="Default"/>
        <w:spacing w:line="360" w:lineRule="auto"/>
        <w:ind w:firstLineChars="200" w:firstLine="480"/>
        <w:rPr>
          <w:rFonts w:ascii="仿宋" w:eastAsia="仿宋" w:hAnsi="仿宋"/>
        </w:rPr>
      </w:pPr>
      <w:r w:rsidRPr="003D1441">
        <w:rPr>
          <w:rFonts w:ascii="仿宋" w:eastAsia="仿宋" w:hAnsi="仿宋" w:hint="eastAsia"/>
        </w:rPr>
        <w:t>自</w:t>
      </w:r>
      <w:r w:rsidRPr="003D1441">
        <w:rPr>
          <w:rFonts w:ascii="仿宋" w:eastAsia="仿宋" w:hAnsi="仿宋"/>
        </w:rPr>
        <w:t>2021年</w:t>
      </w:r>
      <w:r w:rsidR="00176289">
        <w:rPr>
          <w:rFonts w:ascii="仿宋" w:eastAsia="仿宋" w:hAnsi="仿宋"/>
        </w:rPr>
        <w:t>4</w:t>
      </w:r>
      <w:r w:rsidRPr="003D1441">
        <w:rPr>
          <w:rFonts w:ascii="仿宋" w:eastAsia="仿宋" w:hAnsi="仿宋"/>
        </w:rPr>
        <w:t>月</w:t>
      </w:r>
      <w:r w:rsidR="00176289">
        <w:rPr>
          <w:rFonts w:ascii="仿宋" w:eastAsia="仿宋" w:hAnsi="仿宋"/>
        </w:rPr>
        <w:t>6</w:t>
      </w:r>
      <w:r w:rsidRPr="003D1441">
        <w:rPr>
          <w:rFonts w:ascii="仿宋" w:eastAsia="仿宋" w:hAnsi="仿宋"/>
        </w:rPr>
        <w:t>日起，</w:t>
      </w:r>
      <w:r w:rsidR="00176289">
        <w:rPr>
          <w:rFonts w:ascii="仿宋" w:eastAsia="仿宋" w:hAnsi="仿宋" w:hint="eastAsia"/>
        </w:rPr>
        <w:t>本公司</w:t>
      </w:r>
      <w:r w:rsidR="00FC60B5" w:rsidRPr="003D1441">
        <w:rPr>
          <w:rFonts w:ascii="仿宋" w:eastAsia="仿宋" w:hAnsi="仿宋" w:hint="eastAsia"/>
        </w:rPr>
        <w:t>上述基金参与甬兴证券认购（如有）、申购及定投（仅限场外、前端模式）费率优惠活动，具体折扣费率及费率优惠活动期限以甬兴证券活动公告为准。上述基金原费率标准详见该基金的基金合同、招募说明书（更新）等法律文件，以及本公司发布的最新业务公告。</w:t>
      </w:r>
      <w:r w:rsidR="00141EC1" w:rsidRPr="00141EC1">
        <w:rPr>
          <w:rFonts w:ascii="仿宋" w:eastAsia="仿宋" w:hAnsi="仿宋" w:hint="eastAsia"/>
        </w:rPr>
        <w:t>若原申购费率是固定费用的，则按固定费用执行，不再享有费率折扣。</w:t>
      </w:r>
    </w:p>
    <w:p w:rsidR="00FC60B5" w:rsidRPr="003D1441" w:rsidRDefault="00FC60B5" w:rsidP="00176289">
      <w:pPr>
        <w:pStyle w:val="Default"/>
        <w:spacing w:line="360" w:lineRule="auto"/>
        <w:ind w:firstLineChars="200" w:firstLine="480"/>
        <w:rPr>
          <w:rFonts w:ascii="仿宋" w:eastAsia="仿宋" w:hAnsi="仿宋"/>
        </w:rPr>
      </w:pPr>
      <w:r w:rsidRPr="003D1441">
        <w:rPr>
          <w:rFonts w:ascii="仿宋" w:eastAsia="仿宋" w:hAnsi="仿宋" w:hint="eastAsia"/>
        </w:rPr>
        <w:t>如本公司新增通过甬兴证券销售的基金，则自该基金在甬兴证券开放销售业务之日起，将同时参与甬兴证券的费率优惠活动，具体折扣费率及费率优惠活动期限以甬兴证券活动公告为准，本公司不再另行公告。</w:t>
      </w:r>
    </w:p>
    <w:p w:rsidR="00B63A68" w:rsidRPr="003D1441" w:rsidRDefault="00B63A68" w:rsidP="00176289">
      <w:pPr>
        <w:pStyle w:val="Default"/>
        <w:spacing w:line="360" w:lineRule="auto"/>
        <w:ind w:firstLineChars="200" w:firstLine="480"/>
        <w:rPr>
          <w:rFonts w:ascii="仿宋" w:eastAsia="仿宋" w:hAnsi="仿宋"/>
        </w:rPr>
      </w:pPr>
      <w:r w:rsidRPr="003D1441">
        <w:rPr>
          <w:rFonts w:ascii="仿宋" w:eastAsia="仿宋" w:hAnsi="仿宋" w:hint="eastAsia"/>
        </w:rPr>
        <w:t>三、基金转换业务规则</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2.基金转换只能在同一销售机构进行。转换的两只基金必须都是该销售人代理的同一基金管理人管理的、在同一注册登记人处注册且已开通转换业务的基金。</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3.前端收费模式的开放式基金只能转换到前端收费模式的其他基金，后端收费模式的开放式基金可以转换到前端收费模式或后端收费模式的其他基金。</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4.投资者办理基金转换业务时，转出方的基金必须处于可赎回状态，转入方的基金必须处于可申购状态。</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5.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6.基金分红时再投资的份额可在权益登记日的T＋2日提交基金转换申请。</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7.基金转换采取未知价法，即以申请受理当日各转出、转入基金的单位资产净值为基础进行计算。</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8. 基金转换费用由转出基金的赎回费、转出和转入基金的申购费补差构成。</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9.基金转换的具体计算公式如下：</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ab/>
        <w:t>①转出金额=转出基金份额×转出基金T日基金份额净值</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Theme="minorEastAsia" w:eastAsia="仿宋" w:hAnsiTheme="minorEastAsia" w:hint="eastAsia"/>
          <w:sz w:val="24"/>
          <w:szCs w:val="24"/>
        </w:rPr>
        <w:t> </w:t>
      </w:r>
      <w:r w:rsidRPr="003D1441">
        <w:rPr>
          <w:rFonts w:ascii="仿宋" w:eastAsia="仿宋" w:hAnsi="仿宋" w:hint="eastAsia"/>
          <w:sz w:val="24"/>
          <w:szCs w:val="24"/>
        </w:rPr>
        <w:t>②转出基金赎回费用=转出金额×转出基金赎回费率</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Theme="minorEastAsia" w:eastAsia="仿宋" w:hAnsiTheme="minorEastAsia" w:hint="eastAsia"/>
          <w:sz w:val="24"/>
          <w:szCs w:val="24"/>
        </w:rPr>
        <w:t> </w:t>
      </w:r>
      <w:r w:rsidRPr="003D1441">
        <w:rPr>
          <w:rFonts w:ascii="仿宋" w:eastAsia="仿宋" w:hAnsi="仿宋" w:hint="eastAsia"/>
          <w:sz w:val="24"/>
          <w:szCs w:val="24"/>
        </w:rPr>
        <w:t>③转入金额=转出金额-转出基金赎回费用</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Theme="minorEastAsia" w:eastAsia="仿宋" w:hAnsiTheme="minorEastAsia" w:hint="eastAsia"/>
          <w:sz w:val="24"/>
          <w:szCs w:val="24"/>
        </w:rPr>
        <w:t> </w:t>
      </w:r>
      <w:r w:rsidRPr="003D1441">
        <w:rPr>
          <w:rFonts w:ascii="仿宋" w:eastAsia="仿宋" w:hAnsi="仿宋" w:hint="eastAsia"/>
          <w:sz w:val="24"/>
          <w:szCs w:val="24"/>
        </w:rPr>
        <w:t>④转入基金申购费=转入金额/(1+转入基金申购费率)×转入基金申购费率</w:t>
      </w:r>
    </w:p>
    <w:p w:rsidR="00B63A68" w:rsidRPr="003D1441" w:rsidRDefault="00B63A68" w:rsidP="00176289">
      <w:pPr>
        <w:autoSpaceDE w:val="0"/>
        <w:autoSpaceDN w:val="0"/>
        <w:adjustRightInd w:val="0"/>
        <w:spacing w:line="360" w:lineRule="auto"/>
        <w:ind w:firstLineChars="300" w:firstLine="720"/>
        <w:jc w:val="left"/>
        <w:rPr>
          <w:rFonts w:ascii="仿宋" w:eastAsia="仿宋" w:hAnsi="仿宋"/>
          <w:sz w:val="24"/>
          <w:szCs w:val="24"/>
        </w:rPr>
      </w:pPr>
      <w:r w:rsidRPr="003D1441">
        <w:rPr>
          <w:rFonts w:ascii="仿宋" w:eastAsia="仿宋" w:hAnsi="仿宋" w:hint="eastAsia"/>
          <w:sz w:val="24"/>
          <w:szCs w:val="24"/>
        </w:rPr>
        <w:t>若转入基金申购费适用固定费用,则转入基金申购费=转入基金固定申购费</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Theme="minorEastAsia" w:eastAsia="仿宋" w:hAnsiTheme="minorEastAsia" w:hint="eastAsia"/>
          <w:sz w:val="24"/>
          <w:szCs w:val="24"/>
        </w:rPr>
        <w:t> </w:t>
      </w:r>
      <w:r w:rsidRPr="003D1441">
        <w:rPr>
          <w:rFonts w:ascii="仿宋" w:eastAsia="仿宋" w:hAnsi="仿宋" w:hint="eastAsia"/>
          <w:sz w:val="24"/>
          <w:szCs w:val="24"/>
        </w:rPr>
        <w:t>⑤转出基金申购费=转入金额/(1+转出基金申购费率)×转出基金申购费率</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Theme="minorEastAsia" w:eastAsia="仿宋" w:hAnsiTheme="minorEastAsia" w:hint="eastAsia"/>
          <w:sz w:val="24"/>
          <w:szCs w:val="24"/>
        </w:rPr>
        <w:t> </w:t>
      </w:r>
      <w:r w:rsidRPr="003D1441">
        <w:rPr>
          <w:rFonts w:ascii="仿宋" w:eastAsia="仿宋" w:hAnsi="仿宋" w:hint="eastAsia"/>
          <w:sz w:val="24"/>
          <w:szCs w:val="24"/>
        </w:rPr>
        <w:t>若转出基金申购费适用固定费用,则转出基金申购费=转出基金固定申购费</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 xml:space="preserve">⑥补差费用=Max{(转入基金申购费-转出基金申购费)，0} </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⑦净转入金额=转入金额-补差费用</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⑧转入份额=净转入金额/转入基金T日基金份额净值</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注：公式中的“转出基金申购费”是在本次转换过程中按照转入金额重新计算的费用，仅用于计算补差费用，非转出基金份额在申购时实际支付的费用。</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例:某投资者欲将10万份泰信周期回报债券型证券投资基金（以下简称“泰信周期回报债券”）（持有7天-365天内）转换为泰信中小盘精选混合型证券投资基金（以下简称“泰信中小盘精选混合”）。泰信周期回报债券对应申请日份额净值假设为1.020元,对应申购费率为0.8%,对应赎回费率为0.1% 。泰信中小盘精选混合对应申请日份额净值假设为1.500元,对应申购费率为1.5% 。则该次转换投资者可得到的泰信中小盘精选混合份额计算方法为：</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①转出金额=100,000.00×1.020=102,000.00元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②转出基金赎回费用=102,000.00×0.1%=102.00元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③转入金额=102,000.00-102.00=101,898.00元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④转入基金申购费=101,898.00/(1+1.5%)×1.5%=1,505.88元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⑤转出基金申购费=101,898.00/(1+0.8%)×0.8%=808.71元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⑥补差费用=转入基金申购费-转出基金申购费</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=1,505.88-808.71=697.17元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⑦净转入金额=101,898.00-697.17=101,200.83元</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⑧转入份额=101,200.83/1.500=67,467.22份</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10.投资者采用“份额转换”的原则提交申请。基金转出份额必须是可用份额，并遵循“先进先出”的原则。已冻结份额不得申请转换。</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11.各基金的转换申请时间以其《基金合同》及《招募说明书》的相关规定为准，当日的转换申请可以在15:00以前在销售商处撤销，超过交易时间的申请作失败或下一日申请处理。</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12.基金转出的份额限制以其《基金合同》及《招募说明书》的相关规定为准，单笔转入申请不受转入基金最低申购限额限制。</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13.单个开放日基金净赎回份额及净转换转出申请份额之和超出上一开放日基金总份额的10%时，为巨额赎回（个别基金比例是否构成巨额赎回以具体的基金合同为准）。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14.出现下列情况之一时，基金管理人可以暂停基金转换业务：</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（1）不可抗力的原因导致基金无法正常运作。</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（2）证券交易场所在交易时间非正常停市，导致基金管理人无法计算当日基金份额净值。</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（3）因市场剧烈波动或其他原因而出现连续巨额赎回，基金管理人认为有必要暂停接受该基金份额转出申请。</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（4）法律、法规、规章规定的其他情形或其他在《基金合同》、《招募说明书》已载明并获中国证监会批准的特殊情形。</w:t>
      </w:r>
    </w:p>
    <w:p w:rsidR="00662373" w:rsidRPr="00662373" w:rsidRDefault="00B63A68" w:rsidP="00662373">
      <w:pPr>
        <w:autoSpaceDE w:val="0"/>
        <w:autoSpaceDN w:val="0"/>
        <w:adjustRightInd w:val="0"/>
        <w:spacing w:line="360" w:lineRule="auto"/>
        <w:ind w:firstLineChars="200" w:firstLine="480"/>
        <w:jc w:val="left"/>
        <w:rPr>
          <w:rFonts w:ascii="仿宋" w:eastAsia="仿宋" w:hAnsi="仿宋"/>
          <w:sz w:val="24"/>
          <w:szCs w:val="24"/>
        </w:rPr>
      </w:pPr>
      <w:r w:rsidRPr="003D1441">
        <w:rPr>
          <w:rFonts w:ascii="仿宋" w:eastAsia="仿宋" w:hAnsi="仿宋" w:hint="eastAsia"/>
          <w:sz w:val="24"/>
          <w:szCs w:val="24"/>
        </w:rPr>
        <w:t>（5）</w:t>
      </w:r>
      <w:r w:rsidR="00662373" w:rsidRPr="00662373">
        <w:rPr>
          <w:rFonts w:ascii="仿宋" w:eastAsia="仿宋" w:hAnsi="仿宋" w:hint="eastAsia"/>
          <w:sz w:val="24"/>
          <w:szCs w:val="24"/>
        </w:rPr>
        <w:t>发生上述情形之一的，基金管理人应立即向证监会备案并于规定期限内在证监会规定媒介上刊登暂停公告。重新开放基金转换时，基金管理人应在证监会规定媒介上刊登重新开放基金转换的公告。</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四、其他事项</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1.投资者欲了解各基金产品的详细情况，请仔细阅读各基金的基金合同、招募说明书等法律文件。</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2.风险提示：本公司承诺以诚实信用、勤勉尽责的原则管理和运用基金财产，但不保证基金一定盈利，也不保证最低收益。投资者投资于本公司管理的基金时应认真阅读基金合同、招募说明书等文件。</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五、投资者可通过以下途径了解或咨询相关情况</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1、泰信基金管理有限公司</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客服电话：400-888-5988 021-38784566</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网址：</w:t>
      </w:r>
      <w:hyperlink r:id="rId6" w:history="1">
        <w:r w:rsidRPr="003D1441">
          <w:rPr>
            <w:rStyle w:val="a3"/>
            <w:rFonts w:ascii="仿宋" w:eastAsia="仿宋" w:hAnsi="仿宋" w:cs="仿宋_GB2312" w:hint="eastAsia"/>
            <w:color w:val="auto"/>
            <w:kern w:val="0"/>
            <w:sz w:val="24"/>
            <w:szCs w:val="24"/>
            <w:u w:val="none"/>
          </w:rPr>
          <w:t>www.ftfund.com</w:t>
        </w:r>
      </w:hyperlink>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2、</w:t>
      </w:r>
      <w:r w:rsidR="002D085A" w:rsidRPr="003D1441">
        <w:rPr>
          <w:rFonts w:ascii="仿宋" w:eastAsia="仿宋" w:hAnsi="仿宋" w:cs="仿宋_GB2312" w:hint="eastAsia"/>
          <w:kern w:val="0"/>
          <w:sz w:val="24"/>
          <w:szCs w:val="24"/>
        </w:rPr>
        <w:t>甬兴证券</w:t>
      </w:r>
      <w:r w:rsidR="006519D4" w:rsidRPr="003D1441">
        <w:rPr>
          <w:rFonts w:ascii="仿宋" w:eastAsia="仿宋" w:hAnsi="仿宋" w:cs="仿宋_GB2312"/>
          <w:kern w:val="0"/>
          <w:sz w:val="24"/>
          <w:szCs w:val="24"/>
        </w:rPr>
        <w:t>有限公司</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客服电话：</w:t>
      </w:r>
      <w:r w:rsidR="002D085A" w:rsidRPr="003D1441">
        <w:rPr>
          <w:rFonts w:ascii="仿宋" w:eastAsia="仿宋" w:hAnsi="仿宋" w:cs="仿宋_GB2312"/>
          <w:kern w:val="0"/>
          <w:sz w:val="24"/>
          <w:szCs w:val="24"/>
        </w:rPr>
        <w:t>400-916-0666</w:t>
      </w:r>
    </w:p>
    <w:p w:rsidR="006519D4"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网址：</w:t>
      </w:r>
      <w:r w:rsidR="002D085A" w:rsidRPr="003D1441">
        <w:rPr>
          <w:rFonts w:ascii="仿宋" w:eastAsia="仿宋" w:hAnsi="仿宋" w:cs="仿宋_GB2312"/>
          <w:kern w:val="0"/>
          <w:sz w:val="24"/>
          <w:szCs w:val="24"/>
        </w:rPr>
        <w:t>www.yongxingsec.com</w:t>
      </w:r>
    </w:p>
    <w:p w:rsidR="00B63A68" w:rsidRPr="003D1441" w:rsidRDefault="00B63A68" w:rsidP="00176289">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3D1441">
        <w:rPr>
          <w:rFonts w:ascii="仿宋" w:eastAsia="仿宋" w:hAnsi="仿宋" w:cs="仿宋_GB2312" w:hint="eastAsia"/>
          <w:kern w:val="0"/>
          <w:sz w:val="24"/>
          <w:szCs w:val="24"/>
        </w:rPr>
        <w:t>特此公告。</w:t>
      </w:r>
    </w:p>
    <w:p w:rsidR="00B63A68" w:rsidRPr="003D1441" w:rsidRDefault="00B63A68" w:rsidP="00176289">
      <w:pPr>
        <w:autoSpaceDE w:val="0"/>
        <w:autoSpaceDN w:val="0"/>
        <w:adjustRightInd w:val="0"/>
        <w:spacing w:line="360" w:lineRule="auto"/>
        <w:jc w:val="right"/>
        <w:rPr>
          <w:rFonts w:ascii="仿宋" w:eastAsia="仿宋" w:hAnsi="仿宋" w:cs="仿宋_GB2312"/>
          <w:kern w:val="0"/>
          <w:sz w:val="24"/>
          <w:szCs w:val="24"/>
        </w:rPr>
      </w:pPr>
      <w:r w:rsidRPr="003D1441">
        <w:rPr>
          <w:rFonts w:ascii="仿宋" w:eastAsia="仿宋" w:hAnsi="仿宋" w:cs="仿宋_GB2312" w:hint="eastAsia"/>
          <w:kern w:val="0"/>
          <w:sz w:val="24"/>
          <w:szCs w:val="24"/>
        </w:rPr>
        <w:t xml:space="preserve">　 　 泰信基金管理有限公司</w:t>
      </w:r>
    </w:p>
    <w:p w:rsidR="00B63A68" w:rsidRDefault="001B7811" w:rsidP="00176289">
      <w:pPr>
        <w:spacing w:line="360" w:lineRule="auto"/>
        <w:ind w:right="140"/>
        <w:jc w:val="right"/>
        <w:rPr>
          <w:rFonts w:ascii="仿宋" w:eastAsia="仿宋" w:hAnsi="仿宋"/>
        </w:rPr>
      </w:pPr>
      <w:r w:rsidRPr="003D1441">
        <w:rPr>
          <w:rFonts w:ascii="仿宋" w:eastAsia="仿宋" w:hAnsi="仿宋" w:cs="仿宋_GB2312" w:hint="eastAsia"/>
          <w:kern w:val="0"/>
          <w:sz w:val="24"/>
          <w:szCs w:val="24"/>
        </w:rPr>
        <w:t>2021</w:t>
      </w:r>
      <w:r w:rsidR="00B63A68" w:rsidRPr="003D1441">
        <w:rPr>
          <w:rFonts w:ascii="仿宋" w:eastAsia="仿宋" w:hAnsi="仿宋" w:cs="仿宋_GB2312" w:hint="eastAsia"/>
          <w:kern w:val="0"/>
          <w:sz w:val="24"/>
          <w:szCs w:val="24"/>
        </w:rPr>
        <w:t>年</w:t>
      </w:r>
      <w:r w:rsidR="007A49FC">
        <w:rPr>
          <w:rFonts w:ascii="仿宋" w:eastAsia="仿宋" w:hAnsi="仿宋" w:cs="仿宋_GB2312"/>
          <w:kern w:val="0"/>
          <w:sz w:val="24"/>
          <w:szCs w:val="24"/>
        </w:rPr>
        <w:t>4</w:t>
      </w:r>
      <w:r w:rsidR="00B63A68" w:rsidRPr="003D1441">
        <w:rPr>
          <w:rFonts w:ascii="仿宋" w:eastAsia="仿宋" w:hAnsi="仿宋" w:cs="仿宋_GB2312" w:hint="eastAsia"/>
          <w:kern w:val="0"/>
          <w:sz w:val="24"/>
          <w:szCs w:val="24"/>
        </w:rPr>
        <w:t>月</w:t>
      </w:r>
      <w:r w:rsidR="00170F0B">
        <w:rPr>
          <w:rFonts w:ascii="仿宋" w:eastAsia="仿宋" w:hAnsi="仿宋" w:cs="仿宋_GB2312"/>
          <w:kern w:val="0"/>
          <w:sz w:val="24"/>
          <w:szCs w:val="24"/>
        </w:rPr>
        <w:t>1</w:t>
      </w:r>
      <w:r w:rsidR="00B63A68" w:rsidRPr="003D1441">
        <w:rPr>
          <w:rFonts w:ascii="仿宋" w:eastAsia="仿宋" w:hAnsi="仿宋" w:cs="仿宋_GB2312" w:hint="eastAsia"/>
          <w:kern w:val="0"/>
          <w:sz w:val="24"/>
          <w:szCs w:val="24"/>
        </w:rPr>
        <w:t>日</w:t>
      </w:r>
    </w:p>
    <w:p w:rsidR="00B63A68" w:rsidRDefault="00B63A68" w:rsidP="00B63A68"/>
    <w:p w:rsidR="00B63A68" w:rsidRDefault="00B63A68" w:rsidP="00B63A68"/>
    <w:p w:rsidR="007D39B0" w:rsidRDefault="007D39B0"/>
    <w:sectPr w:rsidR="007D39B0" w:rsidSect="002B63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86" w:rsidRDefault="009E6B86" w:rsidP="005746BC">
      <w:r>
        <w:separator/>
      </w:r>
    </w:p>
  </w:endnote>
  <w:endnote w:type="continuationSeparator" w:id="0">
    <w:p w:rsidR="009E6B86" w:rsidRDefault="009E6B86" w:rsidP="005746B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67311"/>
      <w:docPartObj>
        <w:docPartGallery w:val="Page Numbers (Bottom of Page)"/>
        <w:docPartUnique/>
      </w:docPartObj>
    </w:sdtPr>
    <w:sdtContent>
      <w:p w:rsidR="003A0081" w:rsidRDefault="002B63FA">
        <w:pPr>
          <w:pStyle w:val="a6"/>
          <w:jc w:val="center"/>
        </w:pPr>
        <w:r>
          <w:fldChar w:fldCharType="begin"/>
        </w:r>
        <w:r w:rsidR="003A0081">
          <w:instrText>PAGE   \* MERGEFORMAT</w:instrText>
        </w:r>
        <w:r>
          <w:fldChar w:fldCharType="separate"/>
        </w:r>
        <w:r w:rsidR="00341AED" w:rsidRPr="00341AED">
          <w:rPr>
            <w:noProof/>
            <w:lang w:val="zh-CN"/>
          </w:rPr>
          <w:t>1</w:t>
        </w:r>
        <w:r>
          <w:fldChar w:fldCharType="end"/>
        </w:r>
      </w:p>
    </w:sdtContent>
  </w:sdt>
  <w:p w:rsidR="003A0081" w:rsidRDefault="003A00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86" w:rsidRDefault="009E6B86" w:rsidP="005746BC">
      <w:r>
        <w:separator/>
      </w:r>
    </w:p>
  </w:footnote>
  <w:footnote w:type="continuationSeparator" w:id="0">
    <w:p w:rsidR="009E6B86" w:rsidRDefault="009E6B86" w:rsidP="0057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475"/>
    <w:rsid w:val="000733C6"/>
    <w:rsid w:val="00141EC1"/>
    <w:rsid w:val="00170F0B"/>
    <w:rsid w:val="00176289"/>
    <w:rsid w:val="001B7811"/>
    <w:rsid w:val="002364B7"/>
    <w:rsid w:val="00244B43"/>
    <w:rsid w:val="0024571D"/>
    <w:rsid w:val="002B63FA"/>
    <w:rsid w:val="002D085A"/>
    <w:rsid w:val="00341AED"/>
    <w:rsid w:val="003A0081"/>
    <w:rsid w:val="003D1441"/>
    <w:rsid w:val="00424A5C"/>
    <w:rsid w:val="00446218"/>
    <w:rsid w:val="00483099"/>
    <w:rsid w:val="0048643B"/>
    <w:rsid w:val="005746BC"/>
    <w:rsid w:val="005E2BFF"/>
    <w:rsid w:val="006519D4"/>
    <w:rsid w:val="00662373"/>
    <w:rsid w:val="006737AE"/>
    <w:rsid w:val="00741F0F"/>
    <w:rsid w:val="00786119"/>
    <w:rsid w:val="007A49FC"/>
    <w:rsid w:val="007D39B0"/>
    <w:rsid w:val="008A2117"/>
    <w:rsid w:val="00956BBC"/>
    <w:rsid w:val="009E6B86"/>
    <w:rsid w:val="009F7FD8"/>
    <w:rsid w:val="00A53444"/>
    <w:rsid w:val="00B63A68"/>
    <w:rsid w:val="00BF5040"/>
    <w:rsid w:val="00C304A9"/>
    <w:rsid w:val="00C33475"/>
    <w:rsid w:val="00C53538"/>
    <w:rsid w:val="00CD2925"/>
    <w:rsid w:val="00D26403"/>
    <w:rsid w:val="00E4740E"/>
    <w:rsid w:val="00E775A4"/>
    <w:rsid w:val="00FC6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3A68"/>
    <w:rPr>
      <w:color w:val="0000FF"/>
      <w:u w:val="single"/>
    </w:rPr>
  </w:style>
  <w:style w:type="paragraph" w:styleId="a4">
    <w:name w:val="List Paragraph"/>
    <w:basedOn w:val="a"/>
    <w:uiPriority w:val="34"/>
    <w:qFormat/>
    <w:rsid w:val="00B63A68"/>
    <w:pPr>
      <w:ind w:firstLineChars="200" w:firstLine="420"/>
    </w:pPr>
  </w:style>
  <w:style w:type="paragraph" w:customStyle="1" w:styleId="Default">
    <w:name w:val="Default"/>
    <w:rsid w:val="00B63A68"/>
    <w:pPr>
      <w:widowControl w:val="0"/>
      <w:autoSpaceDE w:val="0"/>
      <w:autoSpaceDN w:val="0"/>
      <w:adjustRightInd w:val="0"/>
    </w:pPr>
    <w:rPr>
      <w:rFonts w:ascii="仿宋_GB2312" w:eastAsia="仿宋_GB2312" w:cs="仿宋_GB2312"/>
      <w:color w:val="000000"/>
      <w:kern w:val="0"/>
      <w:sz w:val="24"/>
      <w:szCs w:val="24"/>
    </w:rPr>
  </w:style>
  <w:style w:type="character" w:customStyle="1" w:styleId="UnresolvedMention">
    <w:name w:val="Unresolved Mention"/>
    <w:basedOn w:val="a0"/>
    <w:uiPriority w:val="99"/>
    <w:semiHidden/>
    <w:unhideWhenUsed/>
    <w:rsid w:val="006519D4"/>
    <w:rPr>
      <w:color w:val="605E5C"/>
      <w:shd w:val="clear" w:color="auto" w:fill="E1DFDD"/>
    </w:rPr>
  </w:style>
  <w:style w:type="paragraph" w:styleId="a5">
    <w:name w:val="header"/>
    <w:basedOn w:val="a"/>
    <w:link w:val="Char"/>
    <w:uiPriority w:val="99"/>
    <w:unhideWhenUsed/>
    <w:rsid w:val="00574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46BC"/>
    <w:rPr>
      <w:sz w:val="18"/>
      <w:szCs w:val="18"/>
    </w:rPr>
  </w:style>
  <w:style w:type="paragraph" w:styleId="a6">
    <w:name w:val="footer"/>
    <w:basedOn w:val="a"/>
    <w:link w:val="Char0"/>
    <w:uiPriority w:val="99"/>
    <w:unhideWhenUsed/>
    <w:rsid w:val="005746BC"/>
    <w:pPr>
      <w:tabs>
        <w:tab w:val="center" w:pos="4153"/>
        <w:tab w:val="right" w:pos="8306"/>
      </w:tabs>
      <w:snapToGrid w:val="0"/>
      <w:jc w:val="left"/>
    </w:pPr>
    <w:rPr>
      <w:sz w:val="18"/>
      <w:szCs w:val="18"/>
    </w:rPr>
  </w:style>
  <w:style w:type="character" w:customStyle="1" w:styleId="Char0">
    <w:name w:val="页脚 Char"/>
    <w:basedOn w:val="a0"/>
    <w:link w:val="a6"/>
    <w:uiPriority w:val="99"/>
    <w:rsid w:val="005746BC"/>
    <w:rPr>
      <w:sz w:val="18"/>
      <w:szCs w:val="18"/>
    </w:rPr>
  </w:style>
  <w:style w:type="paragraph" w:styleId="a7">
    <w:name w:val="Balloon Text"/>
    <w:basedOn w:val="a"/>
    <w:link w:val="Char1"/>
    <w:uiPriority w:val="99"/>
    <w:semiHidden/>
    <w:unhideWhenUsed/>
    <w:rsid w:val="00141EC1"/>
    <w:rPr>
      <w:sz w:val="18"/>
      <w:szCs w:val="18"/>
    </w:rPr>
  </w:style>
  <w:style w:type="character" w:customStyle="1" w:styleId="Char1">
    <w:name w:val="批注框文本 Char"/>
    <w:basedOn w:val="a0"/>
    <w:link w:val="a7"/>
    <w:uiPriority w:val="99"/>
    <w:semiHidden/>
    <w:rsid w:val="00141EC1"/>
    <w:rPr>
      <w:sz w:val="18"/>
      <w:szCs w:val="18"/>
    </w:rPr>
  </w:style>
</w:styles>
</file>

<file path=word/webSettings.xml><?xml version="1.0" encoding="utf-8"?>
<w:webSettings xmlns:r="http://schemas.openxmlformats.org/officeDocument/2006/relationships" xmlns:w="http://schemas.openxmlformats.org/wordprocessingml/2006/main">
  <w:divs>
    <w:div w:id="1472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Office Word</Application>
  <DocSecurity>4</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Mofey</dc:creator>
  <cp:keywords/>
  <dc:description/>
  <cp:lastModifiedBy>ZHONGM</cp:lastModifiedBy>
  <cp:revision>2</cp:revision>
  <cp:lastPrinted>2021-03-31T02:58:00Z</cp:lastPrinted>
  <dcterms:created xsi:type="dcterms:W3CDTF">2021-03-31T16:01:00Z</dcterms:created>
  <dcterms:modified xsi:type="dcterms:W3CDTF">2021-03-31T16:01:00Z</dcterms:modified>
</cp:coreProperties>
</file>