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D" w:rsidRDefault="0085636D" w:rsidP="0085636D">
      <w:pPr>
        <w:ind w:firstLineChars="150" w:firstLine="422"/>
        <w:rPr>
          <w:b/>
          <w:bCs/>
          <w:color w:val="1E1E1E"/>
          <w:sz w:val="28"/>
          <w:szCs w:val="28"/>
        </w:rPr>
      </w:pPr>
      <w:r>
        <w:rPr>
          <w:rFonts w:hint="eastAsia"/>
          <w:b/>
          <w:bCs/>
          <w:color w:val="1E1E1E"/>
          <w:sz w:val="28"/>
          <w:szCs w:val="28"/>
        </w:rPr>
        <w:t>申万菱信基金管理有限公司旗下部分基金年度报告提示性公告</w:t>
      </w:r>
    </w:p>
    <w:p w:rsidR="0085636D" w:rsidRDefault="0085636D" w:rsidP="0085636D">
      <w:pPr>
        <w:rPr>
          <w:b/>
          <w:bCs/>
          <w:color w:val="1E1E1E"/>
          <w:sz w:val="28"/>
          <w:szCs w:val="28"/>
        </w:rPr>
      </w:pPr>
    </w:p>
    <w:p w:rsidR="0085636D" w:rsidRDefault="0085636D" w:rsidP="0085636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85636D" w:rsidRDefault="0085636D" w:rsidP="0085636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申万菱信基金管理有限公司旗下：</w:t>
      </w:r>
    </w:p>
    <w:tbl>
      <w:tblPr>
        <w:tblW w:w="8217" w:type="dxa"/>
        <w:tblInd w:w="113" w:type="dxa"/>
        <w:tblLook w:val="04A0"/>
      </w:tblPr>
      <w:tblGrid>
        <w:gridCol w:w="704"/>
        <w:gridCol w:w="7513"/>
      </w:tblGrid>
      <w:tr w:rsidR="00CF3CD4" w:rsidTr="001775D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基金名称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申万菱信多策略灵活配置混合型证券投资基金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申万菱信安鑫回报灵活配置混合型证券投资基金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申万菱信安鑫优选混合型证券投资基金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申万菱信安鑫精选混合型证券投资基金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指数优选增强型证券投资基金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申万菱信量化成长混合型证券投资基金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申万菱信价值优先混合型证券投资基金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申万菱信价值优利混合型证券投资基金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申万菱信行业轮动股票型证券投资基金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申万菱信量化驱动混合型证券投资基金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申万菱信智能驱动股票型证券投资基金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申万菱信安泰惠利纯债债券型证券投资基金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申万菱信安泰瑞利中短债债券型证券投资基金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申万菱信安泰丰利债券型证券投资基金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交易型开放式指数证券投资基金联接基金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申万菱信安泰广利</w:t>
            </w:r>
            <w:r w:rsidRPr="00CF3CD4">
              <w:rPr>
                <w:bCs/>
                <w:color w:val="1E1E1E"/>
                <w:sz w:val="24"/>
                <w:szCs w:val="24"/>
              </w:rPr>
              <w:t>63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个月定期开放债券型证券投资基金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申万菱信量化对冲策略灵活配置混合型发起式证券投资基金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申万菱信安泰鼎利一年定期开放债券型发起式证券投资基金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申万菱信安鑫慧选混合型证券投资基金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申万菱信安泰鑫利纯债一年定期开放债券型发起式证券投资基金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申万菱信安泰富利三年定期开放债券型证券投资基金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申万菱信创业板量化精选股票型证券投资基金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申万菱信深证成指分级证券投资基金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申万菱信量化小盘股票型证券投资基金（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申万菱信中小板指数证券投资基金（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申万菱信中证申万证券行业指数分级证券投资基金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申万菱信中证环保产业指数型证券投资基金（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申万菱信中证军工指数分级证券投资基金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申万菱信中证申万电子行业投资指数型证券投资基金（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申万菱信中证申万医药生物指数分级证券投资基金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申万菱信盛利精选证券投资基金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申万菱信新动力混合型证券投资基金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申万菱信收益宝货币市场基金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申万菱信新经济混合型证券投资基金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申万菱信竞争优势混合型证券投资基金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申万菱信消费增长混合型证券投资基金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价值指数证券投资基金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申万菱信稳益宝债券型证券投资基金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申万菱信可转换债券债券型证券投资基金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申万菱信上证</w:t>
            </w:r>
            <w:r w:rsidRPr="00CF3CD4">
              <w:rPr>
                <w:bCs/>
                <w:color w:val="1E1E1E"/>
                <w:sz w:val="24"/>
                <w:szCs w:val="24"/>
              </w:rPr>
              <w:t>50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</w:t>
            </w:r>
          </w:p>
        </w:tc>
      </w:tr>
    </w:tbl>
    <w:p w:rsidR="001775DB" w:rsidRPr="00CC3763" w:rsidRDefault="001775DB" w:rsidP="00CC3763">
      <w:pPr>
        <w:pStyle w:val="HTML"/>
        <w:spacing w:line="420" w:lineRule="atLeast"/>
        <w:ind w:firstLineChars="200" w:firstLine="360"/>
        <w:rPr>
          <w:bCs/>
          <w:color w:val="1E1E1E"/>
          <w:sz w:val="18"/>
          <w:szCs w:val="18"/>
        </w:rPr>
      </w:pPr>
      <w:r w:rsidRPr="00CC3763">
        <w:rPr>
          <w:rFonts w:hint="eastAsia"/>
          <w:bCs/>
          <w:color w:val="1E1E1E"/>
          <w:sz w:val="18"/>
          <w:szCs w:val="18"/>
        </w:rPr>
        <w:t>注：</w:t>
      </w:r>
    </w:p>
    <w:p w:rsidR="001775DB" w:rsidRPr="00774937" w:rsidRDefault="001775DB" w:rsidP="00774937">
      <w:pPr>
        <w:pStyle w:val="HTML"/>
        <w:numPr>
          <w:ilvl w:val="0"/>
          <w:numId w:val="1"/>
        </w:numPr>
        <w:spacing w:line="420" w:lineRule="atLeast"/>
        <w:rPr>
          <w:bCs/>
          <w:color w:val="1E1E1E"/>
          <w:sz w:val="18"/>
          <w:szCs w:val="18"/>
        </w:rPr>
      </w:pPr>
      <w:r w:rsidRPr="00774937">
        <w:rPr>
          <w:rFonts w:hint="eastAsia"/>
          <w:bCs/>
          <w:color w:val="1E1E1E"/>
          <w:sz w:val="18"/>
          <w:szCs w:val="18"/>
        </w:rPr>
        <w:t>申万菱信深证成指分级证券投资基金</w:t>
      </w:r>
      <w:r w:rsidR="00CC3763">
        <w:rPr>
          <w:rFonts w:hint="eastAsia"/>
          <w:bCs/>
          <w:color w:val="1E1E1E"/>
          <w:sz w:val="18"/>
          <w:szCs w:val="18"/>
        </w:rPr>
        <w:t>现</w:t>
      </w:r>
      <w:r w:rsidRPr="00774937">
        <w:rPr>
          <w:rFonts w:hint="eastAsia"/>
          <w:bCs/>
          <w:color w:val="1E1E1E"/>
          <w:sz w:val="18"/>
          <w:szCs w:val="18"/>
        </w:rPr>
        <w:t>已</w:t>
      </w:r>
      <w:r w:rsidR="00CC3763">
        <w:rPr>
          <w:rFonts w:hint="eastAsia"/>
          <w:bCs/>
          <w:color w:val="1E1E1E"/>
          <w:sz w:val="18"/>
          <w:szCs w:val="18"/>
        </w:rPr>
        <w:t>变更</w:t>
      </w:r>
      <w:r w:rsidRPr="00774937">
        <w:rPr>
          <w:rFonts w:hint="eastAsia"/>
          <w:bCs/>
          <w:color w:val="1E1E1E"/>
          <w:sz w:val="18"/>
          <w:szCs w:val="18"/>
        </w:rPr>
        <w:t>为</w:t>
      </w:r>
      <w:r w:rsidR="00774937" w:rsidRPr="00774937">
        <w:rPr>
          <w:rFonts w:hint="eastAsia"/>
          <w:bCs/>
          <w:color w:val="1E1E1E"/>
          <w:sz w:val="18"/>
          <w:szCs w:val="18"/>
        </w:rPr>
        <w:t>申万菱信深证成份指数型证券投资基金；</w:t>
      </w:r>
    </w:p>
    <w:p w:rsidR="001775DB" w:rsidRPr="00774937" w:rsidRDefault="001775DB" w:rsidP="00774937">
      <w:pPr>
        <w:pStyle w:val="HTML"/>
        <w:numPr>
          <w:ilvl w:val="0"/>
          <w:numId w:val="1"/>
        </w:numPr>
        <w:spacing w:line="420" w:lineRule="atLeast"/>
        <w:rPr>
          <w:color w:val="000000"/>
          <w:sz w:val="18"/>
          <w:szCs w:val="18"/>
        </w:rPr>
      </w:pPr>
      <w:r w:rsidRPr="00774937">
        <w:rPr>
          <w:rFonts w:hint="eastAsia"/>
          <w:bCs/>
          <w:color w:val="1E1E1E"/>
          <w:sz w:val="18"/>
          <w:szCs w:val="18"/>
        </w:rPr>
        <w:t>申万菱信中证申万证券行业指数分级证券投资基金现已</w:t>
      </w:r>
      <w:r w:rsidR="00CC3763">
        <w:rPr>
          <w:rFonts w:hint="eastAsia"/>
          <w:bCs/>
          <w:color w:val="1E1E1E"/>
          <w:sz w:val="18"/>
          <w:szCs w:val="18"/>
        </w:rPr>
        <w:t>变更</w:t>
      </w:r>
      <w:r w:rsidRPr="00774937">
        <w:rPr>
          <w:rFonts w:hint="eastAsia"/>
          <w:bCs/>
          <w:color w:val="1E1E1E"/>
          <w:sz w:val="18"/>
          <w:szCs w:val="18"/>
        </w:rPr>
        <w:t>为</w:t>
      </w:r>
      <w:r w:rsidR="00774937" w:rsidRPr="00774937">
        <w:rPr>
          <w:rFonts w:hint="eastAsia"/>
          <w:bCs/>
          <w:color w:val="1E1E1E"/>
          <w:sz w:val="18"/>
          <w:szCs w:val="18"/>
        </w:rPr>
        <w:t>申万菱信中证申万证券行业指数型证券投资基金；</w:t>
      </w:r>
    </w:p>
    <w:p w:rsidR="001775DB" w:rsidRPr="00774937" w:rsidRDefault="001775DB" w:rsidP="00774937">
      <w:pPr>
        <w:pStyle w:val="HTML"/>
        <w:numPr>
          <w:ilvl w:val="0"/>
          <w:numId w:val="1"/>
        </w:numPr>
        <w:spacing w:line="420" w:lineRule="atLeast"/>
        <w:rPr>
          <w:color w:val="000000"/>
          <w:sz w:val="18"/>
          <w:szCs w:val="18"/>
        </w:rPr>
      </w:pPr>
      <w:r w:rsidRPr="00774937">
        <w:rPr>
          <w:rFonts w:hint="eastAsia"/>
          <w:bCs/>
          <w:color w:val="1E1E1E"/>
          <w:sz w:val="18"/>
          <w:szCs w:val="18"/>
        </w:rPr>
        <w:t>申万菱信中证军工指数分级证券投资基金现已</w:t>
      </w:r>
      <w:r w:rsidR="00CC3763">
        <w:rPr>
          <w:rFonts w:hint="eastAsia"/>
          <w:bCs/>
          <w:color w:val="1E1E1E"/>
          <w:sz w:val="18"/>
          <w:szCs w:val="18"/>
        </w:rPr>
        <w:t>变更</w:t>
      </w:r>
      <w:r w:rsidRPr="00774937">
        <w:rPr>
          <w:rFonts w:hint="eastAsia"/>
          <w:bCs/>
          <w:color w:val="1E1E1E"/>
          <w:sz w:val="18"/>
          <w:szCs w:val="18"/>
        </w:rPr>
        <w:t>为</w:t>
      </w:r>
      <w:r w:rsidR="00774937" w:rsidRPr="00774937">
        <w:rPr>
          <w:rFonts w:hint="eastAsia"/>
          <w:bCs/>
          <w:color w:val="1E1E1E"/>
          <w:sz w:val="18"/>
          <w:szCs w:val="18"/>
        </w:rPr>
        <w:t>申万菱信中证军工指数型证券投资基金；</w:t>
      </w:r>
    </w:p>
    <w:p w:rsidR="00774937" w:rsidRPr="00774937" w:rsidRDefault="001775DB" w:rsidP="00774937">
      <w:pPr>
        <w:pStyle w:val="HTML"/>
        <w:numPr>
          <w:ilvl w:val="0"/>
          <w:numId w:val="1"/>
        </w:numPr>
        <w:spacing w:before="100" w:beforeAutospacing="1" w:after="100" w:afterAutospacing="1" w:line="420" w:lineRule="atLeast"/>
        <w:rPr>
          <w:color w:val="000000"/>
          <w:sz w:val="18"/>
          <w:szCs w:val="18"/>
        </w:rPr>
      </w:pPr>
      <w:r w:rsidRPr="00774937">
        <w:rPr>
          <w:rFonts w:hint="eastAsia"/>
          <w:bCs/>
          <w:color w:val="1E1E1E"/>
          <w:sz w:val="18"/>
          <w:szCs w:val="18"/>
        </w:rPr>
        <w:t>申万菱信中证申万医药生物指数分级证券投资基金现已</w:t>
      </w:r>
      <w:r w:rsidR="00CC3763">
        <w:rPr>
          <w:rFonts w:hint="eastAsia"/>
          <w:bCs/>
          <w:color w:val="1E1E1E"/>
          <w:sz w:val="18"/>
          <w:szCs w:val="18"/>
        </w:rPr>
        <w:t>变更</w:t>
      </w:r>
      <w:bookmarkStart w:id="0" w:name="_GoBack"/>
      <w:bookmarkEnd w:id="0"/>
      <w:r w:rsidRPr="00774937">
        <w:rPr>
          <w:rFonts w:hint="eastAsia"/>
          <w:bCs/>
          <w:color w:val="1E1E1E"/>
          <w:sz w:val="18"/>
          <w:szCs w:val="18"/>
        </w:rPr>
        <w:t>为</w:t>
      </w:r>
      <w:r w:rsidR="00774937" w:rsidRPr="00774937">
        <w:rPr>
          <w:rFonts w:hint="eastAsia"/>
          <w:bCs/>
          <w:color w:val="1E1E1E"/>
          <w:sz w:val="18"/>
          <w:szCs w:val="18"/>
        </w:rPr>
        <w:t>申万菱信中证申万医药生物指数型证券投资基金。</w:t>
      </w:r>
    </w:p>
    <w:p w:rsidR="0085636D" w:rsidRPr="00774937" w:rsidRDefault="0085636D" w:rsidP="00774937">
      <w:pPr>
        <w:pStyle w:val="HTML"/>
        <w:spacing w:before="100" w:beforeAutospacing="1" w:after="100" w:afterAutospacing="1" w:line="420" w:lineRule="atLeast"/>
        <w:ind w:leftChars="229" w:left="481" w:firstLineChars="200" w:firstLine="480"/>
        <w:rPr>
          <w:color w:val="000000"/>
        </w:rPr>
      </w:pPr>
      <w:r w:rsidRPr="00774937">
        <w:rPr>
          <w:rFonts w:hint="eastAsia"/>
          <w:color w:val="000000"/>
        </w:rPr>
        <w:t>20</w:t>
      </w:r>
      <w:r w:rsidR="005236B9" w:rsidRPr="00774937">
        <w:rPr>
          <w:rFonts w:hint="eastAsia"/>
          <w:color w:val="000000"/>
        </w:rPr>
        <w:t>20</w:t>
      </w:r>
      <w:r w:rsidRPr="00774937">
        <w:rPr>
          <w:rFonts w:hint="eastAsia"/>
          <w:color w:val="000000"/>
        </w:rPr>
        <w:t>年年度报告全文于 202</w:t>
      </w:r>
      <w:r w:rsidR="005236B9" w:rsidRPr="00774937">
        <w:rPr>
          <w:rFonts w:hint="eastAsia"/>
          <w:color w:val="000000"/>
        </w:rPr>
        <w:t>1</w:t>
      </w:r>
      <w:r w:rsidRPr="00774937">
        <w:rPr>
          <w:rFonts w:hint="eastAsia"/>
          <w:color w:val="000000"/>
        </w:rPr>
        <w:t xml:space="preserve"> 年</w:t>
      </w:r>
      <w:r w:rsidR="005236B9" w:rsidRPr="00774937">
        <w:rPr>
          <w:rFonts w:hint="eastAsia"/>
          <w:color w:val="000000"/>
        </w:rPr>
        <w:t>3</w:t>
      </w:r>
      <w:r w:rsidRPr="00774937">
        <w:rPr>
          <w:rFonts w:hint="eastAsia"/>
          <w:color w:val="000000"/>
        </w:rPr>
        <w:t>月</w:t>
      </w:r>
      <w:r w:rsidR="005236B9" w:rsidRPr="00774937">
        <w:rPr>
          <w:rFonts w:hint="eastAsia"/>
          <w:color w:val="000000"/>
        </w:rPr>
        <w:t>31</w:t>
      </w:r>
      <w:r w:rsidRPr="00774937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85636D" w:rsidRDefault="0085636D" w:rsidP="0085636D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5636D" w:rsidRDefault="0085636D" w:rsidP="0085636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5636D" w:rsidRDefault="0085636D" w:rsidP="001775DB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特此公告。</w:t>
      </w:r>
    </w:p>
    <w:p w:rsidR="001775DB" w:rsidRDefault="0085636D" w:rsidP="001775DB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85636D" w:rsidRDefault="0085636D" w:rsidP="001775DB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8340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8340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340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1600ED" w:rsidRPr="0085636D" w:rsidRDefault="001600ED" w:rsidP="0085636D"/>
    <w:sectPr w:rsidR="001600ED" w:rsidRPr="0085636D" w:rsidSect="00E45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25" w:rsidRDefault="008E0825" w:rsidP="008E0825">
      <w:r>
        <w:separator/>
      </w:r>
    </w:p>
  </w:endnote>
  <w:endnote w:type="continuationSeparator" w:id="0">
    <w:p w:rsidR="008E0825" w:rsidRDefault="008E0825" w:rsidP="008E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25" w:rsidRDefault="008E0825" w:rsidP="008E0825">
      <w:r>
        <w:separator/>
      </w:r>
    </w:p>
  </w:footnote>
  <w:footnote w:type="continuationSeparator" w:id="0">
    <w:p w:rsidR="008E0825" w:rsidRDefault="008E0825" w:rsidP="008E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84B"/>
    <w:multiLevelType w:val="hybridMultilevel"/>
    <w:tmpl w:val="358EF78E"/>
    <w:lvl w:ilvl="0" w:tplc="58A2D4C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A83"/>
    <w:rsid w:val="00011C8B"/>
    <w:rsid w:val="001600ED"/>
    <w:rsid w:val="001775DB"/>
    <w:rsid w:val="003B06AC"/>
    <w:rsid w:val="005236B9"/>
    <w:rsid w:val="00774937"/>
    <w:rsid w:val="008340F3"/>
    <w:rsid w:val="0085636D"/>
    <w:rsid w:val="008E0825"/>
    <w:rsid w:val="00A019D9"/>
    <w:rsid w:val="00CC3763"/>
    <w:rsid w:val="00CF3CD4"/>
    <w:rsid w:val="00E4559D"/>
    <w:rsid w:val="00E8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8563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5636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E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8563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5636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4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2021-03-30T16:01:00Z</dcterms:created>
  <dcterms:modified xsi:type="dcterms:W3CDTF">2021-03-30T16:01:00Z</dcterms:modified>
</cp:coreProperties>
</file>