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B6546D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旗下全部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B3501" w:rsidRPr="00382696" w:rsidRDefault="00C90E87" w:rsidP="00B6546D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/>
          <w:b/>
          <w:color w:val="000000" w:themeColor="text1"/>
          <w:sz w:val="32"/>
          <w:szCs w:val="32"/>
        </w:rPr>
        <w:t>2020</w:t>
      </w: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</w:t>
      </w:r>
      <w:r w:rsidR="00A80AA6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年度</w:t>
      </w:r>
      <w:r w:rsidR="00BB350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报告提示性公告</w:t>
      </w:r>
    </w:p>
    <w:p w:rsidR="00B16987" w:rsidRPr="00382696" w:rsidRDefault="00B16987" w:rsidP="00B6546D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1" w:author="ZHONGM" w:date="2021-03-31T00:0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1E18E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B6546D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2020</w:t>
      </w:r>
      <w:r w:rsidR="00C90E87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A80AA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年度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报告全文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31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1E18E1" w:rsidTr="00AE647E">
        <w:trPr>
          <w:jc w:val="center"/>
        </w:trPr>
        <w:tc>
          <w:tcPr>
            <w:tcW w:w="673" w:type="pct"/>
          </w:tcPr>
          <w:p w:rsidR="00700941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/>
                <w:b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4327" w:type="pct"/>
          </w:tcPr>
          <w:p w:rsidR="00700941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/>
                <w:b/>
                <w:color w:val="000000" w:themeColor="text1"/>
                <w:sz w:val="30"/>
                <w:szCs w:val="30"/>
              </w:rPr>
              <w:t>基金名</w:t>
            </w:r>
            <w:r w:rsidR="00DC7E4E" w:rsidRPr="00382696">
              <w:rPr>
                <w:rFonts w:ascii="Times New Roman" w:eastAsia="仿宋" w:hAnsi="Times New Roman" w:hint="eastAsia"/>
                <w:b/>
                <w:color w:val="000000" w:themeColor="text1"/>
                <w:sz w:val="30"/>
                <w:szCs w:val="30"/>
              </w:rPr>
              <w:t>称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中金纯债债券型证券投资基金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中金现金管家货币市场基金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中金绝对收益策略定期开放混合型发起式证券投资基金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中金消费升级股票型证券投资基金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中金沪深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300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指数增强型发起式证券投资基金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中金中证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500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指数增强型发起式证券投资基金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中金量化多策略灵活配置混合型证券投资基金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中金金利债券型证券投资基金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中金金泽量化精选混合型发起式证券投资基金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中金丰硕混合型证券投资基金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中金金序量化蓝筹混合型证券投资基金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中金衡优灵活配置混合型证券投资基金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中金浙金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6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个月定期开放债券型发起式证券投资基金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中金中证优选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300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指数证券投资基金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(LOF)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15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MSCI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中国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A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股国际低波动指数发起式证券投资基金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16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中金金元债券型证券投资基金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17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中金瑞</w:t>
            </w:r>
            <w:r w:rsidR="00F24F87" w:rsidRPr="00382696">
              <w:rPr>
                <w:rFonts w:ascii="Times New Roman" w:eastAsia="仿宋" w:hAnsi="Times New Roman" w:cs="Arial"/>
                <w:sz w:val="30"/>
                <w:szCs w:val="30"/>
              </w:rPr>
              <w:t>和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灵活配置混合型证券投资基金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18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中金瑞</w:t>
            </w:r>
            <w:r w:rsidR="00F24F87"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祥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灵活配置混合型证券投资基金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19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中金新元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6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个月定期开放债券型证券投资基金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20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MSCI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中国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A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股国际质量指数发起式证券投资基金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21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MSCI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中国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A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股国际</w:t>
            </w:r>
            <w:r w:rsidR="00F24F87" w:rsidRPr="00382696">
              <w:rPr>
                <w:rFonts w:ascii="Times New Roman" w:eastAsia="仿宋" w:hAnsi="Times New Roman" w:cs="Arial"/>
                <w:sz w:val="30"/>
                <w:szCs w:val="30"/>
              </w:rPr>
              <w:t>红利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指数发起式证券投资基金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22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F24F87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MSCI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中国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A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股国际</w:t>
            </w:r>
            <w:r w:rsidR="00F24F87" w:rsidRPr="00382696">
              <w:rPr>
                <w:rFonts w:ascii="Times New Roman" w:eastAsia="仿宋" w:hAnsi="Times New Roman" w:cs="Arial"/>
                <w:sz w:val="30"/>
                <w:szCs w:val="30"/>
              </w:rPr>
              <w:t>价值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指数发起式证券投资基金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23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中金新医药股票型证券投资基金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24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中金衡盈混合型证券投资基金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25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中金科创主题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年封闭运作灵活配置混合型证券投资基金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26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中金衡益增强债券型证券投资基金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27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中金鑫裕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年定期开放债券型证券投资基金</w:t>
            </w:r>
          </w:p>
        </w:tc>
      </w:tr>
      <w:tr w:rsidR="00AE647E" w:rsidRPr="001E18E1" w:rsidTr="00AE647E">
        <w:trPr>
          <w:jc w:val="center"/>
        </w:trPr>
        <w:tc>
          <w:tcPr>
            <w:tcW w:w="673" w:type="pct"/>
            <w:vAlign w:val="center"/>
          </w:tcPr>
          <w:p w:rsidR="00AE647E" w:rsidRPr="00382696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28</w:t>
            </w:r>
          </w:p>
        </w:tc>
        <w:tc>
          <w:tcPr>
            <w:tcW w:w="4327" w:type="pct"/>
            <w:vAlign w:val="center"/>
          </w:tcPr>
          <w:p w:rsidR="00AE647E" w:rsidRPr="00382696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中金中债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1-3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年政策性金融债指数证券投资基金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29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中金新润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个月定期开放债券型证券投资基金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30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A80AA6">
            <w:pPr>
              <w:spacing w:line="540" w:lineRule="exact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中金中证沪港深优选消费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50</w:t>
            </w: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指数证券投资基金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31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中金衡利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</w:t>
            </w: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年定期开放债券型证券投资基金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32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中金新辉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</w:t>
            </w: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年定期开放债券型发起式证券投资基金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33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中金新盛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</w:t>
            </w: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年定期开放债券型发起式证券投资基金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34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中金鑫福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87</w:t>
            </w: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个月定期开放债券型证券投资基金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35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中金泰顺</w:t>
            </w: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12</w:t>
            </w: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个月定期开放混合型证券投资基金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t>36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中金瑞康灵活配置混合型证券投资基金</w:t>
            </w:r>
          </w:p>
        </w:tc>
      </w:tr>
      <w:tr w:rsidR="00A80AA6" w:rsidRPr="001E18E1" w:rsidTr="00AE647E">
        <w:trPr>
          <w:jc w:val="center"/>
        </w:trPr>
        <w:tc>
          <w:tcPr>
            <w:tcW w:w="673" w:type="pct"/>
            <w:vAlign w:val="center"/>
          </w:tcPr>
          <w:p w:rsidR="00A80AA6" w:rsidRPr="00382696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/>
                <w:sz w:val="30"/>
                <w:szCs w:val="30"/>
              </w:rPr>
              <w:lastRenderedPageBreak/>
              <w:t>37</w:t>
            </w:r>
          </w:p>
        </w:tc>
        <w:tc>
          <w:tcPr>
            <w:tcW w:w="4327" w:type="pct"/>
            <w:vAlign w:val="center"/>
          </w:tcPr>
          <w:p w:rsidR="00A80AA6" w:rsidRPr="00382696" w:rsidRDefault="00A80AA6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 w:rsidRPr="00382696">
              <w:rPr>
                <w:rFonts w:ascii="Times New Roman" w:eastAsia="仿宋" w:hAnsi="Times New Roman" w:cs="Arial" w:hint="eastAsia"/>
                <w:sz w:val="30"/>
                <w:szCs w:val="30"/>
              </w:rPr>
              <w:t>中金瑞泰灵活配置混合型证券投资基金</w:t>
            </w:r>
          </w:p>
        </w:tc>
      </w:tr>
    </w:tbl>
    <w:p w:rsidR="00BB3501" w:rsidRPr="00382696" w:rsidRDefault="00BB3501" w:rsidP="00B6546D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31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34" w:rsidRDefault="006A1034" w:rsidP="009A149B">
      <w:r>
        <w:separator/>
      </w:r>
    </w:p>
  </w:endnote>
  <w:endnote w:type="continuationSeparator" w:id="0">
    <w:p w:rsidR="006A1034" w:rsidRDefault="006A103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E62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546D" w:rsidRPr="00B6546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E62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546D" w:rsidRPr="00B6546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34" w:rsidRDefault="006A1034" w:rsidP="009A149B">
      <w:r>
        <w:separator/>
      </w:r>
    </w:p>
  </w:footnote>
  <w:footnote w:type="continuationSeparator" w:id="0">
    <w:p w:rsidR="006A1034" w:rsidRDefault="006A103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3A4C"/>
    <w:rsid w:val="001D74AE"/>
    <w:rsid w:val="001E18E1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28D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4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35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46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8E6"/>
    <w:rsid w:val="00D70A3B"/>
    <w:rsid w:val="00D72110"/>
    <w:rsid w:val="00D919AF"/>
    <w:rsid w:val="00D937BD"/>
    <w:rsid w:val="00DA2D7C"/>
    <w:rsid w:val="00DB6F0A"/>
    <w:rsid w:val="00DC7E4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2B5D-5BD4-4E31-A67F-DB0C0460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2021-03-30T16:06:00Z</dcterms:created>
  <dcterms:modified xsi:type="dcterms:W3CDTF">2021-03-30T16:06:00Z</dcterms:modified>
</cp:coreProperties>
</file>