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02" w:rsidRPr="005D2150" w:rsidRDefault="009B4FC5" w:rsidP="00287402">
      <w:pPr>
        <w:spacing w:line="360" w:lineRule="auto"/>
        <w:jc w:val="center"/>
        <w:rPr>
          <w:rFonts w:asciiTheme="minorEastAsia" w:eastAsiaTheme="minorEastAsia" w:hAnsiTheme="minorEastAsia"/>
          <w:b/>
          <w:bCs/>
          <w:color w:val="000000"/>
          <w:sz w:val="28"/>
          <w:szCs w:val="24"/>
        </w:rPr>
      </w:pPr>
      <w:r w:rsidRPr="005D2150">
        <w:rPr>
          <w:rFonts w:asciiTheme="minorEastAsia" w:eastAsiaTheme="minorEastAsia" w:hAnsiTheme="minorEastAsia" w:hint="eastAsia"/>
          <w:b/>
          <w:bCs/>
          <w:color w:val="000000"/>
          <w:sz w:val="28"/>
          <w:szCs w:val="24"/>
        </w:rPr>
        <w:t>南方基金管理股份有限公司关于</w:t>
      </w:r>
      <w:r w:rsidR="001C3148">
        <w:rPr>
          <w:rFonts w:asciiTheme="minorEastAsia" w:eastAsiaTheme="minorEastAsia" w:hAnsiTheme="minorEastAsia" w:hint="eastAsia"/>
          <w:b/>
          <w:bCs/>
          <w:color w:val="000000"/>
          <w:sz w:val="28"/>
          <w:szCs w:val="24"/>
        </w:rPr>
        <w:t>旗下部分指数基金</w:t>
      </w:r>
      <w:r w:rsidRPr="005D2150">
        <w:rPr>
          <w:rFonts w:asciiTheme="minorEastAsia" w:eastAsiaTheme="minorEastAsia" w:hAnsiTheme="minorEastAsia" w:hint="eastAsia"/>
          <w:b/>
          <w:bCs/>
          <w:color w:val="000000"/>
          <w:sz w:val="28"/>
          <w:szCs w:val="24"/>
        </w:rPr>
        <w:t>修订基金合同有关条款的公告</w:t>
      </w:r>
    </w:p>
    <w:p w:rsidR="00287402" w:rsidRPr="005D2150" w:rsidRDefault="00287402" w:rsidP="005D2150">
      <w:pPr>
        <w:spacing w:line="360" w:lineRule="auto"/>
        <w:ind w:firstLineChars="200" w:firstLine="420"/>
        <w:rPr>
          <w:rFonts w:asciiTheme="minorEastAsia" w:eastAsiaTheme="minorEastAsia" w:hAnsiTheme="minorEastAsia"/>
          <w:color w:val="000000"/>
          <w:szCs w:val="21"/>
        </w:rPr>
      </w:pPr>
    </w:p>
    <w:p w:rsidR="009B4FC5" w:rsidRDefault="009B4FC5" w:rsidP="005D2150">
      <w:pPr>
        <w:spacing w:line="360" w:lineRule="auto"/>
        <w:ind w:firstLineChars="200" w:firstLine="420"/>
        <w:rPr>
          <w:rFonts w:asciiTheme="minorEastAsia" w:eastAsiaTheme="minorEastAsia" w:hAnsiTheme="minorEastAsia"/>
          <w:color w:val="000000"/>
          <w:szCs w:val="21"/>
        </w:rPr>
      </w:pPr>
      <w:r w:rsidRPr="009B4FC5">
        <w:rPr>
          <w:rFonts w:asciiTheme="minorEastAsia" w:eastAsiaTheme="minorEastAsia" w:hAnsiTheme="minorEastAsia" w:hint="eastAsia"/>
          <w:color w:val="000000"/>
          <w:szCs w:val="21"/>
        </w:rPr>
        <w:t>根据《公开募集证券投资基金运作指引第3号——指数基金指引》</w:t>
      </w:r>
      <w:r>
        <w:rPr>
          <w:rFonts w:asciiTheme="minorEastAsia" w:eastAsiaTheme="minorEastAsia" w:hAnsiTheme="minorEastAsia" w:hint="eastAsia"/>
          <w:color w:val="000000"/>
          <w:szCs w:val="21"/>
        </w:rPr>
        <w:t>（以下简称“《</w:t>
      </w:r>
      <w:r w:rsidRPr="009B4FC5">
        <w:rPr>
          <w:rFonts w:asciiTheme="minorEastAsia" w:eastAsiaTheme="minorEastAsia" w:hAnsiTheme="minorEastAsia" w:hint="eastAsia"/>
          <w:color w:val="000000"/>
          <w:szCs w:val="21"/>
        </w:rPr>
        <w:t>指数基金指引</w:t>
      </w:r>
      <w:r>
        <w:rPr>
          <w:rFonts w:asciiTheme="minorEastAsia" w:eastAsiaTheme="minorEastAsia" w:hAnsiTheme="minorEastAsia" w:hint="eastAsia"/>
          <w:color w:val="000000"/>
          <w:szCs w:val="21"/>
        </w:rPr>
        <w:t>》”）等有关法律法规</w:t>
      </w:r>
      <w:r w:rsidR="00F758EE">
        <w:rPr>
          <w:rFonts w:asciiTheme="minorEastAsia" w:eastAsiaTheme="minorEastAsia" w:hAnsiTheme="minorEastAsia" w:hint="eastAsia"/>
          <w:color w:val="000000"/>
          <w:szCs w:val="21"/>
        </w:rPr>
        <w:t>的规定</w:t>
      </w:r>
      <w:r>
        <w:rPr>
          <w:rFonts w:asciiTheme="minorEastAsia" w:eastAsiaTheme="minorEastAsia" w:hAnsiTheme="minorEastAsia" w:hint="eastAsia"/>
          <w:color w:val="000000"/>
          <w:szCs w:val="21"/>
        </w:rPr>
        <w:t>和基金合同的约定</w:t>
      </w:r>
      <w:r w:rsidRPr="009B4FC5">
        <w:rPr>
          <w:rFonts w:asciiTheme="minorEastAsia" w:eastAsiaTheme="minorEastAsia" w:hAnsiTheme="minorEastAsia" w:hint="eastAsia"/>
          <w:color w:val="000000"/>
          <w:szCs w:val="21"/>
        </w:rPr>
        <w:t>，经与</w:t>
      </w:r>
      <w:r w:rsidR="00A31DD6">
        <w:rPr>
          <w:rFonts w:asciiTheme="minorEastAsia" w:eastAsiaTheme="minorEastAsia" w:hAnsiTheme="minorEastAsia" w:hint="eastAsia"/>
          <w:color w:val="000000"/>
          <w:szCs w:val="21"/>
        </w:rPr>
        <w:t>相关指数基金的</w:t>
      </w:r>
      <w:r w:rsidRPr="009B4FC5">
        <w:rPr>
          <w:rFonts w:asciiTheme="minorEastAsia" w:eastAsiaTheme="minorEastAsia" w:hAnsiTheme="minorEastAsia" w:hint="eastAsia"/>
          <w:color w:val="000000"/>
          <w:szCs w:val="21"/>
        </w:rPr>
        <w:t>基金托管</w:t>
      </w:r>
      <w:r>
        <w:rPr>
          <w:rFonts w:asciiTheme="minorEastAsia" w:eastAsiaTheme="minorEastAsia" w:hAnsiTheme="minorEastAsia" w:hint="eastAsia"/>
          <w:color w:val="000000"/>
          <w:szCs w:val="21"/>
        </w:rPr>
        <w:t>人协商一致，并向中国证监会</w:t>
      </w:r>
      <w:r w:rsidRPr="009B4FC5">
        <w:rPr>
          <w:rFonts w:asciiTheme="minorEastAsia" w:eastAsiaTheme="minorEastAsia" w:hAnsiTheme="minorEastAsia" w:hint="eastAsia"/>
          <w:color w:val="000000"/>
          <w:szCs w:val="21"/>
        </w:rPr>
        <w:t>备案，南方基金管理股份有限公司（以下简称“</w:t>
      </w:r>
      <w:r>
        <w:rPr>
          <w:rFonts w:asciiTheme="minorEastAsia" w:eastAsiaTheme="minorEastAsia" w:hAnsiTheme="minorEastAsia" w:hint="eastAsia"/>
          <w:color w:val="000000"/>
          <w:szCs w:val="21"/>
        </w:rPr>
        <w:t>本公司</w:t>
      </w:r>
      <w:r w:rsidRPr="009B4FC5">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对</w:t>
      </w:r>
      <w:r w:rsidR="00A31DD6">
        <w:rPr>
          <w:rFonts w:asciiTheme="minorEastAsia" w:eastAsiaTheme="minorEastAsia" w:hAnsiTheme="minorEastAsia" w:hint="eastAsia"/>
          <w:color w:val="000000"/>
          <w:szCs w:val="21"/>
        </w:rPr>
        <w:t>旗下部分指数基金的</w:t>
      </w:r>
      <w:r w:rsidRPr="009B4FC5">
        <w:rPr>
          <w:rFonts w:asciiTheme="minorEastAsia" w:eastAsiaTheme="minorEastAsia" w:hAnsiTheme="minorEastAsia" w:hint="eastAsia"/>
          <w:color w:val="000000"/>
          <w:szCs w:val="21"/>
        </w:rPr>
        <w:t>基金合同</w:t>
      </w:r>
      <w:r>
        <w:rPr>
          <w:rFonts w:asciiTheme="minorEastAsia" w:eastAsiaTheme="minorEastAsia" w:hAnsiTheme="minorEastAsia" w:hint="eastAsia"/>
          <w:color w:val="000000"/>
          <w:szCs w:val="21"/>
        </w:rPr>
        <w:t>有关条款</w:t>
      </w:r>
      <w:r w:rsidRPr="009B4FC5">
        <w:rPr>
          <w:rFonts w:asciiTheme="minorEastAsia" w:eastAsiaTheme="minorEastAsia" w:hAnsiTheme="minorEastAsia" w:hint="eastAsia"/>
          <w:color w:val="000000"/>
          <w:szCs w:val="21"/>
        </w:rPr>
        <w:t>进行</w:t>
      </w:r>
      <w:r>
        <w:rPr>
          <w:rFonts w:asciiTheme="minorEastAsia" w:eastAsiaTheme="minorEastAsia" w:hAnsiTheme="minorEastAsia" w:hint="eastAsia"/>
          <w:color w:val="000000"/>
          <w:szCs w:val="21"/>
        </w:rPr>
        <w:t>修订</w:t>
      </w:r>
      <w:r w:rsidRPr="009B4FC5">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现将有关修订内容说明如下</w:t>
      </w:r>
      <w:r w:rsidRPr="009B4FC5">
        <w:rPr>
          <w:rFonts w:asciiTheme="minorEastAsia" w:eastAsiaTheme="minorEastAsia" w:hAnsiTheme="minorEastAsia" w:hint="eastAsia"/>
          <w:color w:val="000000"/>
          <w:szCs w:val="21"/>
        </w:rPr>
        <w:t>：</w:t>
      </w:r>
    </w:p>
    <w:p w:rsidR="0063653E" w:rsidRDefault="009B4FC5" w:rsidP="009B4FC5">
      <w:pPr>
        <w:spacing w:line="360" w:lineRule="auto"/>
        <w:ind w:firstLineChars="200" w:firstLine="420"/>
        <w:rPr>
          <w:rFonts w:asciiTheme="minorEastAsia" w:eastAsiaTheme="minorEastAsia" w:hAnsiTheme="minorEastAsia"/>
          <w:color w:val="000000"/>
          <w:szCs w:val="21"/>
        </w:rPr>
      </w:pPr>
      <w:r w:rsidRPr="009B4FC5">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根据</w:t>
      </w:r>
      <w:r w:rsidRPr="009B4FC5">
        <w:rPr>
          <w:rFonts w:asciiTheme="minorEastAsia" w:eastAsiaTheme="minorEastAsia" w:hAnsiTheme="minorEastAsia" w:hint="eastAsia"/>
          <w:color w:val="000000"/>
          <w:szCs w:val="21"/>
        </w:rPr>
        <w:t>《指数基金指引》等有关法律法规</w:t>
      </w:r>
      <w:r w:rsidR="00F758EE">
        <w:rPr>
          <w:rFonts w:asciiTheme="minorEastAsia" w:eastAsiaTheme="minorEastAsia" w:hAnsiTheme="minorEastAsia" w:hint="eastAsia"/>
          <w:color w:val="000000"/>
          <w:szCs w:val="21"/>
        </w:rPr>
        <w:t>的</w:t>
      </w:r>
      <w:r w:rsidR="00F758EE">
        <w:rPr>
          <w:rFonts w:asciiTheme="minorEastAsia" w:eastAsiaTheme="minorEastAsia" w:hAnsiTheme="minorEastAsia"/>
          <w:color w:val="000000"/>
          <w:szCs w:val="21"/>
        </w:rPr>
        <w:t>规定</w:t>
      </w:r>
      <w:r w:rsidRPr="009B4FC5">
        <w:rPr>
          <w:rFonts w:asciiTheme="minorEastAsia" w:eastAsiaTheme="minorEastAsia" w:hAnsiTheme="minorEastAsia" w:hint="eastAsia"/>
          <w:color w:val="000000"/>
          <w:szCs w:val="21"/>
        </w:rPr>
        <w:t>和基金合同的约定，对</w:t>
      </w:r>
      <w:r w:rsidR="00A31DD6" w:rsidRPr="00A31DD6">
        <w:rPr>
          <w:rFonts w:asciiTheme="minorEastAsia" w:eastAsiaTheme="minorEastAsia" w:hAnsiTheme="minorEastAsia" w:hint="eastAsia"/>
          <w:color w:val="000000"/>
          <w:szCs w:val="21"/>
        </w:rPr>
        <w:t>旗下部分指数基金的</w:t>
      </w:r>
      <w:r w:rsidRPr="009B4FC5">
        <w:rPr>
          <w:rFonts w:asciiTheme="minorEastAsia" w:eastAsiaTheme="minorEastAsia" w:hAnsiTheme="minorEastAsia" w:hint="eastAsia"/>
          <w:color w:val="000000"/>
          <w:szCs w:val="21"/>
        </w:rPr>
        <w:t>基金合同</w:t>
      </w:r>
      <w:r>
        <w:rPr>
          <w:rFonts w:asciiTheme="minorEastAsia" w:eastAsiaTheme="minorEastAsia" w:hAnsiTheme="minorEastAsia" w:hint="eastAsia"/>
          <w:color w:val="000000"/>
          <w:szCs w:val="21"/>
        </w:rPr>
        <w:t>有关</w:t>
      </w:r>
      <w:r w:rsidRPr="009B4FC5">
        <w:rPr>
          <w:rFonts w:asciiTheme="minorEastAsia" w:eastAsiaTheme="minorEastAsia" w:hAnsiTheme="minorEastAsia" w:hint="eastAsia"/>
          <w:color w:val="000000"/>
          <w:szCs w:val="21"/>
        </w:rPr>
        <w:t>条款进行修订，包括在前言和释义中增加《指数基金指引》的相关表述，</w:t>
      </w:r>
      <w:r w:rsidR="0063653E" w:rsidRPr="0063653E">
        <w:rPr>
          <w:rFonts w:asciiTheme="minorEastAsia" w:eastAsiaTheme="minorEastAsia" w:hAnsiTheme="minorEastAsia" w:hint="eastAsia"/>
          <w:color w:val="000000"/>
          <w:szCs w:val="21"/>
        </w:rPr>
        <w:t>在前言中增加跟踪误差控制未达约定目标、指数编制机构停止服务、</w:t>
      </w:r>
      <w:r w:rsidR="0039357D">
        <w:rPr>
          <w:rFonts w:asciiTheme="minorEastAsia" w:eastAsiaTheme="minorEastAsia" w:hAnsiTheme="minorEastAsia" w:hint="eastAsia"/>
          <w:color w:val="000000"/>
          <w:szCs w:val="21"/>
        </w:rPr>
        <w:t>成份券</w:t>
      </w:r>
      <w:r w:rsidR="0063653E" w:rsidRPr="0063653E">
        <w:rPr>
          <w:rFonts w:asciiTheme="minorEastAsia" w:eastAsiaTheme="minorEastAsia" w:hAnsiTheme="minorEastAsia" w:hint="eastAsia"/>
          <w:color w:val="000000"/>
          <w:szCs w:val="21"/>
        </w:rPr>
        <w:t>停牌、摘牌或违约等风险揭示</w:t>
      </w:r>
      <w:r w:rsidR="0063653E">
        <w:rPr>
          <w:rFonts w:asciiTheme="minorEastAsia" w:eastAsiaTheme="minorEastAsia" w:hAnsiTheme="minorEastAsia" w:hint="eastAsia"/>
          <w:color w:val="000000"/>
          <w:szCs w:val="21"/>
        </w:rPr>
        <w:t>，</w:t>
      </w:r>
      <w:r w:rsidR="0063653E" w:rsidRPr="0063653E">
        <w:rPr>
          <w:rFonts w:asciiTheme="minorEastAsia" w:eastAsiaTheme="minorEastAsia" w:hAnsiTheme="minorEastAsia" w:hint="eastAsia"/>
          <w:color w:val="000000"/>
          <w:szCs w:val="21"/>
        </w:rPr>
        <w:t>在投资章节中补充未来</w:t>
      </w:r>
      <w:r w:rsidR="0063653E">
        <w:rPr>
          <w:rFonts w:asciiTheme="minorEastAsia" w:eastAsiaTheme="minorEastAsia" w:hAnsiTheme="minorEastAsia" w:hint="eastAsia"/>
          <w:color w:val="000000"/>
          <w:szCs w:val="21"/>
        </w:rPr>
        <w:t>若出现标的指数不符合要求、指数编制机构</w:t>
      </w:r>
      <w:r w:rsidR="00F758EE">
        <w:rPr>
          <w:rFonts w:asciiTheme="minorEastAsia" w:eastAsiaTheme="minorEastAsia" w:hAnsiTheme="minorEastAsia" w:hint="eastAsia"/>
          <w:color w:val="000000"/>
          <w:szCs w:val="21"/>
        </w:rPr>
        <w:t>退出</w:t>
      </w:r>
      <w:r w:rsidR="0063653E">
        <w:rPr>
          <w:rFonts w:asciiTheme="minorEastAsia" w:eastAsiaTheme="minorEastAsia" w:hAnsiTheme="minorEastAsia" w:hint="eastAsia"/>
          <w:color w:val="000000"/>
          <w:szCs w:val="21"/>
        </w:rPr>
        <w:t>等情形</w:t>
      </w:r>
      <w:r w:rsidR="00F758EE">
        <w:rPr>
          <w:rFonts w:asciiTheme="minorEastAsia" w:eastAsiaTheme="minorEastAsia" w:hAnsiTheme="minorEastAsia" w:hint="eastAsia"/>
          <w:color w:val="000000"/>
          <w:szCs w:val="21"/>
        </w:rPr>
        <w:t>时的</w:t>
      </w:r>
      <w:r w:rsidR="00F758EE">
        <w:rPr>
          <w:rFonts w:asciiTheme="minorEastAsia" w:eastAsiaTheme="minorEastAsia" w:hAnsiTheme="minorEastAsia"/>
          <w:color w:val="000000"/>
          <w:szCs w:val="21"/>
        </w:rPr>
        <w:t>应急处置安排</w:t>
      </w:r>
      <w:r w:rsidR="0063653E">
        <w:rPr>
          <w:rFonts w:asciiTheme="minorEastAsia" w:eastAsiaTheme="minorEastAsia" w:hAnsiTheme="minorEastAsia" w:hint="eastAsia"/>
          <w:color w:val="000000"/>
          <w:szCs w:val="21"/>
        </w:rPr>
        <w:t>等</w:t>
      </w:r>
      <w:r w:rsidR="0063653E" w:rsidRPr="0063653E">
        <w:rPr>
          <w:rFonts w:asciiTheme="minorEastAsia" w:eastAsiaTheme="minorEastAsia" w:hAnsiTheme="minorEastAsia" w:hint="eastAsia"/>
          <w:color w:val="000000"/>
          <w:szCs w:val="21"/>
        </w:rPr>
        <w:t>。</w:t>
      </w:r>
      <w:r w:rsidR="0063653E">
        <w:rPr>
          <w:rFonts w:asciiTheme="minorEastAsia" w:eastAsiaTheme="minorEastAsia" w:hAnsiTheme="minorEastAsia" w:hint="eastAsia"/>
          <w:color w:val="000000"/>
          <w:szCs w:val="21"/>
        </w:rPr>
        <w:t>此外，</w:t>
      </w:r>
      <w:r w:rsidR="0063653E" w:rsidRPr="0063653E">
        <w:rPr>
          <w:rFonts w:asciiTheme="minorEastAsia" w:eastAsiaTheme="minorEastAsia" w:hAnsiTheme="minorEastAsia" w:hint="eastAsia"/>
          <w:color w:val="000000"/>
          <w:szCs w:val="21"/>
        </w:rPr>
        <w:t>在</w:t>
      </w:r>
      <w:r w:rsidR="00A31DD6">
        <w:rPr>
          <w:rFonts w:asciiTheme="minorEastAsia" w:eastAsiaTheme="minorEastAsia" w:hAnsiTheme="minorEastAsia" w:hint="eastAsia"/>
          <w:color w:val="000000"/>
          <w:szCs w:val="21"/>
        </w:rPr>
        <w:t>基金的</w:t>
      </w:r>
      <w:r w:rsidR="0063653E" w:rsidRPr="0063653E">
        <w:rPr>
          <w:rFonts w:asciiTheme="minorEastAsia" w:eastAsiaTheme="minorEastAsia" w:hAnsiTheme="minorEastAsia" w:hint="eastAsia"/>
          <w:color w:val="000000"/>
          <w:szCs w:val="21"/>
        </w:rPr>
        <w:t>招募说明书</w:t>
      </w:r>
      <w:r w:rsidR="0063653E">
        <w:rPr>
          <w:rFonts w:asciiTheme="minorEastAsia" w:eastAsiaTheme="minorEastAsia" w:hAnsiTheme="minorEastAsia" w:hint="eastAsia"/>
          <w:color w:val="000000"/>
          <w:szCs w:val="21"/>
        </w:rPr>
        <w:t>中增加标的指数</w:t>
      </w:r>
      <w:r w:rsidR="00482C59">
        <w:rPr>
          <w:rFonts w:asciiTheme="minorEastAsia" w:eastAsiaTheme="minorEastAsia" w:hAnsiTheme="minorEastAsia" w:hint="eastAsia"/>
          <w:color w:val="000000"/>
          <w:szCs w:val="21"/>
        </w:rPr>
        <w:t>的</w:t>
      </w:r>
      <w:r w:rsidR="00482C59" w:rsidRPr="00482C59">
        <w:rPr>
          <w:rFonts w:asciiTheme="minorEastAsia" w:eastAsiaTheme="minorEastAsia" w:hAnsiTheme="minorEastAsia" w:hint="eastAsia"/>
          <w:color w:val="000000"/>
          <w:szCs w:val="21"/>
        </w:rPr>
        <w:t>编制方法以及查询指数信息的途径</w:t>
      </w:r>
      <w:r w:rsidR="0063653E">
        <w:rPr>
          <w:rFonts w:asciiTheme="minorEastAsia" w:eastAsiaTheme="minorEastAsia" w:hAnsiTheme="minorEastAsia" w:hint="eastAsia"/>
          <w:color w:val="000000"/>
          <w:szCs w:val="21"/>
        </w:rPr>
        <w:t>；</w:t>
      </w:r>
      <w:r w:rsidRPr="009B4FC5">
        <w:rPr>
          <w:rFonts w:asciiTheme="minorEastAsia" w:eastAsiaTheme="minorEastAsia" w:hAnsiTheme="minorEastAsia" w:hint="eastAsia"/>
          <w:color w:val="000000"/>
          <w:szCs w:val="21"/>
        </w:rPr>
        <w:t>在基金</w:t>
      </w:r>
      <w:r w:rsidR="00A31DD6">
        <w:rPr>
          <w:rFonts w:asciiTheme="minorEastAsia" w:eastAsiaTheme="minorEastAsia" w:hAnsiTheme="minorEastAsia" w:hint="eastAsia"/>
          <w:color w:val="000000"/>
          <w:szCs w:val="21"/>
        </w:rPr>
        <w:t>的</w:t>
      </w:r>
      <w:r w:rsidRPr="009B4FC5">
        <w:rPr>
          <w:rFonts w:asciiTheme="minorEastAsia" w:eastAsiaTheme="minorEastAsia" w:hAnsiTheme="minorEastAsia" w:hint="eastAsia"/>
          <w:color w:val="000000"/>
          <w:szCs w:val="21"/>
        </w:rPr>
        <w:t>招募说明书、</w:t>
      </w:r>
      <w:r w:rsidR="0063653E">
        <w:rPr>
          <w:rFonts w:asciiTheme="minorEastAsia" w:eastAsiaTheme="minorEastAsia" w:hAnsiTheme="minorEastAsia" w:hint="eastAsia"/>
          <w:color w:val="000000"/>
          <w:szCs w:val="21"/>
        </w:rPr>
        <w:t>基金</w:t>
      </w:r>
      <w:r w:rsidRPr="009B4FC5">
        <w:rPr>
          <w:rFonts w:asciiTheme="minorEastAsia" w:eastAsiaTheme="minorEastAsia" w:hAnsiTheme="minorEastAsia" w:hint="eastAsia"/>
          <w:color w:val="000000"/>
          <w:szCs w:val="21"/>
        </w:rPr>
        <w:t>产品资料概要中增加</w:t>
      </w:r>
      <w:r w:rsidR="0063653E" w:rsidRPr="0063653E">
        <w:rPr>
          <w:rFonts w:asciiTheme="minorEastAsia" w:eastAsiaTheme="minorEastAsia" w:hAnsiTheme="minorEastAsia" w:hint="eastAsia"/>
          <w:color w:val="000000"/>
          <w:szCs w:val="21"/>
        </w:rPr>
        <w:t>跟踪误差控制未达约定目标、指数编制机构停止服务、</w:t>
      </w:r>
      <w:r w:rsidR="0039357D">
        <w:rPr>
          <w:rFonts w:asciiTheme="minorEastAsia" w:eastAsiaTheme="minorEastAsia" w:hAnsiTheme="minorEastAsia" w:hint="eastAsia"/>
          <w:color w:val="000000"/>
          <w:szCs w:val="21"/>
        </w:rPr>
        <w:t>成份券</w:t>
      </w:r>
      <w:r w:rsidR="0063653E" w:rsidRPr="0063653E">
        <w:rPr>
          <w:rFonts w:asciiTheme="minorEastAsia" w:eastAsiaTheme="minorEastAsia" w:hAnsiTheme="minorEastAsia" w:hint="eastAsia"/>
          <w:color w:val="000000"/>
          <w:szCs w:val="21"/>
        </w:rPr>
        <w:t>停牌、摘牌或违约等风险揭示</w:t>
      </w:r>
      <w:r w:rsidR="0063653E">
        <w:rPr>
          <w:rFonts w:asciiTheme="minorEastAsia" w:eastAsiaTheme="minorEastAsia" w:hAnsiTheme="minorEastAsia" w:hint="eastAsia"/>
          <w:color w:val="000000"/>
          <w:szCs w:val="21"/>
        </w:rPr>
        <w:t>。</w:t>
      </w:r>
      <w:r w:rsidR="00A31DD6">
        <w:rPr>
          <w:rFonts w:asciiTheme="minorEastAsia" w:eastAsiaTheme="minorEastAsia" w:hAnsiTheme="minorEastAsia" w:hint="eastAsia"/>
          <w:color w:val="000000"/>
          <w:szCs w:val="21"/>
        </w:rPr>
        <w:t>相关基金的名单及</w:t>
      </w:r>
      <w:r w:rsidRPr="009B4FC5">
        <w:rPr>
          <w:rFonts w:asciiTheme="minorEastAsia" w:eastAsiaTheme="minorEastAsia" w:hAnsiTheme="minorEastAsia" w:hint="eastAsia"/>
          <w:color w:val="000000"/>
          <w:szCs w:val="21"/>
        </w:rPr>
        <w:t>基金合同修订条目和内容</w:t>
      </w:r>
      <w:r w:rsidR="0063653E">
        <w:rPr>
          <w:rFonts w:asciiTheme="minorEastAsia" w:eastAsiaTheme="minorEastAsia" w:hAnsiTheme="minorEastAsia" w:hint="eastAsia"/>
          <w:color w:val="000000"/>
          <w:szCs w:val="21"/>
        </w:rPr>
        <w:t>具体</w:t>
      </w:r>
      <w:r w:rsidRPr="009B4FC5">
        <w:rPr>
          <w:rFonts w:asciiTheme="minorEastAsia" w:eastAsiaTheme="minorEastAsia" w:hAnsiTheme="minorEastAsia" w:hint="eastAsia"/>
          <w:color w:val="000000"/>
          <w:szCs w:val="21"/>
        </w:rPr>
        <w:t>参见附件</w:t>
      </w:r>
      <w:r w:rsidR="0063653E">
        <w:rPr>
          <w:rFonts w:asciiTheme="minorEastAsia" w:eastAsiaTheme="minorEastAsia" w:hAnsiTheme="minorEastAsia" w:hint="eastAsia"/>
          <w:color w:val="000000"/>
          <w:szCs w:val="21"/>
        </w:rPr>
        <w:t>。</w:t>
      </w:r>
    </w:p>
    <w:p w:rsidR="009B4FC5" w:rsidRPr="009B4FC5" w:rsidRDefault="009B4FC5" w:rsidP="009B4FC5">
      <w:pPr>
        <w:spacing w:line="360" w:lineRule="auto"/>
        <w:ind w:firstLineChars="200" w:firstLine="420"/>
        <w:rPr>
          <w:rFonts w:asciiTheme="minorEastAsia" w:eastAsiaTheme="minorEastAsia" w:hAnsiTheme="minorEastAsia"/>
          <w:color w:val="000000"/>
          <w:szCs w:val="21"/>
        </w:rPr>
      </w:pPr>
      <w:r w:rsidRPr="009B4FC5">
        <w:rPr>
          <w:rFonts w:asciiTheme="minorEastAsia" w:eastAsiaTheme="minorEastAsia" w:hAnsiTheme="minorEastAsia" w:hint="eastAsia"/>
          <w:color w:val="000000"/>
          <w:szCs w:val="21"/>
        </w:rPr>
        <w:t>本次修订</w:t>
      </w:r>
      <w:r w:rsidR="0063653E">
        <w:rPr>
          <w:rFonts w:asciiTheme="minorEastAsia" w:eastAsiaTheme="minorEastAsia" w:hAnsiTheme="minorEastAsia" w:hint="eastAsia"/>
          <w:color w:val="000000"/>
          <w:szCs w:val="21"/>
        </w:rPr>
        <w:t>自</w:t>
      </w:r>
      <w:r w:rsidR="0063653E" w:rsidRPr="0063653E">
        <w:rPr>
          <w:rFonts w:asciiTheme="minorEastAsia" w:eastAsiaTheme="minorEastAsia" w:hAnsiTheme="minorEastAsia" w:hint="eastAsia"/>
          <w:color w:val="000000"/>
          <w:szCs w:val="21"/>
        </w:rPr>
        <w:t>2021年3月</w:t>
      </w:r>
      <w:r w:rsidR="00116DD4">
        <w:rPr>
          <w:rFonts w:asciiTheme="minorEastAsia" w:eastAsiaTheme="minorEastAsia" w:hAnsiTheme="minorEastAsia"/>
          <w:color w:val="000000"/>
          <w:szCs w:val="21"/>
        </w:rPr>
        <w:t>3</w:t>
      </w:r>
      <w:r w:rsidR="00D02834">
        <w:rPr>
          <w:rFonts w:asciiTheme="minorEastAsia" w:eastAsiaTheme="minorEastAsia" w:hAnsiTheme="minorEastAsia"/>
          <w:color w:val="000000"/>
          <w:szCs w:val="21"/>
        </w:rPr>
        <w:t>1</w:t>
      </w:r>
      <w:r w:rsidR="0063653E" w:rsidRPr="0063653E">
        <w:rPr>
          <w:rFonts w:asciiTheme="minorEastAsia" w:eastAsiaTheme="minorEastAsia" w:hAnsiTheme="minorEastAsia" w:hint="eastAsia"/>
          <w:color w:val="000000"/>
          <w:szCs w:val="21"/>
        </w:rPr>
        <w:t>日生效</w:t>
      </w:r>
      <w:r w:rsidRPr="009B4FC5">
        <w:rPr>
          <w:rFonts w:asciiTheme="minorEastAsia" w:eastAsiaTheme="minorEastAsia" w:hAnsiTheme="minorEastAsia" w:hint="eastAsia"/>
          <w:color w:val="000000"/>
          <w:szCs w:val="21"/>
        </w:rPr>
        <w:t>。招募说明书、</w:t>
      </w:r>
      <w:r w:rsidR="0063653E">
        <w:rPr>
          <w:rFonts w:asciiTheme="minorEastAsia" w:eastAsiaTheme="minorEastAsia" w:hAnsiTheme="minorEastAsia" w:hint="eastAsia"/>
          <w:color w:val="000000"/>
          <w:szCs w:val="21"/>
        </w:rPr>
        <w:t>基金</w:t>
      </w:r>
      <w:r w:rsidRPr="009B4FC5">
        <w:rPr>
          <w:rFonts w:asciiTheme="minorEastAsia" w:eastAsiaTheme="minorEastAsia" w:hAnsiTheme="minorEastAsia" w:hint="eastAsia"/>
          <w:color w:val="000000"/>
          <w:szCs w:val="21"/>
        </w:rPr>
        <w:t>产品资料概要涉及的上述相关内容也已进行相应修订。</w:t>
      </w:r>
    </w:p>
    <w:p w:rsidR="009B4FC5" w:rsidRPr="009B4FC5" w:rsidRDefault="009B4FC5" w:rsidP="005D2150">
      <w:pPr>
        <w:spacing w:line="360" w:lineRule="auto"/>
        <w:ind w:firstLineChars="200" w:firstLine="420"/>
        <w:rPr>
          <w:rFonts w:asciiTheme="minorEastAsia" w:eastAsiaTheme="minorEastAsia" w:hAnsiTheme="minorEastAsia"/>
          <w:color w:val="000000"/>
          <w:szCs w:val="21"/>
        </w:rPr>
      </w:pPr>
      <w:r w:rsidRPr="009B4FC5">
        <w:rPr>
          <w:rFonts w:asciiTheme="minorEastAsia" w:eastAsiaTheme="minorEastAsia" w:hAnsiTheme="minorEastAsia" w:hint="eastAsia"/>
          <w:color w:val="000000"/>
          <w:szCs w:val="21"/>
        </w:rPr>
        <w:t>2、本次</w:t>
      </w:r>
      <w:r w:rsidR="00A31DD6">
        <w:rPr>
          <w:rFonts w:asciiTheme="minorEastAsia" w:eastAsiaTheme="minorEastAsia" w:hAnsiTheme="minorEastAsia" w:hint="eastAsia"/>
          <w:color w:val="000000"/>
          <w:szCs w:val="21"/>
        </w:rPr>
        <w:t>相关基金</w:t>
      </w:r>
      <w:r w:rsidR="00482C59">
        <w:rPr>
          <w:rFonts w:asciiTheme="minorEastAsia" w:eastAsiaTheme="minorEastAsia" w:hAnsiTheme="minorEastAsia" w:hint="eastAsia"/>
          <w:color w:val="000000"/>
          <w:szCs w:val="21"/>
        </w:rPr>
        <w:t>的</w:t>
      </w:r>
      <w:r w:rsidRPr="009B4FC5">
        <w:rPr>
          <w:rFonts w:asciiTheme="minorEastAsia" w:eastAsiaTheme="minorEastAsia" w:hAnsiTheme="minorEastAsia" w:hint="eastAsia"/>
          <w:color w:val="000000"/>
          <w:szCs w:val="21"/>
        </w:rPr>
        <w:t>基金合同、招募说明书和</w:t>
      </w:r>
      <w:r w:rsidR="00482C59">
        <w:rPr>
          <w:rFonts w:asciiTheme="minorEastAsia" w:eastAsiaTheme="minorEastAsia" w:hAnsiTheme="minorEastAsia" w:hint="eastAsia"/>
          <w:color w:val="000000"/>
          <w:szCs w:val="21"/>
        </w:rPr>
        <w:t>基金</w:t>
      </w:r>
      <w:r w:rsidRPr="009B4FC5">
        <w:rPr>
          <w:rFonts w:asciiTheme="minorEastAsia" w:eastAsiaTheme="minorEastAsia" w:hAnsiTheme="minorEastAsia" w:hint="eastAsia"/>
          <w:color w:val="000000"/>
          <w:szCs w:val="21"/>
        </w:rPr>
        <w:t>产品资料</w:t>
      </w:r>
      <w:r w:rsidR="00D41333">
        <w:rPr>
          <w:rFonts w:asciiTheme="minorEastAsia" w:eastAsiaTheme="minorEastAsia" w:hAnsiTheme="minorEastAsia" w:hint="eastAsia"/>
          <w:color w:val="000000"/>
          <w:szCs w:val="21"/>
        </w:rPr>
        <w:t>概要</w:t>
      </w:r>
      <w:r w:rsidRPr="009B4FC5">
        <w:rPr>
          <w:rFonts w:asciiTheme="minorEastAsia" w:eastAsiaTheme="minorEastAsia" w:hAnsiTheme="minorEastAsia" w:hint="eastAsia"/>
          <w:color w:val="000000"/>
          <w:szCs w:val="21"/>
        </w:rPr>
        <w:t>修订的内容和程序符合有关法律法规</w:t>
      </w:r>
      <w:r w:rsidR="00F758EE">
        <w:rPr>
          <w:rFonts w:asciiTheme="minorEastAsia" w:eastAsiaTheme="minorEastAsia" w:hAnsiTheme="minorEastAsia" w:hint="eastAsia"/>
          <w:color w:val="000000"/>
          <w:szCs w:val="21"/>
        </w:rPr>
        <w:t>的</w:t>
      </w:r>
      <w:r w:rsidR="00F758EE">
        <w:rPr>
          <w:rFonts w:asciiTheme="minorEastAsia" w:eastAsiaTheme="minorEastAsia" w:hAnsiTheme="minorEastAsia"/>
          <w:color w:val="000000"/>
          <w:szCs w:val="21"/>
        </w:rPr>
        <w:t>规定</w:t>
      </w:r>
      <w:r w:rsidRPr="009B4FC5">
        <w:rPr>
          <w:rFonts w:asciiTheme="minorEastAsia" w:eastAsiaTheme="minorEastAsia" w:hAnsiTheme="minorEastAsia" w:hint="eastAsia"/>
          <w:color w:val="000000"/>
          <w:szCs w:val="21"/>
        </w:rPr>
        <w:t>和基金合同的规定。本次修订后的基金合同、招募说明书和</w:t>
      </w:r>
      <w:r w:rsidR="00482C59">
        <w:rPr>
          <w:rFonts w:asciiTheme="minorEastAsia" w:eastAsiaTheme="minorEastAsia" w:hAnsiTheme="minorEastAsia" w:hint="eastAsia"/>
          <w:color w:val="000000"/>
          <w:szCs w:val="21"/>
        </w:rPr>
        <w:t>基金</w:t>
      </w:r>
      <w:r w:rsidRPr="009B4FC5">
        <w:rPr>
          <w:rFonts w:asciiTheme="minorEastAsia" w:eastAsiaTheme="minorEastAsia" w:hAnsiTheme="minorEastAsia" w:hint="eastAsia"/>
          <w:color w:val="000000"/>
          <w:szCs w:val="21"/>
        </w:rPr>
        <w:t>产品资料概要将在本公司网站</w:t>
      </w:r>
      <w:r w:rsidR="0039357D" w:rsidRPr="0039357D">
        <w:rPr>
          <w:rFonts w:asciiTheme="minorEastAsia" w:eastAsiaTheme="minorEastAsia" w:hAnsiTheme="minorEastAsia" w:hint="eastAsia"/>
          <w:color w:val="000000"/>
          <w:szCs w:val="21"/>
        </w:rPr>
        <w:t>（www.nffund.com）和中国证监会基金电子披露网站（http://eid.csrc.gov.cn/fund）</w:t>
      </w:r>
      <w:r w:rsidRPr="009B4FC5">
        <w:rPr>
          <w:rFonts w:asciiTheme="minorEastAsia" w:eastAsiaTheme="minorEastAsia" w:hAnsiTheme="minorEastAsia" w:hint="eastAsia"/>
          <w:color w:val="000000"/>
          <w:szCs w:val="21"/>
        </w:rPr>
        <w:t>发布。投资人办理基金交易等相关业务前，应仔细阅读基金的基金合同、招募说明书、</w:t>
      </w:r>
      <w:r w:rsidR="00482C59">
        <w:rPr>
          <w:rFonts w:asciiTheme="minorEastAsia" w:eastAsiaTheme="minorEastAsia" w:hAnsiTheme="minorEastAsia" w:hint="eastAsia"/>
          <w:color w:val="000000"/>
          <w:szCs w:val="21"/>
        </w:rPr>
        <w:t>基金</w:t>
      </w:r>
      <w:r w:rsidRPr="009B4FC5">
        <w:rPr>
          <w:rFonts w:asciiTheme="minorEastAsia" w:eastAsiaTheme="minorEastAsia" w:hAnsiTheme="minorEastAsia" w:hint="eastAsia"/>
          <w:color w:val="000000"/>
          <w:szCs w:val="21"/>
        </w:rPr>
        <w:t>产品资料概要、风险提示及相关业务规则和操作指南等文件。</w:t>
      </w:r>
    </w:p>
    <w:p w:rsidR="00287402" w:rsidRDefault="00866E6C" w:rsidP="00866E6C">
      <w:pPr>
        <w:spacing w:line="360" w:lineRule="auto"/>
        <w:ind w:firstLineChars="200" w:firstLine="420"/>
        <w:rPr>
          <w:rFonts w:asciiTheme="minorEastAsia" w:eastAsiaTheme="minorEastAsia" w:hAnsiTheme="minorEastAsia"/>
          <w:color w:val="000000"/>
          <w:szCs w:val="21"/>
        </w:rPr>
      </w:pPr>
      <w:r w:rsidRPr="00866E6C">
        <w:rPr>
          <w:rFonts w:asciiTheme="minorEastAsia" w:eastAsiaTheme="minorEastAsia" w:hAnsiTheme="minorEastAsia" w:hint="eastAsia"/>
          <w:color w:val="000000"/>
          <w:szCs w:val="21"/>
        </w:rPr>
        <w:t>投资人可访问本公司网站(www.nffund.com)或拨打客户服务电话(400-889-8899)咨询相关情况。</w:t>
      </w:r>
    </w:p>
    <w:p w:rsidR="00482C59" w:rsidRPr="004141FE" w:rsidRDefault="00482C59" w:rsidP="00866E6C">
      <w:pPr>
        <w:spacing w:line="360" w:lineRule="auto"/>
        <w:ind w:firstLineChars="200" w:firstLine="420"/>
        <w:rPr>
          <w:rFonts w:asciiTheme="minorEastAsia" w:eastAsiaTheme="minorEastAsia" w:hAnsiTheme="minorEastAsia"/>
          <w:color w:val="000000"/>
          <w:szCs w:val="21"/>
        </w:rPr>
      </w:pPr>
    </w:p>
    <w:p w:rsidR="00482C59" w:rsidRDefault="00866E6C" w:rsidP="004141FE">
      <w:pPr>
        <w:spacing w:line="360" w:lineRule="auto"/>
        <w:ind w:firstLineChars="200" w:firstLine="420"/>
        <w:rPr>
          <w:rFonts w:asciiTheme="minorEastAsia" w:eastAsiaTheme="minorEastAsia" w:hAnsiTheme="minorEastAsia"/>
          <w:color w:val="000000"/>
          <w:szCs w:val="21"/>
        </w:rPr>
      </w:pPr>
      <w:r w:rsidRPr="00866E6C">
        <w:rPr>
          <w:rFonts w:asciiTheme="minorEastAsia" w:eastAsiaTheme="minorEastAsia" w:hAnsiTheme="minorEastAsia" w:hint="eastAsia"/>
          <w:color w:val="000000"/>
          <w:szCs w:val="21"/>
        </w:rPr>
        <w:t>风险提示：</w:t>
      </w:r>
    </w:p>
    <w:p w:rsidR="00287402" w:rsidRPr="004141FE" w:rsidRDefault="00866E6C" w:rsidP="004141FE">
      <w:pPr>
        <w:spacing w:line="360" w:lineRule="auto"/>
        <w:ind w:firstLineChars="200" w:firstLine="420"/>
        <w:rPr>
          <w:rFonts w:asciiTheme="minorEastAsia" w:eastAsiaTheme="minorEastAsia" w:hAnsiTheme="minorEastAsia"/>
          <w:color w:val="000000"/>
          <w:szCs w:val="21"/>
        </w:rPr>
      </w:pPr>
      <w:r w:rsidRPr="00866E6C">
        <w:rPr>
          <w:rFonts w:asciiTheme="minorEastAsia" w:eastAsiaTheme="minorEastAsia" w:hAnsiTheme="minorEastAsia" w:hint="eastAsia"/>
          <w:color w:val="000000"/>
          <w:szCs w:val="21"/>
        </w:rPr>
        <w:t>基金管理人依照恪尽职守、诚实信用、谨慎勤勉的原则管理和运用基金资产，但不保证基金一定盈利，也不保证最低收益。基金的过往业绩及其净值高低并不预示其未来业绩表现；</w:t>
      </w:r>
      <w:r w:rsidRPr="00866E6C">
        <w:rPr>
          <w:rFonts w:asciiTheme="minorEastAsia" w:eastAsiaTheme="minorEastAsia" w:hAnsiTheme="minorEastAsia" w:hint="eastAsia"/>
          <w:color w:val="000000"/>
          <w:szCs w:val="21"/>
        </w:rPr>
        <w:lastRenderedPageBreak/>
        <w:t>基金管理人管理的其他基金的业绩也不构成对基金业绩表现的保证。投资有风险，敬请投资人认真阅读基金的相关法律文件，并选择适合自身风险承受能力的投资品种进行投资。</w:t>
      </w:r>
    </w:p>
    <w:p w:rsidR="00287402" w:rsidRPr="004141FE" w:rsidRDefault="00287402" w:rsidP="004141FE">
      <w:pPr>
        <w:spacing w:line="360" w:lineRule="auto"/>
        <w:ind w:firstLineChars="200" w:firstLine="420"/>
        <w:rPr>
          <w:rFonts w:asciiTheme="minorEastAsia" w:eastAsiaTheme="minorEastAsia" w:hAnsiTheme="minorEastAsia"/>
          <w:color w:val="000000"/>
          <w:szCs w:val="21"/>
        </w:rPr>
      </w:pPr>
    </w:p>
    <w:p w:rsidR="00287402" w:rsidRPr="004141FE" w:rsidRDefault="00287402" w:rsidP="004141FE">
      <w:pPr>
        <w:spacing w:line="360" w:lineRule="auto"/>
        <w:ind w:firstLineChars="200" w:firstLine="420"/>
        <w:rPr>
          <w:rFonts w:asciiTheme="minorEastAsia" w:eastAsiaTheme="minorEastAsia" w:hAnsiTheme="minorEastAsia"/>
          <w:color w:val="000000"/>
          <w:szCs w:val="21"/>
        </w:rPr>
      </w:pPr>
      <w:r w:rsidRPr="004141FE">
        <w:rPr>
          <w:rFonts w:asciiTheme="minorEastAsia" w:eastAsiaTheme="minorEastAsia" w:hAnsiTheme="minorEastAsia" w:hint="eastAsia"/>
          <w:color w:val="000000"/>
          <w:szCs w:val="21"/>
        </w:rPr>
        <w:t>特此公告。</w:t>
      </w:r>
    </w:p>
    <w:p w:rsidR="00287402" w:rsidRPr="004141FE" w:rsidRDefault="00287402" w:rsidP="004141FE">
      <w:pPr>
        <w:spacing w:line="360" w:lineRule="auto"/>
        <w:ind w:firstLineChars="200" w:firstLine="420"/>
        <w:rPr>
          <w:rFonts w:asciiTheme="minorEastAsia" w:eastAsiaTheme="minorEastAsia" w:hAnsiTheme="minorEastAsia"/>
          <w:color w:val="000000"/>
          <w:szCs w:val="21"/>
        </w:rPr>
      </w:pPr>
    </w:p>
    <w:p w:rsidR="00287402" w:rsidRPr="004141FE" w:rsidRDefault="00287402" w:rsidP="004141FE">
      <w:pPr>
        <w:spacing w:line="360" w:lineRule="auto"/>
        <w:ind w:firstLineChars="200" w:firstLine="420"/>
        <w:rPr>
          <w:rFonts w:asciiTheme="minorEastAsia" w:eastAsiaTheme="minorEastAsia" w:hAnsiTheme="minorEastAsia"/>
          <w:color w:val="000000"/>
          <w:szCs w:val="21"/>
        </w:rPr>
      </w:pPr>
    </w:p>
    <w:p w:rsidR="00287402" w:rsidRPr="004141FE" w:rsidRDefault="00866E6C" w:rsidP="00287402">
      <w:pPr>
        <w:spacing w:line="360" w:lineRule="auto"/>
        <w:ind w:firstLineChars="176" w:firstLine="370"/>
        <w:jc w:val="right"/>
        <w:rPr>
          <w:rFonts w:asciiTheme="minorEastAsia" w:eastAsiaTheme="minorEastAsia" w:hAnsiTheme="minorEastAsia" w:cs="Arial"/>
          <w:szCs w:val="21"/>
        </w:rPr>
      </w:pPr>
      <w:r>
        <w:rPr>
          <w:rFonts w:asciiTheme="minorEastAsia" w:eastAsiaTheme="minorEastAsia" w:hAnsiTheme="minorEastAsia" w:cs="Arial" w:hint="eastAsia"/>
          <w:szCs w:val="21"/>
        </w:rPr>
        <w:t>南方</w:t>
      </w:r>
      <w:r w:rsidR="00287402" w:rsidRPr="004141FE">
        <w:rPr>
          <w:rFonts w:asciiTheme="minorEastAsia" w:eastAsiaTheme="minorEastAsia" w:hAnsiTheme="minorEastAsia" w:cs="Arial" w:hint="eastAsia"/>
          <w:szCs w:val="21"/>
        </w:rPr>
        <w:t>基金管理</w:t>
      </w:r>
      <w:r>
        <w:rPr>
          <w:rFonts w:asciiTheme="minorEastAsia" w:eastAsiaTheme="minorEastAsia" w:hAnsiTheme="minorEastAsia" w:cs="Arial" w:hint="eastAsia"/>
          <w:szCs w:val="21"/>
        </w:rPr>
        <w:t>股份</w:t>
      </w:r>
      <w:r w:rsidR="00287402" w:rsidRPr="004141FE">
        <w:rPr>
          <w:rFonts w:asciiTheme="minorEastAsia" w:eastAsiaTheme="minorEastAsia" w:hAnsiTheme="minorEastAsia" w:cs="Arial" w:hint="eastAsia"/>
          <w:szCs w:val="21"/>
        </w:rPr>
        <w:t>有限公司</w:t>
      </w:r>
    </w:p>
    <w:p w:rsidR="00287402" w:rsidRDefault="00482C59" w:rsidP="00287402">
      <w:pPr>
        <w:spacing w:line="360" w:lineRule="auto"/>
        <w:ind w:firstLineChars="176" w:firstLine="370"/>
        <w:jc w:val="right"/>
        <w:rPr>
          <w:rFonts w:asciiTheme="minorEastAsia" w:eastAsiaTheme="minorEastAsia" w:hAnsiTheme="minorEastAsia" w:cs="Arial"/>
          <w:szCs w:val="21"/>
        </w:rPr>
      </w:pPr>
      <w:r>
        <w:rPr>
          <w:rFonts w:asciiTheme="minorEastAsia" w:eastAsiaTheme="minorEastAsia" w:hAnsiTheme="minorEastAsia" w:cs="Arial"/>
          <w:szCs w:val="21"/>
        </w:rPr>
        <w:t>2021</w:t>
      </w:r>
      <w:r>
        <w:rPr>
          <w:rFonts w:asciiTheme="minorEastAsia" w:eastAsiaTheme="minorEastAsia" w:hAnsiTheme="minorEastAsia" w:cs="Arial" w:hint="eastAsia"/>
          <w:szCs w:val="21"/>
        </w:rPr>
        <w:t>年</w:t>
      </w:r>
      <w:r>
        <w:rPr>
          <w:rFonts w:asciiTheme="minorEastAsia" w:eastAsiaTheme="minorEastAsia" w:hAnsiTheme="minorEastAsia" w:cs="Arial"/>
          <w:szCs w:val="21"/>
        </w:rPr>
        <w:t>3</w:t>
      </w:r>
      <w:r w:rsidR="00866E6C">
        <w:rPr>
          <w:rFonts w:asciiTheme="minorEastAsia" w:eastAsiaTheme="minorEastAsia" w:hAnsiTheme="minorEastAsia" w:cs="Arial" w:hint="eastAsia"/>
          <w:szCs w:val="21"/>
        </w:rPr>
        <w:t>月</w:t>
      </w:r>
      <w:r w:rsidR="00116DD4">
        <w:rPr>
          <w:rFonts w:asciiTheme="minorEastAsia" w:eastAsiaTheme="minorEastAsia" w:hAnsiTheme="minorEastAsia" w:cs="Arial"/>
          <w:szCs w:val="21"/>
        </w:rPr>
        <w:t>3</w:t>
      </w:r>
      <w:r w:rsidR="00D02834">
        <w:rPr>
          <w:rFonts w:asciiTheme="minorEastAsia" w:eastAsiaTheme="minorEastAsia" w:hAnsiTheme="minorEastAsia" w:cs="Arial"/>
          <w:szCs w:val="21"/>
        </w:rPr>
        <w:t>1</w:t>
      </w:r>
      <w:r w:rsidR="00866E6C">
        <w:rPr>
          <w:rFonts w:asciiTheme="minorEastAsia" w:eastAsiaTheme="minorEastAsia" w:hAnsiTheme="minorEastAsia" w:cs="Arial" w:hint="eastAsia"/>
          <w:szCs w:val="21"/>
        </w:rPr>
        <w:t>日</w:t>
      </w:r>
    </w:p>
    <w:p w:rsidR="00482C59" w:rsidRPr="004141FE" w:rsidRDefault="00482C59" w:rsidP="00482C59">
      <w:pPr>
        <w:spacing w:line="360" w:lineRule="auto"/>
        <w:ind w:firstLineChars="200" w:firstLine="420"/>
        <w:rPr>
          <w:rFonts w:asciiTheme="minorEastAsia" w:eastAsiaTheme="minorEastAsia" w:hAnsiTheme="minorEastAsia"/>
          <w:color w:val="000000"/>
          <w:szCs w:val="21"/>
        </w:rPr>
      </w:pPr>
    </w:p>
    <w:p w:rsidR="00482C59" w:rsidRDefault="00482C59" w:rsidP="00482C59">
      <w:pPr>
        <w:spacing w:line="360" w:lineRule="auto"/>
        <w:ind w:firstLineChars="200" w:firstLine="420"/>
        <w:rPr>
          <w:rFonts w:asciiTheme="minorEastAsia" w:eastAsiaTheme="minorEastAsia" w:hAnsiTheme="minorEastAsia"/>
          <w:color w:val="000000"/>
          <w:szCs w:val="21"/>
        </w:rPr>
        <w:sectPr w:rsidR="00482C59" w:rsidSect="00FF0EF3">
          <w:footerReference w:type="default" r:id="rId8"/>
          <w:pgSz w:w="11906" w:h="16838" w:code="9"/>
          <w:pgMar w:top="1440" w:right="1797" w:bottom="1440" w:left="1797" w:header="851" w:footer="992" w:gutter="0"/>
          <w:cols w:space="425"/>
          <w:docGrid w:type="lines" w:linePitch="312"/>
        </w:sectPr>
      </w:pPr>
    </w:p>
    <w:p w:rsidR="00A31DD6" w:rsidRDefault="00A31DD6" w:rsidP="005D2150">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附件一：</w:t>
      </w:r>
    </w:p>
    <w:tbl>
      <w:tblPr>
        <w:tblW w:w="8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370"/>
      </w:tblGrid>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序号</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基金全称</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南方恒生交易型开放式指数证券投资基金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2</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南方恒生中国企业交易型开放式指数证券投资基金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3</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南方顶峰TOPIX交易型开放式指数证券投资基金（QDII）</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4</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南方恒生交易型开放式指数证券投资基金联接基金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5</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南方恒生中国企业</w:t>
            </w:r>
            <w:bookmarkStart w:id="0" w:name="_GoBack"/>
            <w:bookmarkEnd w:id="0"/>
            <w:r w:rsidRPr="00116DD4">
              <w:rPr>
                <w:rFonts w:asciiTheme="minorEastAsia" w:eastAsiaTheme="minorEastAsia" w:hAnsiTheme="minorEastAsia" w:cs="宋体" w:hint="eastAsia"/>
                <w:color w:val="000000"/>
                <w:kern w:val="0"/>
                <w:szCs w:val="21"/>
              </w:rPr>
              <w:t>交易型开放式指数证券投资基金联接基金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6</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南方道琼斯</w:t>
            </w:r>
            <w:r w:rsidRPr="00AE7266">
              <w:rPr>
                <w:rFonts w:asciiTheme="minorEastAsia" w:eastAsiaTheme="minorEastAsia" w:hAnsiTheme="minorEastAsia" w:cs="宋体" w:hint="eastAsia"/>
                <w:color w:val="000000"/>
                <w:kern w:val="0"/>
                <w:szCs w:val="21"/>
              </w:rPr>
              <w:t>美</w:t>
            </w:r>
            <w:r w:rsidRPr="00116DD4">
              <w:rPr>
                <w:rFonts w:asciiTheme="minorEastAsia" w:eastAsiaTheme="minorEastAsia" w:hAnsiTheme="minorEastAsia" w:cs="宋体" w:hint="eastAsia"/>
                <w:color w:val="000000"/>
                <w:kern w:val="0"/>
                <w:szCs w:val="21"/>
              </w:rPr>
              <w:t>国精选REIT指数证券投资基金（QDII-LOF）</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7</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深证成份交易型开放式指数证券投资基金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8</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中证南方小康产业交易型开放式指数证券投资基金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9</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南方沪深300交易型开放式指数证券投资基金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10</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南方中证银行交易型开放式指数证券投资基金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11</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南方中证申万有色金属交易型开放式指数证券投资基金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12</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南方中证全指房地产交易型开放式指数证券投资基金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13</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南方沪深300交易型开放式指数证券投资基金联接基金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14</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南方深证成份交易型开放式指数证券投资基金联接基金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15</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中证南方小康产业交易型开放式指数证券投资基金联接基金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16</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南方中证银行交易型开放式指数证券投资基金发起式联接基金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17</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南方中证全指房地产交易型开放式指数证券投资基金发起式联接基金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18</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南方中证申万有色金属交易型开放式指数证券投资基金发起式联接基金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19</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南方中证100指数证券投资基金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20</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南方大数据100指数证券投资基金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116DD4" w:rsidP="00116DD4">
            <w:pPr>
              <w:widowControl/>
              <w:jc w:val="center"/>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21</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南方中债10年期国债指数证券投资基金</w:t>
            </w:r>
          </w:p>
        </w:tc>
      </w:tr>
      <w:tr w:rsidR="00116DD4" w:rsidRPr="00116DD4" w:rsidTr="00AE7266">
        <w:trPr>
          <w:trHeight w:val="260"/>
        </w:trPr>
        <w:tc>
          <w:tcPr>
            <w:tcW w:w="850" w:type="dxa"/>
            <w:shd w:val="clear" w:color="auto" w:fill="auto"/>
            <w:noWrap/>
            <w:vAlign w:val="center"/>
            <w:hideMark/>
          </w:tcPr>
          <w:p w:rsidR="00116DD4" w:rsidRPr="00116DD4" w:rsidRDefault="00FC69F0" w:rsidP="00116DD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w:t>
            </w:r>
          </w:p>
        </w:tc>
        <w:tc>
          <w:tcPr>
            <w:tcW w:w="7370" w:type="dxa"/>
            <w:shd w:val="clear" w:color="auto" w:fill="auto"/>
            <w:noWrap/>
            <w:vAlign w:val="center"/>
            <w:hideMark/>
          </w:tcPr>
          <w:p w:rsidR="00116DD4" w:rsidRPr="00116DD4" w:rsidRDefault="00116DD4" w:rsidP="00116DD4">
            <w:pPr>
              <w:widowControl/>
              <w:jc w:val="left"/>
              <w:rPr>
                <w:rFonts w:asciiTheme="minorEastAsia" w:eastAsiaTheme="minorEastAsia" w:hAnsiTheme="minorEastAsia" w:cs="宋体"/>
                <w:color w:val="000000"/>
                <w:kern w:val="0"/>
                <w:szCs w:val="21"/>
              </w:rPr>
            </w:pPr>
            <w:r w:rsidRPr="00116DD4">
              <w:rPr>
                <w:rFonts w:asciiTheme="minorEastAsia" w:eastAsiaTheme="minorEastAsia" w:hAnsiTheme="minorEastAsia" w:cs="宋体" w:hint="eastAsia"/>
                <w:color w:val="000000"/>
                <w:kern w:val="0"/>
                <w:szCs w:val="21"/>
              </w:rPr>
              <w:t>南方中证创新药产业交易型开放式指数证券投资基金</w:t>
            </w:r>
          </w:p>
        </w:tc>
      </w:tr>
    </w:tbl>
    <w:p w:rsidR="00A31DD6" w:rsidRPr="00116DD4" w:rsidRDefault="00A31DD6" w:rsidP="005D2150">
      <w:pPr>
        <w:spacing w:line="360" w:lineRule="auto"/>
        <w:ind w:firstLineChars="200" w:firstLine="420"/>
        <w:rPr>
          <w:rFonts w:asciiTheme="minorEastAsia" w:eastAsiaTheme="minorEastAsia" w:hAnsiTheme="minorEastAsia"/>
          <w:color w:val="000000"/>
          <w:szCs w:val="21"/>
        </w:rPr>
      </w:pPr>
    </w:p>
    <w:p w:rsidR="00A31DD6" w:rsidRDefault="00A31DD6" w:rsidP="005D2150">
      <w:pPr>
        <w:spacing w:line="360" w:lineRule="auto"/>
        <w:ind w:firstLineChars="200" w:firstLine="420"/>
        <w:rPr>
          <w:rFonts w:asciiTheme="minorEastAsia" w:eastAsiaTheme="minorEastAsia" w:hAnsiTheme="minorEastAsia"/>
          <w:color w:val="000000"/>
          <w:szCs w:val="21"/>
        </w:rPr>
      </w:pPr>
    </w:p>
    <w:p w:rsidR="00A31DD6" w:rsidRDefault="00A31DD6" w:rsidP="005D2150">
      <w:pPr>
        <w:spacing w:line="360" w:lineRule="auto"/>
        <w:ind w:firstLineChars="200" w:firstLine="420"/>
        <w:rPr>
          <w:rFonts w:asciiTheme="minorEastAsia" w:eastAsiaTheme="minorEastAsia" w:hAnsiTheme="minorEastAsia"/>
          <w:color w:val="000000"/>
          <w:szCs w:val="21"/>
        </w:rPr>
        <w:sectPr w:rsidR="00A31DD6" w:rsidSect="00FF0EF3">
          <w:pgSz w:w="11906" w:h="16838" w:code="9"/>
          <w:pgMar w:top="1440" w:right="1797" w:bottom="1440" w:left="1797" w:header="851" w:footer="992" w:gutter="0"/>
          <w:cols w:space="425"/>
          <w:docGrid w:type="lines" w:linePitch="312"/>
        </w:sectPr>
      </w:pPr>
    </w:p>
    <w:p w:rsidR="00482C59" w:rsidRPr="005D2150" w:rsidRDefault="00482C59" w:rsidP="005D2150">
      <w:pPr>
        <w:spacing w:line="360" w:lineRule="auto"/>
        <w:ind w:firstLineChars="200" w:firstLine="420"/>
        <w:rPr>
          <w:rFonts w:asciiTheme="minorEastAsia" w:eastAsiaTheme="minorEastAsia" w:hAnsiTheme="minorEastAsia"/>
          <w:color w:val="000000"/>
          <w:szCs w:val="21"/>
        </w:rPr>
      </w:pPr>
      <w:r w:rsidRPr="005D2150">
        <w:rPr>
          <w:rFonts w:asciiTheme="minorEastAsia" w:eastAsiaTheme="minorEastAsia" w:hAnsiTheme="minorEastAsia" w:hint="eastAsia"/>
          <w:color w:val="000000"/>
          <w:szCs w:val="21"/>
        </w:rPr>
        <w:t>附件</w:t>
      </w:r>
      <w:r w:rsidR="00A31DD6">
        <w:rPr>
          <w:rFonts w:asciiTheme="minorEastAsia" w:eastAsiaTheme="minorEastAsia" w:hAnsiTheme="minorEastAsia" w:hint="eastAsia"/>
          <w:color w:val="000000"/>
          <w:szCs w:val="21"/>
        </w:rPr>
        <w:t>二</w:t>
      </w:r>
      <w:r w:rsidRPr="005D2150">
        <w:rPr>
          <w:rFonts w:asciiTheme="minorEastAsia" w:eastAsiaTheme="minorEastAsia" w:hAnsiTheme="minorEastAsia" w:hint="eastAsia"/>
          <w:color w:val="000000"/>
          <w:szCs w:val="21"/>
        </w:rPr>
        <w:t>：基金合同修改对照表</w:t>
      </w:r>
    </w:p>
    <w:tbl>
      <w:tblPr>
        <w:tblW w:w="79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76"/>
        <w:gridCol w:w="1028"/>
        <w:gridCol w:w="2835"/>
        <w:gridCol w:w="2835"/>
      </w:tblGrid>
      <w:tr w:rsidR="00482C59" w:rsidRPr="00482C59" w:rsidTr="00AE1B5A">
        <w:trPr>
          <w:trHeight w:val="280"/>
        </w:trPr>
        <w:tc>
          <w:tcPr>
            <w:tcW w:w="1276" w:type="dxa"/>
            <w:shd w:val="clear" w:color="auto" w:fill="auto"/>
            <w:vAlign w:val="center"/>
            <w:hideMark/>
          </w:tcPr>
          <w:p w:rsidR="00482C59" w:rsidRPr="00482C59" w:rsidRDefault="00482C59" w:rsidP="00482C59">
            <w:pPr>
              <w:widowControl/>
              <w:jc w:val="center"/>
              <w:rPr>
                <w:rFonts w:ascii="宋体" w:hAnsi="宋体" w:cs="宋体"/>
                <w:b/>
                <w:bCs/>
                <w:color w:val="000000" w:themeColor="text1"/>
                <w:kern w:val="0"/>
                <w:sz w:val="18"/>
                <w:szCs w:val="18"/>
              </w:rPr>
            </w:pPr>
            <w:r w:rsidRPr="00482C59">
              <w:rPr>
                <w:rFonts w:ascii="宋体" w:hAnsi="宋体" w:cs="宋体" w:hint="eastAsia"/>
                <w:b/>
                <w:bCs/>
                <w:color w:val="000000" w:themeColor="text1"/>
                <w:kern w:val="0"/>
                <w:sz w:val="18"/>
                <w:szCs w:val="18"/>
              </w:rPr>
              <w:t>章节</w:t>
            </w:r>
          </w:p>
        </w:tc>
        <w:tc>
          <w:tcPr>
            <w:tcW w:w="1028" w:type="dxa"/>
            <w:shd w:val="clear" w:color="auto" w:fill="auto"/>
            <w:vAlign w:val="center"/>
            <w:hideMark/>
          </w:tcPr>
          <w:p w:rsidR="00482C59" w:rsidRPr="00482C59" w:rsidRDefault="00482C59" w:rsidP="00482C59">
            <w:pPr>
              <w:widowControl/>
              <w:jc w:val="center"/>
              <w:rPr>
                <w:rFonts w:ascii="宋体" w:hAnsi="宋体" w:cs="宋体"/>
                <w:b/>
                <w:bCs/>
                <w:color w:val="000000" w:themeColor="text1"/>
                <w:kern w:val="0"/>
                <w:sz w:val="18"/>
                <w:szCs w:val="18"/>
              </w:rPr>
            </w:pPr>
            <w:r w:rsidRPr="00482C59">
              <w:rPr>
                <w:rFonts w:ascii="宋体" w:hAnsi="宋体" w:cs="宋体" w:hint="eastAsia"/>
                <w:b/>
                <w:bCs/>
                <w:color w:val="000000" w:themeColor="text1"/>
                <w:kern w:val="0"/>
                <w:sz w:val="18"/>
                <w:szCs w:val="18"/>
              </w:rPr>
              <w:t>标题</w:t>
            </w:r>
          </w:p>
        </w:tc>
        <w:tc>
          <w:tcPr>
            <w:tcW w:w="2835" w:type="dxa"/>
            <w:shd w:val="clear" w:color="auto" w:fill="auto"/>
            <w:noWrap/>
            <w:vAlign w:val="center"/>
            <w:hideMark/>
          </w:tcPr>
          <w:p w:rsidR="00482C59" w:rsidRPr="00482C59" w:rsidRDefault="00482C59" w:rsidP="00482C59">
            <w:pPr>
              <w:widowControl/>
              <w:jc w:val="center"/>
              <w:rPr>
                <w:rFonts w:ascii="宋体" w:hAnsi="宋体" w:cs="宋体"/>
                <w:b/>
                <w:bCs/>
                <w:color w:val="000000" w:themeColor="text1"/>
                <w:kern w:val="0"/>
                <w:sz w:val="18"/>
                <w:szCs w:val="18"/>
              </w:rPr>
            </w:pPr>
            <w:r w:rsidRPr="00482C59">
              <w:rPr>
                <w:rFonts w:ascii="宋体" w:hAnsi="宋体" w:cs="宋体" w:hint="eastAsia"/>
                <w:b/>
                <w:bCs/>
                <w:color w:val="000000" w:themeColor="text1"/>
                <w:kern w:val="0"/>
                <w:sz w:val="18"/>
                <w:szCs w:val="18"/>
              </w:rPr>
              <w:t>修改前</w:t>
            </w:r>
          </w:p>
        </w:tc>
        <w:tc>
          <w:tcPr>
            <w:tcW w:w="2835" w:type="dxa"/>
            <w:shd w:val="clear" w:color="auto" w:fill="auto"/>
            <w:vAlign w:val="center"/>
            <w:hideMark/>
          </w:tcPr>
          <w:p w:rsidR="00482C59" w:rsidRPr="00482C59" w:rsidRDefault="00482C59" w:rsidP="00482C59">
            <w:pPr>
              <w:widowControl/>
              <w:jc w:val="center"/>
              <w:rPr>
                <w:rFonts w:ascii="宋体" w:hAnsi="宋体" w:cs="宋体"/>
                <w:b/>
                <w:bCs/>
                <w:color w:val="000000" w:themeColor="text1"/>
                <w:kern w:val="0"/>
                <w:sz w:val="18"/>
                <w:szCs w:val="18"/>
              </w:rPr>
            </w:pPr>
            <w:r w:rsidRPr="00482C59">
              <w:rPr>
                <w:rFonts w:ascii="宋体" w:hAnsi="宋体" w:cs="宋体" w:hint="eastAsia"/>
                <w:b/>
                <w:bCs/>
                <w:color w:val="000000" w:themeColor="text1"/>
                <w:kern w:val="0"/>
                <w:sz w:val="18"/>
                <w:szCs w:val="18"/>
              </w:rPr>
              <w:t>修改后</w:t>
            </w:r>
          </w:p>
        </w:tc>
      </w:tr>
      <w:tr w:rsidR="00482C59" w:rsidRPr="00482C59" w:rsidTr="00AE1B5A">
        <w:trPr>
          <w:trHeight w:val="856"/>
        </w:trPr>
        <w:tc>
          <w:tcPr>
            <w:tcW w:w="1276" w:type="dxa"/>
            <w:vMerge w:val="restart"/>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第一部分  前言</w:t>
            </w:r>
          </w:p>
        </w:tc>
        <w:tc>
          <w:tcPr>
            <w:tcW w:w="1028"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一、订立本基金合同的目的、依据和原则</w:t>
            </w:r>
          </w:p>
        </w:tc>
        <w:tc>
          <w:tcPr>
            <w:tcW w:w="2835" w:type="dxa"/>
            <w:shd w:val="clear" w:color="auto" w:fill="auto"/>
            <w:noWrap/>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ab/>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和其他有关法律法规。</w:t>
            </w:r>
          </w:p>
        </w:tc>
        <w:tc>
          <w:tcPr>
            <w:tcW w:w="2835"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ab/>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w:t>
            </w:r>
            <w:r w:rsidRPr="00482C59">
              <w:rPr>
                <w:rFonts w:ascii="宋体" w:hAnsi="宋体" w:cs="宋体" w:hint="eastAsia"/>
                <w:color w:val="000000" w:themeColor="text1"/>
                <w:kern w:val="0"/>
                <w:sz w:val="18"/>
                <w:szCs w:val="18"/>
                <w:u w:val="single"/>
              </w:rPr>
              <w:t>、《公开募集证券投资基金运作指引第3号——指数基金指引》（以下简称“《指数基金指引》”）</w:t>
            </w:r>
            <w:r w:rsidRPr="00482C59">
              <w:rPr>
                <w:rFonts w:ascii="宋体" w:hAnsi="宋体" w:cs="宋体" w:hint="eastAsia"/>
                <w:color w:val="000000" w:themeColor="text1"/>
                <w:kern w:val="0"/>
                <w:sz w:val="18"/>
                <w:szCs w:val="18"/>
              </w:rPr>
              <w:t>和其他有关法律法规。</w:t>
            </w:r>
          </w:p>
        </w:tc>
      </w:tr>
      <w:tr w:rsidR="00482C59" w:rsidRPr="00482C59" w:rsidTr="00AE1B5A">
        <w:trPr>
          <w:trHeight w:val="856"/>
        </w:trPr>
        <w:tc>
          <w:tcPr>
            <w:tcW w:w="1276" w:type="dxa"/>
            <w:vMerge/>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p>
        </w:tc>
        <w:tc>
          <w:tcPr>
            <w:tcW w:w="1028"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新增</w:t>
            </w:r>
          </w:p>
        </w:tc>
        <w:tc>
          <w:tcPr>
            <w:tcW w:w="2835" w:type="dxa"/>
            <w:shd w:val="clear" w:color="auto" w:fill="auto"/>
            <w:noWrap/>
            <w:vAlign w:val="center"/>
          </w:tcPr>
          <w:p w:rsidR="00482C59" w:rsidRPr="00482C59" w:rsidRDefault="00482C59" w:rsidP="00482C59">
            <w:pPr>
              <w:widowControl/>
              <w:rPr>
                <w:rFonts w:ascii="宋体" w:hAnsi="宋体" w:cs="宋体"/>
                <w:color w:val="000000" w:themeColor="text1"/>
                <w:kern w:val="0"/>
                <w:sz w:val="18"/>
                <w:szCs w:val="18"/>
              </w:rPr>
            </w:pPr>
          </w:p>
        </w:tc>
        <w:tc>
          <w:tcPr>
            <w:tcW w:w="2835"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u w:val="single"/>
              </w:rPr>
            </w:pPr>
            <w:r w:rsidRPr="00482C59">
              <w:rPr>
                <w:rFonts w:ascii="宋体" w:hAnsi="宋体" w:cs="宋体" w:hint="eastAsia"/>
                <w:color w:val="000000" w:themeColor="text1"/>
                <w:kern w:val="0"/>
                <w:sz w:val="18"/>
                <w:szCs w:val="18"/>
                <w:u w:val="single"/>
              </w:rPr>
              <w:t>…、</w:t>
            </w:r>
            <w:r w:rsidR="0039357D" w:rsidRPr="0039357D">
              <w:rPr>
                <w:rFonts w:ascii="宋体" w:hAnsi="宋体" w:cs="宋体" w:hint="eastAsia"/>
                <w:color w:val="000000" w:themeColor="text1"/>
                <w:kern w:val="0"/>
                <w:sz w:val="18"/>
                <w:szCs w:val="18"/>
                <w:u w:val="single"/>
              </w:rPr>
              <w:t>本基金为指数基金，投资者投资于本基金面临跟踪误差控制未达约定目标、指数编制机构停止服务、成份股停牌、摘牌等潜在风险，详见本基金招募说明书。</w:t>
            </w:r>
          </w:p>
        </w:tc>
      </w:tr>
      <w:tr w:rsidR="00482C59" w:rsidRPr="00482C59" w:rsidTr="00AE1B5A">
        <w:trPr>
          <w:trHeight w:val="856"/>
        </w:trPr>
        <w:tc>
          <w:tcPr>
            <w:tcW w:w="1276"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第二部分 释义</w:t>
            </w:r>
          </w:p>
        </w:tc>
        <w:tc>
          <w:tcPr>
            <w:tcW w:w="1028"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新增</w:t>
            </w:r>
          </w:p>
        </w:tc>
        <w:tc>
          <w:tcPr>
            <w:tcW w:w="2835" w:type="dxa"/>
            <w:shd w:val="clear" w:color="auto" w:fill="auto"/>
            <w:noWrap/>
            <w:vAlign w:val="center"/>
          </w:tcPr>
          <w:p w:rsidR="00482C59" w:rsidRPr="00482C59" w:rsidRDefault="00482C59" w:rsidP="00482C59">
            <w:pPr>
              <w:widowControl/>
              <w:rPr>
                <w:rFonts w:ascii="宋体" w:hAnsi="宋体" w:cs="宋体"/>
                <w:color w:val="000000" w:themeColor="text1"/>
                <w:kern w:val="0"/>
                <w:sz w:val="18"/>
                <w:szCs w:val="18"/>
              </w:rPr>
            </w:pPr>
          </w:p>
        </w:tc>
        <w:tc>
          <w:tcPr>
            <w:tcW w:w="2835"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u w:val="single"/>
              </w:rPr>
            </w:pPr>
            <w:r w:rsidRPr="00482C59">
              <w:rPr>
                <w:rFonts w:ascii="宋体" w:hAnsi="宋体" w:cs="宋体" w:hint="eastAsia"/>
                <w:color w:val="000000" w:themeColor="text1"/>
                <w:kern w:val="0"/>
                <w:sz w:val="18"/>
                <w:szCs w:val="18"/>
                <w:u w:val="single"/>
              </w:rPr>
              <w:t>…、《指数基金指引》：指中国证监会2021年1月22日颁布、同年2月1日实施的《公开募集证券投资基金运作指引第3号——指数基金指引》及颁布机关对其不时做出的修订</w:t>
            </w:r>
          </w:p>
        </w:tc>
      </w:tr>
      <w:tr w:rsidR="00482C59" w:rsidRPr="00482C59" w:rsidTr="00AE1B5A">
        <w:trPr>
          <w:trHeight w:val="856"/>
        </w:trPr>
        <w:tc>
          <w:tcPr>
            <w:tcW w:w="1276" w:type="dxa"/>
            <w:shd w:val="clear" w:color="auto" w:fill="auto"/>
            <w:vAlign w:val="center"/>
            <w:hideMark/>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第十四部分  基金的投资</w:t>
            </w:r>
          </w:p>
        </w:tc>
        <w:tc>
          <w:tcPr>
            <w:tcW w:w="1028" w:type="dxa"/>
            <w:shd w:val="clear" w:color="auto" w:fill="auto"/>
            <w:vAlign w:val="center"/>
          </w:tcPr>
          <w:p w:rsidR="00482C59" w:rsidRPr="00482C59" w:rsidRDefault="00482C59" w:rsidP="00482C59">
            <w:pPr>
              <w:widowControl/>
              <w:rPr>
                <w:rFonts w:ascii="宋体" w:hAnsi="宋体" w:cs="宋体"/>
                <w:color w:val="000000" w:themeColor="text1"/>
                <w:kern w:val="0"/>
                <w:sz w:val="18"/>
                <w:szCs w:val="18"/>
              </w:rPr>
            </w:pPr>
            <w:r w:rsidRPr="00482C59">
              <w:rPr>
                <w:rFonts w:ascii="宋体" w:hAnsi="宋体" w:cs="宋体" w:hint="eastAsia"/>
                <w:color w:val="000000" w:themeColor="text1"/>
                <w:kern w:val="0"/>
                <w:sz w:val="18"/>
                <w:szCs w:val="18"/>
              </w:rPr>
              <w:t>六、业绩比较基准</w:t>
            </w:r>
          </w:p>
        </w:tc>
        <w:tc>
          <w:tcPr>
            <w:tcW w:w="2835" w:type="dxa"/>
            <w:shd w:val="clear" w:color="auto" w:fill="auto"/>
            <w:noWrap/>
            <w:vAlign w:val="center"/>
          </w:tcPr>
          <w:p w:rsidR="00482C59" w:rsidRPr="00482C59" w:rsidRDefault="00482C59" w:rsidP="00482C59">
            <w:pPr>
              <w:widowControl/>
              <w:rPr>
                <w:rFonts w:ascii="宋体" w:hAnsi="宋体" w:cs="宋体"/>
                <w:strike/>
                <w:color w:val="000000" w:themeColor="text1"/>
                <w:kern w:val="0"/>
                <w:sz w:val="18"/>
                <w:szCs w:val="18"/>
              </w:rPr>
            </w:pPr>
            <w:r w:rsidRPr="00482C59">
              <w:rPr>
                <w:rFonts w:ascii="宋体" w:hAnsi="宋体" w:cs="宋体" w:hint="eastAsia"/>
                <w:strike/>
                <w:color w:val="000000" w:themeColor="text1"/>
                <w:kern w:val="0"/>
                <w:sz w:val="18"/>
                <w:szCs w:val="18"/>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tc>
        <w:tc>
          <w:tcPr>
            <w:tcW w:w="2835" w:type="dxa"/>
            <w:shd w:val="clear" w:color="auto" w:fill="auto"/>
            <w:vAlign w:val="center"/>
          </w:tcPr>
          <w:p w:rsidR="007F2BFE" w:rsidRPr="007F2BFE" w:rsidRDefault="007F2BFE" w:rsidP="007F2BFE">
            <w:pPr>
              <w:widowControl/>
              <w:rPr>
                <w:rFonts w:ascii="宋体" w:hAnsi="宋体" w:cs="宋体"/>
                <w:color w:val="000000" w:themeColor="text1"/>
                <w:kern w:val="0"/>
                <w:sz w:val="18"/>
                <w:szCs w:val="18"/>
                <w:u w:val="single"/>
              </w:rPr>
            </w:pPr>
            <w:r w:rsidRPr="007F2BFE">
              <w:rPr>
                <w:rFonts w:ascii="宋体" w:hAnsi="宋体" w:cs="宋体" w:hint="eastAsia"/>
                <w:color w:val="000000" w:themeColor="text1"/>
                <w:kern w:val="0"/>
                <w:sz w:val="18"/>
                <w:szCs w:val="18"/>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482C59" w:rsidRPr="00482C59" w:rsidRDefault="007F2BFE" w:rsidP="00482C59">
            <w:pPr>
              <w:widowControl/>
              <w:rPr>
                <w:rFonts w:ascii="宋体" w:hAnsi="宋体" w:cs="宋体"/>
                <w:color w:val="000000" w:themeColor="text1"/>
                <w:kern w:val="0"/>
                <w:sz w:val="18"/>
                <w:szCs w:val="18"/>
                <w:u w:val="single"/>
              </w:rPr>
            </w:pPr>
            <w:r w:rsidRPr="007F2BFE">
              <w:rPr>
                <w:rFonts w:ascii="宋体" w:hAnsi="宋体" w:cs="宋体" w:hint="eastAsia"/>
                <w:color w:val="000000" w:themeColor="text1"/>
                <w:kern w:val="0"/>
                <w:sz w:val="18"/>
                <w:szCs w:val="18"/>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482C59" w:rsidRPr="00482C59" w:rsidRDefault="00A31DD6" w:rsidP="00A31DD6">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注：以上</w:t>
      </w:r>
      <w:r w:rsidRPr="00A31DD6">
        <w:rPr>
          <w:rFonts w:asciiTheme="minorEastAsia" w:eastAsiaTheme="minorEastAsia" w:hAnsiTheme="minorEastAsia" w:hint="eastAsia"/>
          <w:color w:val="000000"/>
          <w:szCs w:val="21"/>
        </w:rPr>
        <w:t>修订内容仅为示例，不同基金的基金合同中相应条款表述存在差异，具体请以相关基金披露的修订后法律文件内容为准。</w:t>
      </w:r>
    </w:p>
    <w:p w:rsidR="00482C59" w:rsidRPr="004141FE" w:rsidRDefault="00482C59" w:rsidP="00482C59">
      <w:pPr>
        <w:spacing w:line="360" w:lineRule="auto"/>
        <w:ind w:firstLineChars="200" w:firstLine="420"/>
        <w:rPr>
          <w:rFonts w:asciiTheme="minorEastAsia" w:eastAsiaTheme="minorEastAsia" w:hAnsiTheme="minorEastAsia"/>
          <w:color w:val="000000"/>
          <w:szCs w:val="21"/>
        </w:rPr>
      </w:pPr>
    </w:p>
    <w:p w:rsidR="00482C59" w:rsidRPr="004141FE" w:rsidRDefault="00482C59" w:rsidP="00482C59">
      <w:pPr>
        <w:spacing w:line="360" w:lineRule="auto"/>
        <w:ind w:firstLineChars="176" w:firstLine="370"/>
        <w:jc w:val="right"/>
        <w:rPr>
          <w:rFonts w:asciiTheme="minorEastAsia" w:eastAsiaTheme="minorEastAsia" w:hAnsiTheme="minorEastAsia" w:cs="Arial"/>
          <w:szCs w:val="21"/>
        </w:rPr>
      </w:pPr>
    </w:p>
    <w:sectPr w:rsidR="00482C59" w:rsidRPr="004141FE" w:rsidSect="00FF0EF3">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0F" w:rsidRDefault="005D330F">
      <w:r>
        <w:separator/>
      </w:r>
    </w:p>
  </w:endnote>
  <w:endnote w:type="continuationSeparator" w:id="0">
    <w:p w:rsidR="005D330F" w:rsidRDefault="005D3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30" w:rsidRPr="001C7107" w:rsidRDefault="00FE689E">
    <w:pPr>
      <w:pStyle w:val="a5"/>
      <w:jc w:val="center"/>
      <w:rPr>
        <w:rFonts w:ascii="Arial" w:hAnsi="Arial" w:cs="Arial"/>
        <w:sz w:val="21"/>
      </w:rPr>
    </w:pPr>
    <w:r w:rsidRPr="001C7107">
      <w:rPr>
        <w:rFonts w:ascii="Arial" w:hAnsi="Arial" w:cs="Arial"/>
        <w:kern w:val="0"/>
        <w:sz w:val="21"/>
      </w:rPr>
      <w:fldChar w:fldCharType="begin"/>
    </w:r>
    <w:r w:rsidR="00773682" w:rsidRPr="001C7107">
      <w:rPr>
        <w:rFonts w:ascii="Arial" w:hAnsi="Arial" w:cs="Arial"/>
        <w:kern w:val="0"/>
        <w:sz w:val="21"/>
      </w:rPr>
      <w:instrText xml:space="preserve"> PAGE </w:instrText>
    </w:r>
    <w:r w:rsidRPr="001C7107">
      <w:rPr>
        <w:rFonts w:ascii="Arial" w:hAnsi="Arial" w:cs="Arial"/>
        <w:kern w:val="0"/>
        <w:sz w:val="21"/>
      </w:rPr>
      <w:fldChar w:fldCharType="separate"/>
    </w:r>
    <w:r w:rsidR="00492926">
      <w:rPr>
        <w:rFonts w:ascii="Arial" w:hAnsi="Arial" w:cs="Arial"/>
        <w:noProof/>
        <w:kern w:val="0"/>
        <w:sz w:val="21"/>
      </w:rPr>
      <w:t>1</w:t>
    </w:r>
    <w:r w:rsidRPr="001C7107">
      <w:rPr>
        <w:rFonts w:ascii="Arial" w:hAnsi="Arial" w:cs="Arial"/>
        <w:kern w:val="0"/>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0F" w:rsidRDefault="005D330F">
      <w:r>
        <w:separator/>
      </w:r>
    </w:p>
  </w:footnote>
  <w:footnote w:type="continuationSeparator" w:id="0">
    <w:p w:rsidR="005D330F" w:rsidRDefault="005D3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74E0"/>
    <w:multiLevelType w:val="hybridMultilevel"/>
    <w:tmpl w:val="0E9CF460"/>
    <w:lvl w:ilvl="0" w:tplc="747E8B1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411915E9"/>
    <w:multiLevelType w:val="multilevel"/>
    <w:tmpl w:val="71AAF9D4"/>
    <w:lvl w:ilvl="0">
      <w:start w:val="1"/>
      <w:numFmt w:val="chineseCountingThousand"/>
      <w:pStyle w:val="1"/>
      <w:lvlText w:val="%1、"/>
      <w:lvlJc w:val="left"/>
      <w:pPr>
        <w:tabs>
          <w:tab w:val="num" w:pos="360"/>
        </w:tabs>
        <w:ind w:left="315" w:hanging="315"/>
      </w:pPr>
      <w:rPr>
        <w:rFonts w:hint="eastAsia"/>
      </w:rPr>
    </w:lvl>
    <w:lvl w:ilvl="1">
      <w:start w:val="1"/>
      <w:numFmt w:val="chineseCountingThousand"/>
      <w:pStyle w:val="2"/>
      <w:lvlText w:val="（%2）"/>
      <w:lvlJc w:val="left"/>
      <w:pPr>
        <w:tabs>
          <w:tab w:val="num" w:pos="720"/>
        </w:tabs>
        <w:ind w:left="0" w:firstLine="0"/>
      </w:pPr>
      <w:rPr>
        <w:rFonts w:hint="eastAsia"/>
        <w:sz w:val="28"/>
      </w:rPr>
    </w:lvl>
    <w:lvl w:ilvl="2">
      <w:start w:val="1"/>
      <w:numFmt w:val="decimal"/>
      <w:pStyle w:val="3"/>
      <w:lvlText w:val="%3."/>
      <w:lvlJc w:val="left"/>
      <w:pPr>
        <w:tabs>
          <w:tab w:val="num" w:pos="4046"/>
        </w:tabs>
        <w:ind w:left="3686" w:firstLine="0"/>
      </w:pPr>
      <w:rPr>
        <w:rFonts w:hint="eastAsia"/>
        <w:sz w:val="24"/>
      </w:rPr>
    </w:lvl>
    <w:lvl w:ilvl="3">
      <w:start w:val="1"/>
      <w:numFmt w:val="decimal"/>
      <w:pStyle w:val="4"/>
      <w:lvlText w:val="（%4）"/>
      <w:lvlJc w:val="left"/>
      <w:pPr>
        <w:tabs>
          <w:tab w:val="num" w:pos="720"/>
        </w:tabs>
        <w:ind w:left="0" w:firstLine="0"/>
      </w:pPr>
      <w:rPr>
        <w:rFonts w:hint="eastAsia"/>
        <w:sz w:val="21"/>
      </w:rPr>
    </w:lvl>
    <w:lvl w:ilvl="4">
      <w:start w:val="1"/>
      <w:numFmt w:val="upperLetter"/>
      <w:pStyle w:val="5"/>
      <w:lvlText w:val="%5."/>
      <w:lvlJc w:val="left"/>
      <w:pPr>
        <w:tabs>
          <w:tab w:val="num" w:pos="360"/>
        </w:tabs>
        <w:ind w:left="0" w:firstLine="0"/>
      </w:pPr>
      <w:rPr>
        <w:rFonts w:hint="eastAsia"/>
        <w:sz w:val="24"/>
      </w:rPr>
    </w:lvl>
    <w:lvl w:ilvl="5">
      <w:start w:val="1"/>
      <w:numFmt w:val="lowerLetter"/>
      <w:pStyle w:val="6"/>
      <w:lvlText w:val="%6."/>
      <w:lvlJc w:val="left"/>
      <w:pPr>
        <w:tabs>
          <w:tab w:val="num" w:pos="360"/>
        </w:tabs>
        <w:ind w:left="0" w:firstLine="0"/>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402"/>
    <w:rsid w:val="00042EB6"/>
    <w:rsid w:val="00063C95"/>
    <w:rsid w:val="00082981"/>
    <w:rsid w:val="000C30EC"/>
    <w:rsid w:val="000E1A52"/>
    <w:rsid w:val="000E32EB"/>
    <w:rsid w:val="000E3F78"/>
    <w:rsid w:val="00116DD4"/>
    <w:rsid w:val="0014466A"/>
    <w:rsid w:val="00154350"/>
    <w:rsid w:val="001800CC"/>
    <w:rsid w:val="00196C0B"/>
    <w:rsid w:val="001C0D8D"/>
    <w:rsid w:val="001C3148"/>
    <w:rsid w:val="001C448F"/>
    <w:rsid w:val="00287402"/>
    <w:rsid w:val="002C23C7"/>
    <w:rsid w:val="002D4D75"/>
    <w:rsid w:val="00332282"/>
    <w:rsid w:val="003365EC"/>
    <w:rsid w:val="00351266"/>
    <w:rsid w:val="00362543"/>
    <w:rsid w:val="00377AA5"/>
    <w:rsid w:val="0039357D"/>
    <w:rsid w:val="003A7347"/>
    <w:rsid w:val="003E6C83"/>
    <w:rsid w:val="003F4CDA"/>
    <w:rsid w:val="00400C95"/>
    <w:rsid w:val="004141FE"/>
    <w:rsid w:val="00430513"/>
    <w:rsid w:val="0045291A"/>
    <w:rsid w:val="00482C59"/>
    <w:rsid w:val="00492926"/>
    <w:rsid w:val="004E382A"/>
    <w:rsid w:val="004F1EE9"/>
    <w:rsid w:val="00524B28"/>
    <w:rsid w:val="00582BB1"/>
    <w:rsid w:val="0059513C"/>
    <w:rsid w:val="005D2150"/>
    <w:rsid w:val="005D330F"/>
    <w:rsid w:val="00627CDF"/>
    <w:rsid w:val="0063653E"/>
    <w:rsid w:val="006572FB"/>
    <w:rsid w:val="006C2996"/>
    <w:rsid w:val="006E49AD"/>
    <w:rsid w:val="00723298"/>
    <w:rsid w:val="00773682"/>
    <w:rsid w:val="007E4141"/>
    <w:rsid w:val="007F2BFE"/>
    <w:rsid w:val="008122C7"/>
    <w:rsid w:val="008155B1"/>
    <w:rsid w:val="00866E6C"/>
    <w:rsid w:val="008935E1"/>
    <w:rsid w:val="0094524C"/>
    <w:rsid w:val="0095448E"/>
    <w:rsid w:val="00985CE0"/>
    <w:rsid w:val="009B04B0"/>
    <w:rsid w:val="009B11C1"/>
    <w:rsid w:val="009B4FC5"/>
    <w:rsid w:val="009E12C7"/>
    <w:rsid w:val="00A22820"/>
    <w:rsid w:val="00A31DD6"/>
    <w:rsid w:val="00A46A37"/>
    <w:rsid w:val="00A62ABB"/>
    <w:rsid w:val="00AA4840"/>
    <w:rsid w:val="00AA7FA1"/>
    <w:rsid w:val="00AB7475"/>
    <w:rsid w:val="00AC6FED"/>
    <w:rsid w:val="00AD00AC"/>
    <w:rsid w:val="00AE7266"/>
    <w:rsid w:val="00B2308C"/>
    <w:rsid w:val="00B36039"/>
    <w:rsid w:val="00B42798"/>
    <w:rsid w:val="00B56F53"/>
    <w:rsid w:val="00B675D5"/>
    <w:rsid w:val="00B722F7"/>
    <w:rsid w:val="00B8170F"/>
    <w:rsid w:val="00BD3A21"/>
    <w:rsid w:val="00BE04F2"/>
    <w:rsid w:val="00BF245E"/>
    <w:rsid w:val="00BF6B19"/>
    <w:rsid w:val="00C2523E"/>
    <w:rsid w:val="00C26BBB"/>
    <w:rsid w:val="00C45EC7"/>
    <w:rsid w:val="00C50D31"/>
    <w:rsid w:val="00C52953"/>
    <w:rsid w:val="00CC1EAB"/>
    <w:rsid w:val="00CC7B09"/>
    <w:rsid w:val="00D02834"/>
    <w:rsid w:val="00D410DC"/>
    <w:rsid w:val="00D41333"/>
    <w:rsid w:val="00E51543"/>
    <w:rsid w:val="00E676D8"/>
    <w:rsid w:val="00EA1220"/>
    <w:rsid w:val="00EA2FB6"/>
    <w:rsid w:val="00F50526"/>
    <w:rsid w:val="00F758EE"/>
    <w:rsid w:val="00F7602B"/>
    <w:rsid w:val="00FC69F0"/>
    <w:rsid w:val="00FD6134"/>
    <w:rsid w:val="00FE689E"/>
    <w:rsid w:val="00FF4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02"/>
    <w:pPr>
      <w:widowControl w:val="0"/>
      <w:jc w:val="both"/>
    </w:pPr>
    <w:rPr>
      <w:rFonts w:ascii="Times New Roman" w:eastAsia="宋体" w:hAnsi="Times New Roman" w:cs="Times New Roman"/>
      <w:szCs w:val="20"/>
    </w:rPr>
  </w:style>
  <w:style w:type="paragraph" w:styleId="1">
    <w:name w:val="heading 1"/>
    <w:basedOn w:val="a"/>
    <w:next w:val="a0"/>
    <w:link w:val="1Char"/>
    <w:uiPriority w:val="9"/>
    <w:qFormat/>
    <w:rsid w:val="00287402"/>
    <w:pPr>
      <w:keepNext/>
      <w:keepLines/>
      <w:numPr>
        <w:numId w:val="1"/>
      </w:numPr>
      <w:spacing w:before="120" w:after="120" w:line="336" w:lineRule="auto"/>
      <w:jc w:val="left"/>
      <w:outlineLvl w:val="0"/>
    </w:pPr>
    <w:rPr>
      <w:b/>
      <w:kern w:val="44"/>
      <w:sz w:val="30"/>
    </w:rPr>
  </w:style>
  <w:style w:type="paragraph" w:styleId="2">
    <w:name w:val="heading 2"/>
    <w:aliases w:val="H2,Heading 2 Hidden,Heading 2 CCBS,标题 2（内置）"/>
    <w:basedOn w:val="a"/>
    <w:next w:val="a0"/>
    <w:link w:val="2Char"/>
    <w:uiPriority w:val="9"/>
    <w:qFormat/>
    <w:rsid w:val="00287402"/>
    <w:pPr>
      <w:keepNext/>
      <w:keepLines/>
      <w:numPr>
        <w:ilvl w:val="1"/>
        <w:numId w:val="1"/>
      </w:numPr>
      <w:spacing w:after="120" w:line="415" w:lineRule="auto"/>
      <w:jc w:val="left"/>
      <w:outlineLvl w:val="1"/>
    </w:pPr>
    <w:rPr>
      <w:rFonts w:ascii="Arial" w:hAnsi="Arial"/>
      <w:b/>
      <w:sz w:val="28"/>
    </w:rPr>
  </w:style>
  <w:style w:type="paragraph" w:styleId="3">
    <w:name w:val="heading 3"/>
    <w:aliases w:val="标题样式1,Heading 3 - old,H3,l3,CT,h3,3rd level,Level 3 Head,level_3,PIM 3,sect1.2.3,Bold Head,bh,3,heading 3,标题 4.1.1,Fab-3,sect1.2.31,sect1.2.32,sect1.2.311,sect1.2.33,sect1.2.312"/>
    <w:basedOn w:val="a"/>
    <w:next w:val="a0"/>
    <w:link w:val="3Char"/>
    <w:uiPriority w:val="9"/>
    <w:qFormat/>
    <w:rsid w:val="00287402"/>
    <w:pPr>
      <w:keepNext/>
      <w:keepLines/>
      <w:numPr>
        <w:ilvl w:val="2"/>
        <w:numId w:val="1"/>
      </w:numPr>
      <w:spacing w:before="120" w:after="120" w:line="300" w:lineRule="auto"/>
      <w:jc w:val="left"/>
      <w:outlineLvl w:val="2"/>
    </w:pPr>
    <w:rPr>
      <w:b/>
      <w:sz w:val="24"/>
    </w:rPr>
  </w:style>
  <w:style w:type="paragraph" w:styleId="4">
    <w:name w:val="heading 4"/>
    <w:basedOn w:val="a"/>
    <w:next w:val="a0"/>
    <w:link w:val="4Char"/>
    <w:uiPriority w:val="9"/>
    <w:qFormat/>
    <w:rsid w:val="00287402"/>
    <w:pPr>
      <w:keepNext/>
      <w:keepLines/>
      <w:numPr>
        <w:ilvl w:val="3"/>
        <w:numId w:val="1"/>
      </w:numPr>
      <w:spacing w:after="120" w:line="300" w:lineRule="auto"/>
      <w:jc w:val="left"/>
      <w:outlineLvl w:val="3"/>
    </w:pPr>
    <w:rPr>
      <w:rFonts w:ascii="Arial" w:hAnsi="Arial"/>
    </w:rPr>
  </w:style>
  <w:style w:type="paragraph" w:styleId="5">
    <w:name w:val="heading 5"/>
    <w:basedOn w:val="a"/>
    <w:next w:val="a0"/>
    <w:link w:val="5Char"/>
    <w:autoRedefine/>
    <w:uiPriority w:val="9"/>
    <w:qFormat/>
    <w:rsid w:val="00287402"/>
    <w:pPr>
      <w:keepNext/>
      <w:keepLines/>
      <w:numPr>
        <w:ilvl w:val="4"/>
        <w:numId w:val="1"/>
      </w:numPr>
      <w:spacing w:before="280" w:after="290" w:line="376" w:lineRule="auto"/>
      <w:jc w:val="left"/>
      <w:outlineLvl w:val="4"/>
    </w:pPr>
  </w:style>
  <w:style w:type="paragraph" w:styleId="6">
    <w:name w:val="heading 6"/>
    <w:basedOn w:val="a"/>
    <w:next w:val="a1"/>
    <w:link w:val="6Char"/>
    <w:uiPriority w:val="9"/>
    <w:qFormat/>
    <w:rsid w:val="00287402"/>
    <w:pPr>
      <w:keepNext/>
      <w:keepLines/>
      <w:numPr>
        <w:ilvl w:val="5"/>
        <w:numId w:val="1"/>
      </w:numPr>
      <w:spacing w:before="240" w:after="64" w:line="320" w:lineRule="auto"/>
      <w:jc w:val="left"/>
      <w:outlineLvl w:val="5"/>
    </w:pPr>
    <w:rPr>
      <w:rFonts w:ascii="Arial" w:eastAsia="黑体" w:hAnsi="Arial"/>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287402"/>
    <w:rPr>
      <w:rFonts w:ascii="Times New Roman" w:eastAsia="宋体" w:hAnsi="Times New Roman" w:cs="Times New Roman"/>
      <w:b/>
      <w:kern w:val="44"/>
      <w:sz w:val="30"/>
      <w:szCs w:val="20"/>
    </w:rPr>
  </w:style>
  <w:style w:type="character" w:customStyle="1" w:styleId="2Char">
    <w:name w:val="标题 2 Char"/>
    <w:aliases w:val="H2 Char,Heading 2 Hidden Char,Heading 2 CCBS Char,标题 2（内置） Char"/>
    <w:basedOn w:val="a2"/>
    <w:link w:val="2"/>
    <w:uiPriority w:val="9"/>
    <w:rsid w:val="00287402"/>
    <w:rPr>
      <w:rFonts w:ascii="Arial" w:eastAsia="宋体" w:hAnsi="Arial" w:cs="Times New Roman"/>
      <w:b/>
      <w:sz w:val="28"/>
      <w:szCs w:val="20"/>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2"/>
    <w:link w:val="3"/>
    <w:uiPriority w:val="9"/>
    <w:rsid w:val="00287402"/>
    <w:rPr>
      <w:rFonts w:ascii="Times New Roman" w:eastAsia="宋体" w:hAnsi="Times New Roman" w:cs="Times New Roman"/>
      <w:b/>
      <w:sz w:val="24"/>
      <w:szCs w:val="20"/>
    </w:rPr>
  </w:style>
  <w:style w:type="character" w:customStyle="1" w:styleId="4Char">
    <w:name w:val="标题 4 Char"/>
    <w:basedOn w:val="a2"/>
    <w:link w:val="4"/>
    <w:uiPriority w:val="9"/>
    <w:rsid w:val="00287402"/>
    <w:rPr>
      <w:rFonts w:ascii="Arial" w:eastAsia="宋体" w:hAnsi="Arial" w:cs="Times New Roman"/>
      <w:szCs w:val="20"/>
    </w:rPr>
  </w:style>
  <w:style w:type="character" w:customStyle="1" w:styleId="5Char">
    <w:name w:val="标题 5 Char"/>
    <w:basedOn w:val="a2"/>
    <w:link w:val="5"/>
    <w:uiPriority w:val="9"/>
    <w:rsid w:val="00287402"/>
    <w:rPr>
      <w:rFonts w:ascii="Times New Roman" w:eastAsia="宋体" w:hAnsi="Times New Roman" w:cs="Times New Roman"/>
      <w:szCs w:val="20"/>
    </w:rPr>
  </w:style>
  <w:style w:type="character" w:customStyle="1" w:styleId="6Char">
    <w:name w:val="标题 6 Char"/>
    <w:basedOn w:val="a2"/>
    <w:link w:val="6"/>
    <w:uiPriority w:val="9"/>
    <w:rsid w:val="00287402"/>
    <w:rPr>
      <w:rFonts w:ascii="Arial" w:eastAsia="黑体" w:hAnsi="Arial" w:cs="Times New Roman"/>
      <w:b/>
      <w:sz w:val="24"/>
      <w:szCs w:val="20"/>
    </w:rPr>
  </w:style>
  <w:style w:type="paragraph" w:styleId="a5">
    <w:name w:val="footer"/>
    <w:basedOn w:val="a"/>
    <w:link w:val="Char"/>
    <w:rsid w:val="00287402"/>
    <w:pPr>
      <w:tabs>
        <w:tab w:val="center" w:pos="4153"/>
        <w:tab w:val="right" w:pos="8306"/>
      </w:tabs>
      <w:snapToGrid w:val="0"/>
      <w:jc w:val="left"/>
    </w:pPr>
    <w:rPr>
      <w:sz w:val="18"/>
    </w:rPr>
  </w:style>
  <w:style w:type="character" w:customStyle="1" w:styleId="Char">
    <w:name w:val="页脚 Char"/>
    <w:basedOn w:val="a2"/>
    <w:link w:val="a5"/>
    <w:rsid w:val="00287402"/>
    <w:rPr>
      <w:rFonts w:ascii="Times New Roman" w:eastAsia="宋体" w:hAnsi="Times New Roman" w:cs="Times New Roman"/>
      <w:sz w:val="18"/>
      <w:szCs w:val="20"/>
    </w:rPr>
  </w:style>
  <w:style w:type="paragraph" w:styleId="a6">
    <w:name w:val="Body Text"/>
    <w:basedOn w:val="a"/>
    <w:link w:val="Char0"/>
    <w:uiPriority w:val="99"/>
    <w:semiHidden/>
    <w:unhideWhenUsed/>
    <w:rsid w:val="00287402"/>
    <w:pPr>
      <w:spacing w:after="120"/>
    </w:pPr>
  </w:style>
  <w:style w:type="character" w:customStyle="1" w:styleId="Char0">
    <w:name w:val="正文文本 Char"/>
    <w:basedOn w:val="a2"/>
    <w:link w:val="a6"/>
    <w:uiPriority w:val="99"/>
    <w:semiHidden/>
    <w:rsid w:val="00287402"/>
    <w:rPr>
      <w:rFonts w:ascii="Times New Roman" w:eastAsia="宋体" w:hAnsi="Times New Roman" w:cs="Times New Roman"/>
      <w:szCs w:val="20"/>
    </w:rPr>
  </w:style>
  <w:style w:type="paragraph" w:styleId="a0">
    <w:name w:val="Body Text First Indent"/>
    <w:basedOn w:val="a6"/>
    <w:link w:val="Char1"/>
    <w:uiPriority w:val="99"/>
    <w:semiHidden/>
    <w:unhideWhenUsed/>
    <w:rsid w:val="00287402"/>
    <w:pPr>
      <w:ind w:firstLineChars="100" w:firstLine="420"/>
    </w:pPr>
  </w:style>
  <w:style w:type="character" w:customStyle="1" w:styleId="Char1">
    <w:name w:val="正文首行缩进 Char"/>
    <w:basedOn w:val="Char0"/>
    <w:link w:val="a0"/>
    <w:uiPriority w:val="99"/>
    <w:semiHidden/>
    <w:rsid w:val="00287402"/>
    <w:rPr>
      <w:rFonts w:ascii="Times New Roman" w:eastAsia="宋体" w:hAnsi="Times New Roman" w:cs="Times New Roman"/>
      <w:szCs w:val="20"/>
    </w:rPr>
  </w:style>
  <w:style w:type="paragraph" w:styleId="a1">
    <w:name w:val="Normal Indent"/>
    <w:basedOn w:val="a"/>
    <w:uiPriority w:val="99"/>
    <w:semiHidden/>
    <w:unhideWhenUsed/>
    <w:rsid w:val="00287402"/>
    <w:pPr>
      <w:ind w:firstLineChars="200" w:firstLine="420"/>
    </w:pPr>
  </w:style>
  <w:style w:type="paragraph" w:styleId="a7">
    <w:name w:val="header"/>
    <w:basedOn w:val="a"/>
    <w:link w:val="Char2"/>
    <w:uiPriority w:val="99"/>
    <w:unhideWhenUsed/>
    <w:rsid w:val="0014466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14466A"/>
    <w:rPr>
      <w:rFonts w:ascii="Times New Roman" w:eastAsia="宋体" w:hAnsi="Times New Roman" w:cs="Times New Roman"/>
      <w:sz w:val="18"/>
      <w:szCs w:val="18"/>
    </w:rPr>
  </w:style>
  <w:style w:type="character" w:styleId="a8">
    <w:name w:val="annotation reference"/>
    <w:basedOn w:val="a2"/>
    <w:uiPriority w:val="99"/>
    <w:semiHidden/>
    <w:unhideWhenUsed/>
    <w:rsid w:val="00430513"/>
    <w:rPr>
      <w:sz w:val="21"/>
      <w:szCs w:val="21"/>
    </w:rPr>
  </w:style>
  <w:style w:type="paragraph" w:styleId="a9">
    <w:name w:val="annotation text"/>
    <w:basedOn w:val="a"/>
    <w:link w:val="Char3"/>
    <w:uiPriority w:val="99"/>
    <w:semiHidden/>
    <w:unhideWhenUsed/>
    <w:rsid w:val="00430513"/>
    <w:pPr>
      <w:jc w:val="left"/>
    </w:pPr>
  </w:style>
  <w:style w:type="character" w:customStyle="1" w:styleId="Char3">
    <w:name w:val="批注文字 Char"/>
    <w:basedOn w:val="a2"/>
    <w:link w:val="a9"/>
    <w:uiPriority w:val="99"/>
    <w:semiHidden/>
    <w:rsid w:val="00430513"/>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430513"/>
    <w:rPr>
      <w:b/>
      <w:bCs/>
    </w:rPr>
  </w:style>
  <w:style w:type="character" w:customStyle="1" w:styleId="Char4">
    <w:name w:val="批注主题 Char"/>
    <w:basedOn w:val="Char3"/>
    <w:link w:val="aa"/>
    <w:uiPriority w:val="99"/>
    <w:semiHidden/>
    <w:rsid w:val="00430513"/>
    <w:rPr>
      <w:rFonts w:ascii="Times New Roman" w:eastAsia="宋体" w:hAnsi="Times New Roman" w:cs="Times New Roman"/>
      <w:b/>
      <w:bCs/>
      <w:szCs w:val="20"/>
    </w:rPr>
  </w:style>
  <w:style w:type="paragraph" w:styleId="ab">
    <w:name w:val="Balloon Text"/>
    <w:basedOn w:val="a"/>
    <w:link w:val="Char5"/>
    <w:uiPriority w:val="99"/>
    <w:semiHidden/>
    <w:unhideWhenUsed/>
    <w:rsid w:val="00430513"/>
    <w:rPr>
      <w:sz w:val="18"/>
      <w:szCs w:val="18"/>
    </w:rPr>
  </w:style>
  <w:style w:type="character" w:customStyle="1" w:styleId="Char5">
    <w:name w:val="批注框文本 Char"/>
    <w:basedOn w:val="a2"/>
    <w:link w:val="ab"/>
    <w:uiPriority w:val="99"/>
    <w:semiHidden/>
    <w:rsid w:val="00430513"/>
    <w:rPr>
      <w:rFonts w:ascii="Times New Roman" w:eastAsia="宋体" w:hAnsi="Times New Roman" w:cs="Times New Roman"/>
      <w:sz w:val="18"/>
      <w:szCs w:val="18"/>
    </w:rPr>
  </w:style>
  <w:style w:type="paragraph" w:styleId="ac">
    <w:name w:val="List Paragraph"/>
    <w:basedOn w:val="a"/>
    <w:uiPriority w:val="34"/>
    <w:qFormat/>
    <w:rsid w:val="0063653E"/>
    <w:pPr>
      <w:ind w:firstLineChars="200" w:firstLine="420"/>
    </w:pPr>
  </w:style>
  <w:style w:type="paragraph" w:styleId="ad">
    <w:name w:val="Revision"/>
    <w:hidden/>
    <w:uiPriority w:val="99"/>
    <w:semiHidden/>
    <w:rsid w:val="00482C59"/>
    <w:rPr>
      <w:rFonts w:ascii="Times New Roman" w:eastAsia="宋体" w:hAnsi="Times New Roman" w:cs="Times New Roman"/>
      <w:szCs w:val="20"/>
    </w:rPr>
  </w:style>
  <w:style w:type="table" w:styleId="ae">
    <w:name w:val="Table Grid"/>
    <w:basedOn w:val="a3"/>
    <w:uiPriority w:val="59"/>
    <w:rsid w:val="00A3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824669">
      <w:bodyDiv w:val="1"/>
      <w:marLeft w:val="0"/>
      <w:marRight w:val="0"/>
      <w:marTop w:val="0"/>
      <w:marBottom w:val="0"/>
      <w:divBdr>
        <w:top w:val="none" w:sz="0" w:space="0" w:color="auto"/>
        <w:left w:val="none" w:sz="0" w:space="0" w:color="auto"/>
        <w:bottom w:val="none" w:sz="0" w:space="0" w:color="auto"/>
        <w:right w:val="none" w:sz="0" w:space="0" w:color="auto"/>
      </w:divBdr>
    </w:div>
    <w:div w:id="476535099">
      <w:bodyDiv w:val="1"/>
      <w:marLeft w:val="0"/>
      <w:marRight w:val="0"/>
      <w:marTop w:val="0"/>
      <w:marBottom w:val="0"/>
      <w:divBdr>
        <w:top w:val="none" w:sz="0" w:space="0" w:color="auto"/>
        <w:left w:val="none" w:sz="0" w:space="0" w:color="auto"/>
        <w:bottom w:val="none" w:sz="0" w:space="0" w:color="auto"/>
        <w:right w:val="none" w:sz="0" w:space="0" w:color="auto"/>
      </w:divBdr>
    </w:div>
    <w:div w:id="1088572595">
      <w:bodyDiv w:val="1"/>
      <w:marLeft w:val="0"/>
      <w:marRight w:val="0"/>
      <w:marTop w:val="0"/>
      <w:marBottom w:val="0"/>
      <w:divBdr>
        <w:top w:val="none" w:sz="0" w:space="0" w:color="auto"/>
        <w:left w:val="none" w:sz="0" w:space="0" w:color="auto"/>
        <w:bottom w:val="none" w:sz="0" w:space="0" w:color="auto"/>
        <w:right w:val="none" w:sz="0" w:space="0" w:color="auto"/>
      </w:divBdr>
    </w:div>
    <w:div w:id="1130511523">
      <w:bodyDiv w:val="1"/>
      <w:marLeft w:val="0"/>
      <w:marRight w:val="0"/>
      <w:marTop w:val="0"/>
      <w:marBottom w:val="0"/>
      <w:divBdr>
        <w:top w:val="none" w:sz="0" w:space="0" w:color="auto"/>
        <w:left w:val="none" w:sz="0" w:space="0" w:color="auto"/>
        <w:bottom w:val="none" w:sz="0" w:space="0" w:color="auto"/>
        <w:right w:val="none" w:sz="0" w:space="0" w:color="auto"/>
      </w:divBdr>
    </w:div>
    <w:div w:id="1212300560">
      <w:bodyDiv w:val="1"/>
      <w:marLeft w:val="0"/>
      <w:marRight w:val="0"/>
      <w:marTop w:val="0"/>
      <w:marBottom w:val="0"/>
      <w:divBdr>
        <w:top w:val="none" w:sz="0" w:space="0" w:color="auto"/>
        <w:left w:val="none" w:sz="0" w:space="0" w:color="auto"/>
        <w:bottom w:val="none" w:sz="0" w:space="0" w:color="auto"/>
        <w:right w:val="none" w:sz="0" w:space="0" w:color="auto"/>
      </w:divBdr>
    </w:div>
    <w:div w:id="1463697225">
      <w:bodyDiv w:val="1"/>
      <w:marLeft w:val="0"/>
      <w:marRight w:val="0"/>
      <w:marTop w:val="0"/>
      <w:marBottom w:val="0"/>
      <w:divBdr>
        <w:top w:val="none" w:sz="0" w:space="0" w:color="auto"/>
        <w:left w:val="none" w:sz="0" w:space="0" w:color="auto"/>
        <w:bottom w:val="none" w:sz="0" w:space="0" w:color="auto"/>
        <w:right w:val="none" w:sz="0" w:space="0" w:color="auto"/>
      </w:divBdr>
    </w:div>
    <w:div w:id="1502426361">
      <w:bodyDiv w:val="1"/>
      <w:marLeft w:val="0"/>
      <w:marRight w:val="0"/>
      <w:marTop w:val="0"/>
      <w:marBottom w:val="0"/>
      <w:divBdr>
        <w:top w:val="none" w:sz="0" w:space="0" w:color="auto"/>
        <w:left w:val="none" w:sz="0" w:space="0" w:color="auto"/>
        <w:bottom w:val="none" w:sz="0" w:space="0" w:color="auto"/>
        <w:right w:val="none" w:sz="0" w:space="0" w:color="auto"/>
      </w:divBdr>
    </w:div>
    <w:div w:id="1630866086">
      <w:bodyDiv w:val="1"/>
      <w:marLeft w:val="0"/>
      <w:marRight w:val="0"/>
      <w:marTop w:val="0"/>
      <w:marBottom w:val="0"/>
      <w:divBdr>
        <w:top w:val="none" w:sz="0" w:space="0" w:color="auto"/>
        <w:left w:val="none" w:sz="0" w:space="0" w:color="auto"/>
        <w:bottom w:val="none" w:sz="0" w:space="0" w:color="auto"/>
        <w:right w:val="none" w:sz="0" w:space="0" w:color="auto"/>
      </w:divBdr>
    </w:div>
    <w:div w:id="19717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96F9-F0A6-4364-8243-303E9676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2539</Characters>
  <Application>Microsoft Office Word</Application>
  <DocSecurity>4</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dc:creator>
  <cp:lastModifiedBy>ZHONGM</cp:lastModifiedBy>
  <cp:revision>2</cp:revision>
  <dcterms:created xsi:type="dcterms:W3CDTF">2021-03-30T16:07:00Z</dcterms:created>
  <dcterms:modified xsi:type="dcterms:W3CDTF">2021-03-30T16:07:00Z</dcterms:modified>
</cp:coreProperties>
</file>