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2FC" w:rsidRDefault="00B602FC" w:rsidP="003F7916">
      <w:pPr>
        <w:jc w:val="center"/>
        <w:rPr>
          <w:rFonts w:ascii="宋体" w:hAnsi="宋体"/>
          <w:b/>
          <w:sz w:val="32"/>
          <w:szCs w:val="32"/>
        </w:rPr>
      </w:pPr>
      <w:r w:rsidRPr="00B602FC">
        <w:rPr>
          <w:rFonts w:ascii="宋体" w:hAnsi="宋体" w:hint="eastAsia"/>
          <w:b/>
          <w:sz w:val="32"/>
          <w:szCs w:val="32"/>
        </w:rPr>
        <w:t>摩根士丹利华鑫基金管理有限公司关于调整旗下部分基金</w:t>
      </w:r>
    </w:p>
    <w:p w:rsidR="00FA5B0E" w:rsidRDefault="00B602FC" w:rsidP="003F7916">
      <w:pPr>
        <w:jc w:val="center"/>
        <w:rPr>
          <w:rFonts w:ascii="宋体" w:hAnsi="宋体"/>
          <w:b/>
          <w:sz w:val="32"/>
          <w:szCs w:val="32"/>
        </w:rPr>
      </w:pPr>
      <w:r w:rsidRPr="00B602FC">
        <w:rPr>
          <w:rFonts w:ascii="宋体" w:hAnsi="宋体" w:hint="eastAsia"/>
          <w:b/>
          <w:sz w:val="32"/>
          <w:szCs w:val="32"/>
        </w:rPr>
        <w:t>申购、</w:t>
      </w:r>
      <w:r w:rsidR="00FA5B0E">
        <w:rPr>
          <w:rFonts w:ascii="宋体" w:hAnsi="宋体" w:hint="eastAsia"/>
          <w:b/>
          <w:sz w:val="32"/>
          <w:szCs w:val="32"/>
        </w:rPr>
        <w:t>定期定额申购、</w:t>
      </w:r>
      <w:r w:rsidRPr="00B602FC">
        <w:rPr>
          <w:rFonts w:ascii="宋体" w:hAnsi="宋体" w:hint="eastAsia"/>
          <w:b/>
          <w:sz w:val="32"/>
          <w:szCs w:val="32"/>
        </w:rPr>
        <w:t>赎回、转换及最低持有份额</w:t>
      </w:r>
    </w:p>
    <w:p w:rsidR="00B602FC" w:rsidRDefault="00B602FC" w:rsidP="003F7916">
      <w:pPr>
        <w:jc w:val="center"/>
        <w:rPr>
          <w:rFonts w:ascii="宋体" w:hAnsi="宋体"/>
          <w:b/>
          <w:sz w:val="32"/>
          <w:szCs w:val="32"/>
        </w:rPr>
      </w:pPr>
      <w:r w:rsidRPr="00B602FC">
        <w:rPr>
          <w:rFonts w:ascii="宋体" w:hAnsi="宋体" w:hint="eastAsia"/>
          <w:b/>
          <w:sz w:val="32"/>
          <w:szCs w:val="32"/>
        </w:rPr>
        <w:t>数额限制的公告</w:t>
      </w:r>
    </w:p>
    <w:p w:rsidR="00243D8F" w:rsidRDefault="00243D8F" w:rsidP="003F7916">
      <w:pPr>
        <w:jc w:val="center"/>
        <w:rPr>
          <w:rFonts w:hint="eastAsia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2_0_0003_a1_fm1"/>
      <w:bookmarkEnd w:id="0"/>
      <w:r w:rsidR="00D647C2">
        <w:rPr>
          <w:rFonts w:ascii="宋体" w:hAnsi="宋体" w:hint="eastAsia"/>
          <w:b/>
          <w:sz w:val="28"/>
          <w:szCs w:val="28"/>
        </w:rPr>
        <w:t>2021</w:t>
      </w:r>
      <w:r w:rsidR="00877F86">
        <w:rPr>
          <w:rFonts w:ascii="宋体" w:hAnsi="宋体"/>
          <w:b/>
          <w:sz w:val="28"/>
          <w:szCs w:val="28"/>
        </w:rPr>
        <w:t>年</w:t>
      </w:r>
      <w:r w:rsidR="00D647C2">
        <w:rPr>
          <w:rFonts w:ascii="宋体" w:hAnsi="宋体" w:hint="eastAsia"/>
          <w:b/>
          <w:sz w:val="28"/>
          <w:szCs w:val="28"/>
        </w:rPr>
        <w:t>3</w:t>
      </w:r>
      <w:r w:rsidR="00877F86">
        <w:rPr>
          <w:rFonts w:ascii="宋体" w:hAnsi="宋体"/>
          <w:b/>
          <w:sz w:val="28"/>
          <w:szCs w:val="28"/>
        </w:rPr>
        <w:t>月</w:t>
      </w:r>
      <w:r w:rsidR="000F73E4">
        <w:rPr>
          <w:rFonts w:ascii="宋体" w:hAnsi="宋体" w:hint="eastAsia"/>
          <w:b/>
          <w:sz w:val="28"/>
          <w:szCs w:val="28"/>
        </w:rPr>
        <w:t>3</w:t>
      </w:r>
      <w:r w:rsidR="003A5AC2">
        <w:rPr>
          <w:rFonts w:ascii="宋体" w:hAnsi="宋体" w:hint="eastAsia"/>
          <w:b/>
          <w:sz w:val="28"/>
          <w:szCs w:val="28"/>
        </w:rPr>
        <w:t>1</w:t>
      </w:r>
      <w:r w:rsidR="00877F86">
        <w:rPr>
          <w:rFonts w:ascii="宋体" w:hAnsi="宋体"/>
          <w:b/>
          <w:sz w:val="28"/>
          <w:szCs w:val="28"/>
        </w:rPr>
        <w:t>日</w:t>
      </w:r>
    </w:p>
    <w:p w:rsidR="00C76EE5" w:rsidRPr="007E607C" w:rsidRDefault="00C76EE5" w:rsidP="00855006">
      <w:pPr>
        <w:spacing w:line="360" w:lineRule="auto"/>
        <w:ind w:firstLineChars="200" w:firstLine="420"/>
        <w:jc w:val="left"/>
      </w:pPr>
      <w:bookmarkStart w:id="1" w:name="t_2_1_table"/>
      <w:bookmarkEnd w:id="1"/>
      <w:r w:rsidRPr="00C76EE5">
        <w:rPr>
          <w:rFonts w:ascii="宋体" w:hAnsi="宋体" w:hint="eastAsia"/>
          <w:bCs/>
          <w:szCs w:val="21"/>
          <w:lang/>
        </w:rPr>
        <w:t>为了更好地满足广大投资者的理财需求，根据相关基金合同、招募说明书的规定，摩根士丹利华鑫基金管理有限公司（以下简称“本公司”） 决定自 20</w:t>
      </w:r>
      <w:r w:rsidR="00650D46">
        <w:rPr>
          <w:rFonts w:ascii="宋体" w:hAnsi="宋体" w:hint="eastAsia"/>
          <w:bCs/>
          <w:szCs w:val="21"/>
          <w:lang/>
        </w:rPr>
        <w:t>21</w:t>
      </w:r>
      <w:r w:rsidRPr="00C76EE5">
        <w:rPr>
          <w:rFonts w:ascii="宋体" w:hAnsi="宋体" w:hint="eastAsia"/>
          <w:bCs/>
          <w:szCs w:val="21"/>
          <w:lang/>
        </w:rPr>
        <w:t>年</w:t>
      </w:r>
      <w:r w:rsidR="00650D46">
        <w:rPr>
          <w:rFonts w:ascii="宋体" w:hAnsi="宋体" w:hint="eastAsia"/>
          <w:bCs/>
          <w:szCs w:val="21"/>
          <w:lang/>
        </w:rPr>
        <w:t xml:space="preserve"> </w:t>
      </w:r>
      <w:r w:rsidR="00650D46">
        <w:rPr>
          <w:rFonts w:ascii="宋体" w:hAnsi="宋体"/>
          <w:bCs/>
          <w:szCs w:val="21"/>
          <w:lang/>
        </w:rPr>
        <w:t>3</w:t>
      </w:r>
      <w:r w:rsidRPr="00C76EE5">
        <w:rPr>
          <w:rFonts w:ascii="宋体" w:hAnsi="宋体" w:hint="eastAsia"/>
          <w:bCs/>
          <w:szCs w:val="21"/>
          <w:lang/>
        </w:rPr>
        <w:t xml:space="preserve"> 月</w:t>
      </w:r>
      <w:r w:rsidR="00650D46">
        <w:rPr>
          <w:rFonts w:ascii="宋体" w:hAnsi="宋体" w:hint="eastAsia"/>
          <w:bCs/>
          <w:szCs w:val="21"/>
          <w:lang/>
        </w:rPr>
        <w:t xml:space="preserve"> </w:t>
      </w:r>
      <w:r w:rsidR="000F73E4">
        <w:rPr>
          <w:rFonts w:ascii="宋体" w:hAnsi="宋体" w:hint="eastAsia"/>
          <w:bCs/>
          <w:szCs w:val="21"/>
          <w:lang/>
        </w:rPr>
        <w:t>3</w:t>
      </w:r>
      <w:r w:rsidR="003A5AC2">
        <w:rPr>
          <w:rFonts w:ascii="宋体" w:hAnsi="宋体" w:hint="eastAsia"/>
          <w:bCs/>
          <w:szCs w:val="21"/>
          <w:lang/>
        </w:rPr>
        <w:t>1</w:t>
      </w:r>
      <w:r w:rsidRPr="00C76EE5">
        <w:rPr>
          <w:rFonts w:ascii="宋体" w:hAnsi="宋体" w:hint="eastAsia"/>
          <w:bCs/>
          <w:szCs w:val="21"/>
          <w:lang/>
        </w:rPr>
        <w:t>日起，</w:t>
      </w:r>
      <w:r w:rsidR="008B5A09">
        <w:rPr>
          <w:rFonts w:ascii="宋体" w:hAnsi="宋体" w:hint="eastAsia"/>
          <w:bCs/>
          <w:szCs w:val="21"/>
          <w:lang/>
        </w:rPr>
        <w:t>调整</w:t>
      </w:r>
      <w:r w:rsidR="007E607C">
        <w:rPr>
          <w:rFonts w:hint="eastAsia"/>
        </w:rPr>
        <w:t>旗下部分</w:t>
      </w:r>
      <w:r w:rsidR="00B61E5C">
        <w:rPr>
          <w:rFonts w:hint="eastAsia"/>
        </w:rPr>
        <w:t>基金申购、定期定额申购、赎回、转换及最低持有份额数额限制</w:t>
      </w:r>
      <w:r w:rsidR="00F95935">
        <w:t>，现将相关事项公告如下：</w:t>
      </w:r>
    </w:p>
    <w:p w:rsidR="00344A4B" w:rsidRPr="00C76EE5" w:rsidRDefault="00344A4B" w:rsidP="00344A4B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</w:p>
    <w:p w:rsidR="00C76EE5" w:rsidRDefault="00C76EE5" w:rsidP="00C76EE5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一、 适用基金</w:t>
      </w:r>
    </w:p>
    <w:p w:rsid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摩根士丹利华鑫基础行业证券投资基金（基金代码：233001）</w:t>
      </w:r>
    </w:p>
    <w:p w:rsidR="002E73DB" w:rsidRPr="002E73DB" w:rsidRDefault="002E73DB" w:rsidP="002E73DB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摩根士丹利华鑫资源优选混合型证券投资基金(LOF)（基金代码：163302）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摩根士丹利华鑫强收益债券型证券投资基金（基金代码：233005）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摩根士丹利华鑫领先优势混合型证券投资基金（基金代码：233006）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摩根士丹利华鑫卓越成长混合型证券投资基金（基金代码：233007）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摩根士丹利华鑫消费领航混合型证券投资基金（基金代码：233008）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摩根士丹利华鑫多因子精选策略混合型证券投资基金（基金代码：233009）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摩根士丹利华鑫深证300指数增强型证券投资基金（基金代码：233010）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摩根士丹利华鑫主题优选混合型证券投资基金（基金代码：233011）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摩根士丹利华鑫多元收益债券型证券投资基金（基金代码：</w:t>
      </w:r>
      <w:r w:rsidR="00F16013">
        <w:rPr>
          <w:rFonts w:ascii="宋体" w:hAnsi="宋体" w:hint="eastAsia"/>
          <w:bCs/>
          <w:szCs w:val="21"/>
          <w:lang/>
        </w:rPr>
        <w:t>A类</w:t>
      </w:r>
      <w:r w:rsidRPr="0051704A">
        <w:rPr>
          <w:rFonts w:ascii="宋体" w:hAnsi="宋体" w:hint="eastAsia"/>
          <w:bCs/>
          <w:szCs w:val="21"/>
          <w:lang/>
        </w:rPr>
        <w:t>233012</w:t>
      </w:r>
      <w:r w:rsidR="00F16013">
        <w:rPr>
          <w:rFonts w:ascii="宋体" w:hAnsi="宋体" w:hint="eastAsia"/>
          <w:bCs/>
          <w:szCs w:val="21"/>
          <w:lang/>
        </w:rPr>
        <w:t>，C类</w:t>
      </w:r>
      <w:r w:rsidR="00F16013" w:rsidRPr="0051704A">
        <w:rPr>
          <w:rFonts w:ascii="宋体" w:hAnsi="宋体" w:hint="eastAsia"/>
          <w:bCs/>
          <w:szCs w:val="21"/>
          <w:lang/>
        </w:rPr>
        <w:t>233013</w:t>
      </w:r>
      <w:r w:rsidRPr="0051704A">
        <w:rPr>
          <w:rFonts w:ascii="宋体" w:hAnsi="宋体" w:hint="eastAsia"/>
          <w:bCs/>
          <w:szCs w:val="21"/>
          <w:lang/>
        </w:rPr>
        <w:t>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摩根士丹利华鑫量化配置混合型证券投资基金（基金代码：</w:t>
      </w:r>
      <w:r w:rsidR="00F16013">
        <w:rPr>
          <w:rFonts w:ascii="宋体" w:hAnsi="宋体" w:hint="eastAsia"/>
          <w:bCs/>
          <w:szCs w:val="21"/>
          <w:lang/>
        </w:rPr>
        <w:t>A类</w:t>
      </w:r>
      <w:r w:rsidRPr="0051704A">
        <w:rPr>
          <w:rFonts w:ascii="宋体" w:hAnsi="宋体" w:hint="eastAsia"/>
          <w:bCs/>
          <w:szCs w:val="21"/>
          <w:lang/>
        </w:rPr>
        <w:t>233015</w:t>
      </w:r>
      <w:r w:rsidR="00F16013">
        <w:rPr>
          <w:rFonts w:ascii="宋体" w:hAnsi="宋体" w:hint="eastAsia"/>
          <w:bCs/>
          <w:szCs w:val="21"/>
          <w:lang/>
        </w:rPr>
        <w:t>，C类</w:t>
      </w:r>
      <w:r w:rsidR="00F16013" w:rsidRPr="0051704A">
        <w:rPr>
          <w:rFonts w:ascii="宋体" w:hAnsi="宋体" w:hint="eastAsia"/>
          <w:bCs/>
          <w:szCs w:val="21"/>
          <w:lang/>
        </w:rPr>
        <w:t>008305</w:t>
      </w:r>
      <w:r w:rsidRPr="0051704A">
        <w:rPr>
          <w:rFonts w:ascii="宋体" w:hAnsi="宋体" w:hint="eastAsia"/>
          <w:bCs/>
          <w:szCs w:val="21"/>
          <w:lang/>
        </w:rPr>
        <w:t>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摩根士丹利华鑫双利增强债券型证券投资基金（基金代码：</w:t>
      </w:r>
      <w:r w:rsidR="00F16013">
        <w:rPr>
          <w:rFonts w:ascii="宋体" w:hAnsi="宋体" w:hint="eastAsia"/>
          <w:bCs/>
          <w:szCs w:val="21"/>
          <w:lang/>
        </w:rPr>
        <w:t>A类</w:t>
      </w:r>
      <w:r w:rsidRPr="0051704A">
        <w:rPr>
          <w:rFonts w:ascii="宋体" w:hAnsi="宋体" w:hint="eastAsia"/>
          <w:bCs/>
          <w:szCs w:val="21"/>
          <w:lang/>
        </w:rPr>
        <w:t>000024</w:t>
      </w:r>
      <w:r w:rsidR="00F16013">
        <w:rPr>
          <w:rFonts w:ascii="宋体" w:hAnsi="宋体" w:hint="eastAsia"/>
          <w:bCs/>
          <w:szCs w:val="21"/>
          <w:lang/>
        </w:rPr>
        <w:t>，C类</w:t>
      </w:r>
      <w:r w:rsidR="00F16013" w:rsidRPr="0051704A">
        <w:rPr>
          <w:rFonts w:ascii="宋体" w:hAnsi="宋体" w:hint="eastAsia"/>
          <w:bCs/>
          <w:szCs w:val="21"/>
          <w:lang/>
        </w:rPr>
        <w:t>000025</w:t>
      </w:r>
      <w:r w:rsidRPr="0051704A">
        <w:rPr>
          <w:rFonts w:ascii="宋体" w:hAnsi="宋体" w:hint="eastAsia"/>
          <w:bCs/>
          <w:szCs w:val="21"/>
          <w:lang/>
        </w:rPr>
        <w:t>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摩根士丹利华鑫品质生活精选股票型证券投资基金（基金代码：000309）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摩根士丹利华鑫优质信价纯债债券型证券投资基金A（基金代码：000419）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摩根士丹利华鑫优质信价纯债债券型证券投资基金C（基金代码：000420）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摩根士丹利华鑫进取优选股票型证券投资基金（基金代码：000594）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摩根士丹利华鑫量化多策略股票型证券投资基金（基金代码：001291）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摩根士丹利华鑫科技领先灵活配置混合型证券投资基金（基金代码：002707）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摩根士丹利华鑫健康产业混合型证券投资基金（基金代码：002708）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摩根士丹利华鑫万众创新灵活配置混合型证券投资基金（基金代码：</w:t>
      </w:r>
      <w:r w:rsidR="00F16013">
        <w:rPr>
          <w:rFonts w:ascii="宋体" w:hAnsi="宋体" w:hint="eastAsia"/>
          <w:bCs/>
          <w:szCs w:val="21"/>
          <w:lang/>
        </w:rPr>
        <w:t>A类</w:t>
      </w:r>
      <w:r w:rsidRPr="0051704A">
        <w:rPr>
          <w:rFonts w:ascii="宋体" w:hAnsi="宋体" w:hint="eastAsia"/>
          <w:bCs/>
          <w:szCs w:val="21"/>
          <w:lang/>
        </w:rPr>
        <w:t>002885</w:t>
      </w:r>
      <w:r w:rsidR="00F16013">
        <w:rPr>
          <w:rFonts w:ascii="宋体" w:hAnsi="宋体" w:hint="eastAsia"/>
          <w:bCs/>
          <w:szCs w:val="21"/>
          <w:lang/>
        </w:rPr>
        <w:t>，C类</w:t>
      </w:r>
      <w:r w:rsidR="00F16013" w:rsidRPr="0051704A">
        <w:rPr>
          <w:rFonts w:ascii="宋体" w:hAnsi="宋体" w:hint="eastAsia"/>
          <w:bCs/>
          <w:szCs w:val="21"/>
          <w:lang/>
        </w:rPr>
        <w:lastRenderedPageBreak/>
        <w:t>011712</w:t>
      </w:r>
      <w:r w:rsidRPr="0051704A">
        <w:rPr>
          <w:rFonts w:ascii="宋体" w:hAnsi="宋体" w:hint="eastAsia"/>
          <w:bCs/>
          <w:szCs w:val="21"/>
          <w:lang/>
        </w:rPr>
        <w:t>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摩根士丹利华鑫ESG量化先行混合型证券投资基金（基金代码：009246）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摩根士丹利华鑫MSCI中国A股指数增强型证券投资基金（基金代码：009384）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摩根士丹利华鑫灵动优选债券型证券投资基金（基金代码：009752）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摩根士丹利华鑫优悦安和混合型证券投资基金（基金代码：009893）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摩根士丹利华鑫内需增长混合型证券投资基金（基金代码：010314）</w:t>
      </w:r>
    </w:p>
    <w:p w:rsidR="0051704A" w:rsidRPr="0051704A" w:rsidRDefault="0051704A" w:rsidP="0051704A">
      <w:pPr>
        <w:numPr>
          <w:ilvl w:val="0"/>
          <w:numId w:val="8"/>
        </w:numPr>
        <w:spacing w:line="360" w:lineRule="auto"/>
        <w:jc w:val="left"/>
        <w:rPr>
          <w:rFonts w:ascii="宋体" w:hAnsi="宋体" w:hint="eastAsia"/>
          <w:bCs/>
          <w:szCs w:val="21"/>
          <w:lang/>
        </w:rPr>
      </w:pPr>
      <w:r w:rsidRPr="0051704A">
        <w:rPr>
          <w:rFonts w:ascii="宋体" w:hAnsi="宋体" w:hint="eastAsia"/>
          <w:bCs/>
          <w:szCs w:val="21"/>
          <w:lang/>
        </w:rPr>
        <w:t>摩根士丹利华鑫新兴产业股票型证券投资基金（基金代码：010322）</w:t>
      </w:r>
    </w:p>
    <w:p w:rsidR="00B57477" w:rsidRPr="00C76EE5" w:rsidRDefault="00B57477" w:rsidP="00B57477">
      <w:pPr>
        <w:spacing w:line="360" w:lineRule="auto"/>
        <w:ind w:left="420"/>
        <w:jc w:val="left"/>
        <w:rPr>
          <w:rFonts w:ascii="宋体" w:hAnsi="宋体" w:hint="eastAsia"/>
          <w:bCs/>
          <w:szCs w:val="21"/>
          <w:lang/>
        </w:rPr>
      </w:pPr>
    </w:p>
    <w:p w:rsidR="00C76EE5" w:rsidRPr="00C76EE5" w:rsidRDefault="00C76EE5" w:rsidP="00C76EE5">
      <w:pPr>
        <w:spacing w:line="360" w:lineRule="auto"/>
        <w:ind w:firstLineChars="200" w:firstLine="420"/>
        <w:jc w:val="left"/>
        <w:rPr>
          <w:rFonts w:ascii="宋体" w:hAnsi="宋体" w:hint="eastAsia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二、 调整方案</w:t>
      </w:r>
    </w:p>
    <w:p w:rsidR="00C76EE5" w:rsidRPr="00C76EE5" w:rsidRDefault="00C76EE5" w:rsidP="00431034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1、 自20</w:t>
      </w:r>
      <w:r w:rsidR="008B095F">
        <w:rPr>
          <w:rFonts w:ascii="宋体" w:hAnsi="宋体" w:hint="eastAsia"/>
          <w:bCs/>
          <w:szCs w:val="21"/>
          <w:lang/>
        </w:rPr>
        <w:t>21</w:t>
      </w:r>
      <w:r w:rsidRPr="00C76EE5">
        <w:rPr>
          <w:rFonts w:ascii="宋体" w:hAnsi="宋体" w:hint="eastAsia"/>
          <w:bCs/>
          <w:szCs w:val="21"/>
          <w:lang/>
        </w:rPr>
        <w:t xml:space="preserve"> 年</w:t>
      </w:r>
      <w:r w:rsidR="008B095F">
        <w:rPr>
          <w:rFonts w:ascii="宋体" w:hAnsi="宋体" w:hint="eastAsia"/>
          <w:bCs/>
          <w:szCs w:val="21"/>
          <w:lang/>
        </w:rPr>
        <w:t>3</w:t>
      </w:r>
      <w:r w:rsidRPr="00C76EE5">
        <w:rPr>
          <w:rFonts w:ascii="宋体" w:hAnsi="宋体" w:hint="eastAsia"/>
          <w:bCs/>
          <w:szCs w:val="21"/>
          <w:lang/>
        </w:rPr>
        <w:t xml:space="preserve"> 月</w:t>
      </w:r>
      <w:r w:rsidR="00605353">
        <w:rPr>
          <w:rFonts w:ascii="宋体" w:hAnsi="宋体" w:hint="eastAsia"/>
          <w:bCs/>
          <w:szCs w:val="21"/>
          <w:lang/>
        </w:rPr>
        <w:t>3</w:t>
      </w:r>
      <w:r w:rsidR="003A5AC2">
        <w:rPr>
          <w:rFonts w:ascii="宋体" w:hAnsi="宋体" w:hint="eastAsia"/>
          <w:bCs/>
          <w:szCs w:val="21"/>
          <w:lang/>
        </w:rPr>
        <w:t>1</w:t>
      </w:r>
      <w:r w:rsidRPr="00C76EE5">
        <w:rPr>
          <w:rFonts w:ascii="宋体" w:hAnsi="宋体" w:hint="eastAsia"/>
          <w:bCs/>
          <w:szCs w:val="21"/>
          <w:lang/>
        </w:rPr>
        <w:t xml:space="preserve"> 日起，上述基金的</w:t>
      </w:r>
      <w:r w:rsidR="00203667" w:rsidRPr="00203667">
        <w:rPr>
          <w:rFonts w:ascii="宋体" w:hAnsi="宋体" w:hint="eastAsia"/>
          <w:bCs/>
          <w:szCs w:val="21"/>
          <w:lang/>
        </w:rPr>
        <w:t>申购</w:t>
      </w:r>
      <w:r w:rsidR="0031571D">
        <w:rPr>
          <w:rFonts w:ascii="宋体" w:hAnsi="宋体" w:hint="eastAsia"/>
          <w:bCs/>
          <w:szCs w:val="21"/>
          <w:lang/>
        </w:rPr>
        <w:t>、</w:t>
      </w:r>
      <w:r w:rsidR="0031571D" w:rsidRPr="0031571D">
        <w:rPr>
          <w:rFonts w:ascii="宋体" w:hAnsi="宋体" w:hint="eastAsia"/>
          <w:bCs/>
          <w:szCs w:val="21"/>
          <w:lang/>
        </w:rPr>
        <w:t>定期定额申购</w:t>
      </w:r>
      <w:r w:rsidR="00203667" w:rsidRPr="00203667">
        <w:rPr>
          <w:rFonts w:ascii="宋体" w:hAnsi="宋体" w:hint="eastAsia"/>
          <w:bCs/>
          <w:szCs w:val="21"/>
          <w:lang/>
        </w:rPr>
        <w:t>起点</w:t>
      </w:r>
      <w:r w:rsidR="00203667">
        <w:rPr>
          <w:rFonts w:ascii="宋体" w:hAnsi="宋体" w:hint="eastAsia"/>
          <w:bCs/>
          <w:szCs w:val="21"/>
          <w:lang/>
        </w:rPr>
        <w:t>调整为1元</w:t>
      </w:r>
      <w:r w:rsidR="004B5289" w:rsidRPr="00C76EE5">
        <w:rPr>
          <w:rFonts w:ascii="宋体" w:hAnsi="宋体" w:hint="eastAsia"/>
          <w:bCs/>
          <w:szCs w:val="21"/>
          <w:lang/>
        </w:rPr>
        <w:t>(含申购费用)</w:t>
      </w:r>
      <w:r w:rsidR="00825EF4" w:rsidRPr="00C76EE5">
        <w:rPr>
          <w:rFonts w:ascii="宋体" w:hAnsi="宋体" w:hint="eastAsia"/>
          <w:bCs/>
          <w:szCs w:val="21"/>
          <w:lang/>
        </w:rPr>
        <w:t>，</w:t>
      </w:r>
      <w:r w:rsidR="000D6053" w:rsidRPr="000D6053">
        <w:rPr>
          <w:rFonts w:ascii="宋体" w:hAnsi="宋体" w:hint="eastAsia"/>
          <w:bCs/>
          <w:szCs w:val="21"/>
          <w:lang/>
        </w:rPr>
        <w:t>赎回</w:t>
      </w:r>
      <w:r w:rsidR="00E33431">
        <w:rPr>
          <w:rFonts w:ascii="宋体" w:hAnsi="宋体" w:hint="eastAsia"/>
          <w:bCs/>
          <w:szCs w:val="21"/>
          <w:lang/>
        </w:rPr>
        <w:t>起点</w:t>
      </w:r>
      <w:r w:rsidR="000D6053" w:rsidRPr="000D6053">
        <w:rPr>
          <w:rFonts w:ascii="宋体" w:hAnsi="宋体" w:hint="eastAsia"/>
          <w:bCs/>
          <w:szCs w:val="21"/>
          <w:lang/>
        </w:rPr>
        <w:t>、转换转出</w:t>
      </w:r>
      <w:r w:rsidR="00E33431">
        <w:rPr>
          <w:rFonts w:ascii="宋体" w:hAnsi="宋体" w:hint="eastAsia"/>
          <w:bCs/>
          <w:szCs w:val="21"/>
          <w:lang/>
        </w:rPr>
        <w:t>起点</w:t>
      </w:r>
      <w:r w:rsidR="000D6053" w:rsidRPr="000D6053">
        <w:rPr>
          <w:rFonts w:ascii="宋体" w:hAnsi="宋体" w:hint="eastAsia"/>
          <w:bCs/>
          <w:szCs w:val="21"/>
          <w:lang/>
        </w:rPr>
        <w:t>及最低持有份额调整为1份</w:t>
      </w:r>
      <w:r w:rsidR="00431034">
        <w:rPr>
          <w:rFonts w:ascii="宋体" w:hAnsi="宋体" w:hint="eastAsia"/>
          <w:bCs/>
          <w:szCs w:val="21"/>
          <w:lang/>
        </w:rPr>
        <w:t>。</w:t>
      </w:r>
      <w:r w:rsidRPr="00C76EE5">
        <w:rPr>
          <w:rFonts w:ascii="宋体" w:hAnsi="宋体" w:hint="eastAsia"/>
          <w:bCs/>
          <w:szCs w:val="21"/>
          <w:lang/>
        </w:rPr>
        <w:t>投资者当期分配的基金收益转投基金份额时，不受最低申购金额的限制。</w:t>
      </w:r>
    </w:p>
    <w:p w:rsidR="00C76EE5" w:rsidRPr="00C76EE5" w:rsidRDefault="00C76EE5" w:rsidP="00344A4B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2</w:t>
      </w:r>
      <w:r w:rsidR="00FD693C">
        <w:rPr>
          <w:rFonts w:ascii="宋体" w:hAnsi="宋体" w:hint="eastAsia"/>
          <w:bCs/>
          <w:szCs w:val="21"/>
          <w:lang/>
        </w:rPr>
        <w:t>、各销售机构可以根据自己的业务情况在不低于上述最低</w:t>
      </w:r>
      <w:r w:rsidRPr="00C76EE5">
        <w:rPr>
          <w:rFonts w:ascii="宋体" w:hAnsi="宋体" w:hint="eastAsia"/>
          <w:bCs/>
          <w:szCs w:val="21"/>
          <w:lang/>
        </w:rPr>
        <w:t>限制基础上设置上述基金的最低</w:t>
      </w:r>
      <w:r w:rsidR="00431034">
        <w:rPr>
          <w:rFonts w:ascii="宋体" w:hAnsi="宋体" w:hint="eastAsia"/>
          <w:bCs/>
          <w:szCs w:val="21"/>
          <w:lang/>
        </w:rPr>
        <w:t>限额</w:t>
      </w:r>
      <w:r w:rsidRPr="00C76EE5">
        <w:rPr>
          <w:rFonts w:ascii="宋体" w:hAnsi="宋体" w:hint="eastAsia"/>
          <w:bCs/>
          <w:szCs w:val="21"/>
          <w:lang/>
        </w:rPr>
        <w:t>，投资者在销售机构办理上述业务时，需同时遵循销售机构的相关规定。</w:t>
      </w:r>
    </w:p>
    <w:p w:rsidR="00C76EE5" w:rsidRPr="00C76EE5" w:rsidRDefault="00C76EE5" w:rsidP="00C76EE5">
      <w:pPr>
        <w:spacing w:line="360" w:lineRule="auto"/>
        <w:ind w:firstLineChars="200" w:firstLine="420"/>
        <w:jc w:val="left"/>
        <w:rPr>
          <w:rFonts w:ascii="宋体" w:hAnsi="宋体" w:hint="eastAsia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本次调整方案所涉及的招募说明书相关内容，本公司将在上述基金更新招募说明书时相应调整。</w:t>
      </w:r>
    </w:p>
    <w:p w:rsidR="00C76EE5" w:rsidRPr="00C76EE5" w:rsidRDefault="00C76EE5" w:rsidP="00C76EE5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</w:p>
    <w:p w:rsidR="00C76EE5" w:rsidRPr="00C76EE5" w:rsidRDefault="00C76EE5" w:rsidP="00C76EE5">
      <w:pPr>
        <w:spacing w:line="360" w:lineRule="auto"/>
        <w:ind w:firstLineChars="200" w:firstLine="420"/>
        <w:jc w:val="left"/>
        <w:rPr>
          <w:rFonts w:ascii="宋体" w:hAnsi="宋体" w:hint="eastAsia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三、 业务咨询</w:t>
      </w:r>
    </w:p>
    <w:p w:rsidR="00C76EE5" w:rsidRPr="00C76EE5" w:rsidRDefault="00C76EE5" w:rsidP="00431034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投资者可通过以下途径咨询详情：</w:t>
      </w:r>
    </w:p>
    <w:p w:rsidR="00B57477" w:rsidRDefault="00C76EE5" w:rsidP="00B57477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公司网站：</w:t>
      </w:r>
      <w:hyperlink r:id="rId8" w:history="1">
        <w:r w:rsidR="00B57477" w:rsidRPr="00CD1A8B">
          <w:rPr>
            <w:rFonts w:ascii="宋体" w:hAnsi="宋体" w:hint="eastAsia"/>
          </w:rPr>
          <w:t>www.msfunds.com.cn</w:t>
        </w:r>
      </w:hyperlink>
    </w:p>
    <w:p w:rsidR="00C76EE5" w:rsidRPr="00C76EE5" w:rsidRDefault="00C76EE5" w:rsidP="00B57477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客户服务电话：400-8888-668（免长途费）</w:t>
      </w:r>
    </w:p>
    <w:p w:rsidR="00C76EE5" w:rsidRDefault="00C76EE5" w:rsidP="00344A4B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风险提示：本公司承诺以诚实信用、勤勉尽责的原则管理和运用基金资产，但不保证基金一定盈利，也不保证最低收益。投资者投资于本公司基金时应认真阅读相关基金合同、招募说明书等文件。敬请投资者注意投资风险。</w:t>
      </w:r>
    </w:p>
    <w:p w:rsidR="00B57477" w:rsidRPr="00C76EE5" w:rsidRDefault="00B57477" w:rsidP="00344A4B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</w:p>
    <w:p w:rsidR="00C76EE5" w:rsidRDefault="00C76EE5" w:rsidP="00344A4B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  <w:r w:rsidRPr="00C76EE5">
        <w:rPr>
          <w:rFonts w:ascii="宋体" w:hAnsi="宋体" w:hint="eastAsia"/>
          <w:bCs/>
          <w:szCs w:val="21"/>
          <w:lang/>
        </w:rPr>
        <w:t>本公告的解释权归摩根士丹利华鑫基金管理公司所有。</w:t>
      </w:r>
    </w:p>
    <w:p w:rsidR="00B57477" w:rsidRPr="00C76EE5" w:rsidRDefault="00B57477" w:rsidP="00344A4B">
      <w:pPr>
        <w:spacing w:line="360" w:lineRule="auto"/>
        <w:ind w:firstLineChars="200" w:firstLine="420"/>
        <w:jc w:val="left"/>
        <w:rPr>
          <w:rFonts w:ascii="宋体" w:hAnsi="宋体"/>
          <w:bCs/>
          <w:szCs w:val="21"/>
          <w:lang/>
        </w:rPr>
      </w:pPr>
    </w:p>
    <w:p w:rsidR="00243D8F" w:rsidRDefault="00C76EE5" w:rsidP="00344A4B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C76EE5">
        <w:rPr>
          <w:rFonts w:ascii="宋体" w:hAnsi="宋体" w:hint="eastAsia"/>
          <w:bCs/>
          <w:szCs w:val="21"/>
          <w:lang/>
        </w:rPr>
        <w:t>特此公告。</w:t>
      </w:r>
    </w:p>
    <w:p w:rsidR="00877F86" w:rsidRDefault="00877F86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摩根士丹利华鑫基金管理有限公司</w:t>
      </w:r>
    </w:p>
    <w:p w:rsidR="00243D8F" w:rsidRDefault="00381D7E">
      <w:pPr>
        <w:spacing w:line="360" w:lineRule="auto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  <w:szCs w:val="30"/>
        </w:rPr>
        <w:t>2021</w:t>
      </w:r>
      <w:r w:rsidR="00877F86">
        <w:rPr>
          <w:rFonts w:ascii="宋体" w:hAnsi="宋体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3</w:t>
      </w:r>
      <w:r w:rsidR="00877F86">
        <w:rPr>
          <w:rFonts w:ascii="宋体" w:hAnsi="宋体"/>
          <w:sz w:val="24"/>
          <w:szCs w:val="30"/>
        </w:rPr>
        <w:t>月</w:t>
      </w:r>
      <w:r w:rsidR="000F73E4">
        <w:rPr>
          <w:rFonts w:ascii="宋体" w:hAnsi="宋体" w:hint="eastAsia"/>
          <w:sz w:val="24"/>
          <w:szCs w:val="30"/>
        </w:rPr>
        <w:t>3</w:t>
      </w:r>
      <w:r w:rsidR="003A5AC2">
        <w:rPr>
          <w:rFonts w:ascii="宋体" w:hAnsi="宋体" w:hint="eastAsia"/>
          <w:sz w:val="24"/>
          <w:szCs w:val="30"/>
        </w:rPr>
        <w:t>1</w:t>
      </w:r>
      <w:r w:rsidR="00877F86">
        <w:rPr>
          <w:rFonts w:ascii="宋体" w:hAnsi="宋体"/>
          <w:sz w:val="24"/>
          <w:szCs w:val="30"/>
        </w:rPr>
        <w:t>日</w:t>
      </w:r>
    </w:p>
    <w:sectPr w:rsidR="00243D8F">
      <w:headerReference w:type="default" r:id="rId9"/>
      <w:footerReference w:type="default" r:id="rId10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54" w:rsidRDefault="00AD4C54" w:rsidP="00716A1B">
      <w:r>
        <w:separator/>
      </w:r>
    </w:p>
  </w:endnote>
  <w:endnote w:type="continuationSeparator" w:id="0">
    <w:p w:rsidR="00AD4C54" w:rsidRDefault="00AD4C54" w:rsidP="0071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6" w:rsidRDefault="00877F86" w:rsidP="00877F86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C46D4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C46D40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54" w:rsidRDefault="00AD4C54" w:rsidP="00716A1B">
      <w:r>
        <w:separator/>
      </w:r>
    </w:p>
  </w:footnote>
  <w:footnote w:type="continuationSeparator" w:id="0">
    <w:p w:rsidR="00AD4C54" w:rsidRDefault="00AD4C54" w:rsidP="0071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86" w:rsidRPr="006266B3" w:rsidRDefault="006266B3" w:rsidP="006E6352">
    <w:pPr>
      <w:pStyle w:val="a4"/>
    </w:pPr>
    <w:r>
      <w:rPr>
        <w:rFonts w:hint="eastAsia"/>
      </w:rPr>
      <w:t>关于调整旗下部分基金申购、定期定额申购、赎回、转换及最低持有份额数额限制的公告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0BD"/>
    <w:multiLevelType w:val="hybridMultilevel"/>
    <w:tmpl w:val="C22CC8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89790A"/>
    <w:multiLevelType w:val="multilevel"/>
    <w:tmpl w:val="9EEEB0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257C4A"/>
    <w:multiLevelType w:val="multilevel"/>
    <w:tmpl w:val="9EEEB0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5B1FFF"/>
    <w:multiLevelType w:val="multilevel"/>
    <w:tmpl w:val="9EEEB0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AAC22CF"/>
    <w:multiLevelType w:val="multilevel"/>
    <w:tmpl w:val="9EEEB0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7DB5C4C"/>
    <w:multiLevelType w:val="hybridMultilevel"/>
    <w:tmpl w:val="491C0C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A276B52"/>
    <w:multiLevelType w:val="hybridMultilevel"/>
    <w:tmpl w:val="F28A35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BE25E84"/>
    <w:multiLevelType w:val="multilevel"/>
    <w:tmpl w:val="9EEEB0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73D"/>
    <w:rsid w:val="000226A8"/>
    <w:rsid w:val="00024E6A"/>
    <w:rsid w:val="0003040B"/>
    <w:rsid w:val="00054B55"/>
    <w:rsid w:val="00085CA6"/>
    <w:rsid w:val="000B72C7"/>
    <w:rsid w:val="000C171B"/>
    <w:rsid w:val="000D6053"/>
    <w:rsid w:val="000D6524"/>
    <w:rsid w:val="000E0107"/>
    <w:rsid w:val="000E4E7A"/>
    <w:rsid w:val="000E7DBC"/>
    <w:rsid w:val="000F242A"/>
    <w:rsid w:val="000F2E5A"/>
    <w:rsid w:val="000F73E4"/>
    <w:rsid w:val="00102C6F"/>
    <w:rsid w:val="00127FB8"/>
    <w:rsid w:val="00137308"/>
    <w:rsid w:val="001508C3"/>
    <w:rsid w:val="001759DE"/>
    <w:rsid w:val="001767C6"/>
    <w:rsid w:val="001906ED"/>
    <w:rsid w:val="001B0E2C"/>
    <w:rsid w:val="001F180D"/>
    <w:rsid w:val="00203667"/>
    <w:rsid w:val="0020576F"/>
    <w:rsid w:val="00205F7B"/>
    <w:rsid w:val="002230F3"/>
    <w:rsid w:val="002438DC"/>
    <w:rsid w:val="00243D8F"/>
    <w:rsid w:val="002440AD"/>
    <w:rsid w:val="00251320"/>
    <w:rsid w:val="0027074C"/>
    <w:rsid w:val="00283506"/>
    <w:rsid w:val="00295065"/>
    <w:rsid w:val="002E73DB"/>
    <w:rsid w:val="0031571D"/>
    <w:rsid w:val="00322255"/>
    <w:rsid w:val="00327AF0"/>
    <w:rsid w:val="0034411D"/>
    <w:rsid w:val="00344A4B"/>
    <w:rsid w:val="003464A7"/>
    <w:rsid w:val="0036109D"/>
    <w:rsid w:val="00381D7E"/>
    <w:rsid w:val="0038302E"/>
    <w:rsid w:val="003A5AC2"/>
    <w:rsid w:val="003B1B87"/>
    <w:rsid w:val="003F4359"/>
    <w:rsid w:val="003F7916"/>
    <w:rsid w:val="004065EB"/>
    <w:rsid w:val="00431034"/>
    <w:rsid w:val="00496DF0"/>
    <w:rsid w:val="004B5289"/>
    <w:rsid w:val="004C1CD1"/>
    <w:rsid w:val="004E29A9"/>
    <w:rsid w:val="005040CF"/>
    <w:rsid w:val="00506D86"/>
    <w:rsid w:val="0051704A"/>
    <w:rsid w:val="00524E7E"/>
    <w:rsid w:val="00544EC4"/>
    <w:rsid w:val="005719A6"/>
    <w:rsid w:val="00584468"/>
    <w:rsid w:val="0058781E"/>
    <w:rsid w:val="00592E8C"/>
    <w:rsid w:val="005C2D52"/>
    <w:rsid w:val="005C58D6"/>
    <w:rsid w:val="00602EF2"/>
    <w:rsid w:val="00605353"/>
    <w:rsid w:val="006241A2"/>
    <w:rsid w:val="006266B3"/>
    <w:rsid w:val="0063040B"/>
    <w:rsid w:val="006468D4"/>
    <w:rsid w:val="00650D46"/>
    <w:rsid w:val="006A1C08"/>
    <w:rsid w:val="006B13BF"/>
    <w:rsid w:val="006B2FB7"/>
    <w:rsid w:val="006B73FC"/>
    <w:rsid w:val="006B793A"/>
    <w:rsid w:val="006C2F75"/>
    <w:rsid w:val="006C5EF0"/>
    <w:rsid w:val="006C7484"/>
    <w:rsid w:val="006E6352"/>
    <w:rsid w:val="006F6638"/>
    <w:rsid w:val="007016AD"/>
    <w:rsid w:val="0070497C"/>
    <w:rsid w:val="00712583"/>
    <w:rsid w:val="00716A1B"/>
    <w:rsid w:val="00737E0C"/>
    <w:rsid w:val="007B225E"/>
    <w:rsid w:val="007E607C"/>
    <w:rsid w:val="007F145D"/>
    <w:rsid w:val="00825EF4"/>
    <w:rsid w:val="008426C0"/>
    <w:rsid w:val="00844440"/>
    <w:rsid w:val="0085434C"/>
    <w:rsid w:val="00855006"/>
    <w:rsid w:val="00871682"/>
    <w:rsid w:val="00875E10"/>
    <w:rsid w:val="00877F86"/>
    <w:rsid w:val="0089068B"/>
    <w:rsid w:val="008A33EB"/>
    <w:rsid w:val="008B095F"/>
    <w:rsid w:val="008B5A09"/>
    <w:rsid w:val="00912AC2"/>
    <w:rsid w:val="00942EE1"/>
    <w:rsid w:val="00945B10"/>
    <w:rsid w:val="00957D3F"/>
    <w:rsid w:val="009618E4"/>
    <w:rsid w:val="00985D2C"/>
    <w:rsid w:val="009D0AFF"/>
    <w:rsid w:val="00A02CDD"/>
    <w:rsid w:val="00A7418B"/>
    <w:rsid w:val="00A87483"/>
    <w:rsid w:val="00AC4D01"/>
    <w:rsid w:val="00AD0752"/>
    <w:rsid w:val="00AD4C54"/>
    <w:rsid w:val="00AD7E87"/>
    <w:rsid w:val="00AE799D"/>
    <w:rsid w:val="00AF4A3B"/>
    <w:rsid w:val="00B21C97"/>
    <w:rsid w:val="00B56F09"/>
    <w:rsid w:val="00B57477"/>
    <w:rsid w:val="00B602FC"/>
    <w:rsid w:val="00B61E5C"/>
    <w:rsid w:val="00B77165"/>
    <w:rsid w:val="00B850DE"/>
    <w:rsid w:val="00B90939"/>
    <w:rsid w:val="00BA3391"/>
    <w:rsid w:val="00BB15D8"/>
    <w:rsid w:val="00BD6028"/>
    <w:rsid w:val="00C24321"/>
    <w:rsid w:val="00C3014C"/>
    <w:rsid w:val="00C46D40"/>
    <w:rsid w:val="00C546A2"/>
    <w:rsid w:val="00C66287"/>
    <w:rsid w:val="00C76EE5"/>
    <w:rsid w:val="00CA7A0D"/>
    <w:rsid w:val="00CD1A8B"/>
    <w:rsid w:val="00D245D8"/>
    <w:rsid w:val="00D31A63"/>
    <w:rsid w:val="00D340E5"/>
    <w:rsid w:val="00D41F20"/>
    <w:rsid w:val="00D647C2"/>
    <w:rsid w:val="00D74AE1"/>
    <w:rsid w:val="00D916B2"/>
    <w:rsid w:val="00DB3A93"/>
    <w:rsid w:val="00DC7C18"/>
    <w:rsid w:val="00E0597D"/>
    <w:rsid w:val="00E06F98"/>
    <w:rsid w:val="00E33431"/>
    <w:rsid w:val="00E429F7"/>
    <w:rsid w:val="00E50E32"/>
    <w:rsid w:val="00E53561"/>
    <w:rsid w:val="00E66C4D"/>
    <w:rsid w:val="00E7309A"/>
    <w:rsid w:val="00E93025"/>
    <w:rsid w:val="00EC4E7F"/>
    <w:rsid w:val="00F039EA"/>
    <w:rsid w:val="00F16013"/>
    <w:rsid w:val="00F91DB2"/>
    <w:rsid w:val="00F95935"/>
    <w:rsid w:val="00FA5B0E"/>
    <w:rsid w:val="00FB3E0F"/>
    <w:rsid w:val="00FD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9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EE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脚注文本 Char"/>
    <w:link w:val="a3"/>
    <w:rPr>
      <w:rFonts w:ascii="Times New Roman" w:hAnsi="Times New Roman"/>
      <w:kern w:val="2"/>
      <w:sz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footnote text"/>
    <w:basedOn w:val="a"/>
    <w:link w:val="Char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Balloon Text"/>
    <w:basedOn w:val="a"/>
    <w:link w:val="a9"/>
    <w:uiPriority w:val="99"/>
    <w:semiHidden/>
    <w:unhideWhenUsed/>
    <w:rsid w:val="0038302E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38302E"/>
    <w:rPr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B225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B225E"/>
    <w:pPr>
      <w:jc w:val="left"/>
    </w:pPr>
  </w:style>
  <w:style w:type="character" w:customStyle="1" w:styleId="ac">
    <w:name w:val="批注文字 字符"/>
    <w:link w:val="ab"/>
    <w:uiPriority w:val="99"/>
    <w:semiHidden/>
    <w:rsid w:val="007B22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225E"/>
    <w:rPr>
      <w:b/>
      <w:bCs/>
    </w:rPr>
  </w:style>
  <w:style w:type="character" w:customStyle="1" w:styleId="ae">
    <w:name w:val="批注主题 字符"/>
    <w:link w:val="ad"/>
    <w:uiPriority w:val="99"/>
    <w:semiHidden/>
    <w:rsid w:val="007B225E"/>
    <w:rPr>
      <w:b/>
      <w:bCs/>
      <w:kern w:val="2"/>
      <w:sz w:val="21"/>
      <w:szCs w:val="22"/>
    </w:rPr>
  </w:style>
  <w:style w:type="character" w:customStyle="1" w:styleId="50">
    <w:name w:val="标题 5 字符"/>
    <w:link w:val="5"/>
    <w:uiPriority w:val="9"/>
    <w:semiHidden/>
    <w:rsid w:val="00C76EE5"/>
    <w:rPr>
      <w:b/>
      <w:bCs/>
      <w:kern w:val="2"/>
      <w:sz w:val="28"/>
      <w:szCs w:val="28"/>
    </w:rPr>
  </w:style>
  <w:style w:type="character" w:customStyle="1" w:styleId="10">
    <w:name w:val="标题 1 字符"/>
    <w:link w:val="1"/>
    <w:uiPriority w:val="9"/>
    <w:rsid w:val="003F7916"/>
    <w:rPr>
      <w:b/>
      <w:bCs/>
      <w:kern w:val="44"/>
      <w:sz w:val="44"/>
      <w:szCs w:val="44"/>
    </w:rPr>
  </w:style>
  <w:style w:type="character" w:styleId="af">
    <w:name w:val="Hyperlink"/>
    <w:uiPriority w:val="99"/>
    <w:unhideWhenUsed/>
    <w:rsid w:val="00B574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und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D51-E52D-4DD8-A52F-7B2C8984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251</Words>
  <Characters>1431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1679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http://www.msfunds.com.cn/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2021-03-22T08:37:00Z</cp:lastPrinted>
  <dcterms:created xsi:type="dcterms:W3CDTF">2021-03-30T16:00:00Z</dcterms:created>
  <dcterms:modified xsi:type="dcterms:W3CDTF">2021-03-30T16:00:00Z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