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36" w:rsidRDefault="00351A1C">
      <w:pPr>
        <w:spacing w:line="360" w:lineRule="auto"/>
        <w:jc w:val="center"/>
        <w:rPr>
          <w:rFonts w:ascii="宋体" w:hAnsi="宋体"/>
          <w:b/>
          <w:color w:val="000000"/>
          <w:sz w:val="32"/>
          <w:szCs w:val="32"/>
        </w:rPr>
      </w:pPr>
      <w:r>
        <w:rPr>
          <w:rFonts w:ascii="宋体" w:hAnsi="宋体" w:hint="eastAsia"/>
          <w:b/>
          <w:color w:val="000000"/>
          <w:sz w:val="32"/>
          <w:szCs w:val="32"/>
        </w:rPr>
        <w:t>民生加银基金管理有限公司旗下</w:t>
      </w:r>
      <w:r>
        <w:rPr>
          <w:rFonts w:ascii="宋体" w:hAnsi="宋体"/>
          <w:b/>
          <w:color w:val="000000"/>
          <w:sz w:val="32"/>
          <w:szCs w:val="32"/>
        </w:rPr>
        <w:t>7</w:t>
      </w:r>
      <w:r>
        <w:rPr>
          <w:rFonts w:ascii="宋体" w:hAnsi="宋体" w:hint="eastAsia"/>
          <w:b/>
          <w:color w:val="000000"/>
          <w:sz w:val="32"/>
          <w:szCs w:val="32"/>
        </w:rPr>
        <w:t>只公募基金</w:t>
      </w:r>
    </w:p>
    <w:p w:rsidR="00AC5236" w:rsidRDefault="00351A1C">
      <w:pPr>
        <w:spacing w:line="360" w:lineRule="auto"/>
        <w:jc w:val="center"/>
        <w:rPr>
          <w:rFonts w:ascii="宋体" w:hAnsi="宋体"/>
          <w:b/>
          <w:color w:val="000000"/>
          <w:sz w:val="32"/>
          <w:szCs w:val="32"/>
        </w:rPr>
      </w:pPr>
      <w:r>
        <w:rPr>
          <w:rFonts w:ascii="宋体" w:hAnsi="宋体" w:hint="eastAsia"/>
          <w:b/>
          <w:color w:val="000000"/>
          <w:sz w:val="32"/>
          <w:szCs w:val="32"/>
        </w:rPr>
        <w:t>根据《公开募集证券投资基金运作指引第3号-指数基金指引》修改基金合同的公告</w:t>
      </w:r>
    </w:p>
    <w:p w:rsidR="00AC5236" w:rsidRDefault="00AC5236">
      <w:pPr>
        <w:spacing w:line="360" w:lineRule="auto"/>
        <w:jc w:val="center"/>
        <w:rPr>
          <w:rFonts w:ascii="宋体" w:hAnsi="宋体"/>
          <w:sz w:val="24"/>
          <w:szCs w:val="24"/>
        </w:rPr>
      </w:pPr>
    </w:p>
    <w:p w:rsidR="00AC5236" w:rsidRDefault="00351A1C">
      <w:pPr>
        <w:spacing w:line="360" w:lineRule="auto"/>
        <w:rPr>
          <w:rFonts w:ascii="宋体" w:hAnsi="宋体"/>
          <w:sz w:val="24"/>
          <w:szCs w:val="24"/>
        </w:rPr>
      </w:pPr>
      <w:r>
        <w:rPr>
          <w:rFonts w:ascii="宋体" w:hAnsi="宋体"/>
          <w:sz w:val="24"/>
          <w:szCs w:val="24"/>
        </w:rPr>
        <w:t xml:space="preserve"> </w:t>
      </w:r>
    </w:p>
    <w:p w:rsidR="00AC5236" w:rsidRDefault="00351A1C">
      <w:pPr>
        <w:spacing w:line="360" w:lineRule="auto"/>
        <w:ind w:firstLineChars="200" w:firstLine="480"/>
        <w:jc w:val="left"/>
        <w:rPr>
          <w:rFonts w:ascii="宋体" w:hAnsi="宋体"/>
          <w:sz w:val="24"/>
          <w:szCs w:val="24"/>
        </w:rPr>
      </w:pPr>
      <w:r>
        <w:rPr>
          <w:rFonts w:ascii="宋体" w:hAnsi="宋体" w:hint="eastAsia"/>
          <w:sz w:val="24"/>
          <w:szCs w:val="24"/>
        </w:rPr>
        <w:t>根据中国证券监督管理委员会2021年1月</w:t>
      </w:r>
      <w:r>
        <w:rPr>
          <w:rFonts w:ascii="宋体" w:hAnsi="宋体"/>
          <w:sz w:val="24"/>
          <w:szCs w:val="24"/>
        </w:rPr>
        <w:t>18</w:t>
      </w:r>
      <w:r>
        <w:rPr>
          <w:rFonts w:ascii="宋体" w:hAnsi="宋体" w:hint="eastAsia"/>
          <w:sz w:val="24"/>
          <w:szCs w:val="24"/>
        </w:rPr>
        <w:t>日发布、同年2月1日实施的《公开募集证券投资基金运作指引第3号—指数基金指引》及民生加银基金管理有限公司旗下7只公募指数基金基金合同的约定，民生加银基金管理有限公司（以下简称“本公司”或“基金管理人”）经与各基金托管人协商一致，对旗下</w:t>
      </w:r>
      <w:r>
        <w:rPr>
          <w:rFonts w:ascii="宋体" w:hAnsi="宋体"/>
          <w:sz w:val="24"/>
          <w:szCs w:val="24"/>
        </w:rPr>
        <w:t>7</w:t>
      </w:r>
      <w:r>
        <w:rPr>
          <w:rFonts w:ascii="宋体" w:hAnsi="宋体" w:hint="eastAsia"/>
          <w:sz w:val="24"/>
          <w:szCs w:val="24"/>
        </w:rPr>
        <w:t>只公募指数基金（以下简称“旗下基金”或“各基金”）的基金合同的相关条款进行了修订。</w:t>
      </w:r>
    </w:p>
    <w:p w:rsidR="00AC5236" w:rsidRDefault="00351A1C">
      <w:pPr>
        <w:spacing w:line="360" w:lineRule="auto"/>
        <w:ind w:firstLineChars="200" w:firstLine="480"/>
        <w:jc w:val="left"/>
        <w:rPr>
          <w:rFonts w:ascii="宋体" w:hAnsi="宋体"/>
          <w:sz w:val="24"/>
          <w:szCs w:val="24"/>
        </w:rPr>
      </w:pPr>
      <w:r>
        <w:rPr>
          <w:rFonts w:ascii="宋体" w:hAnsi="宋体" w:hint="eastAsia"/>
          <w:sz w:val="24"/>
          <w:szCs w:val="24"/>
        </w:rPr>
        <w:t>本次旗下基金的基金合同的修订系因法律法规发生变动而进行的修改，并已履行了规定的程序，符合相关法律法规的规定及基金合同的约定。修改后的旗下基金的基金合同自本公告发布之日（2</w:t>
      </w:r>
      <w:r>
        <w:rPr>
          <w:rFonts w:ascii="宋体" w:hAnsi="宋体"/>
          <w:sz w:val="24"/>
          <w:szCs w:val="24"/>
        </w:rPr>
        <w:t>021</w:t>
      </w:r>
      <w:r>
        <w:rPr>
          <w:rFonts w:ascii="宋体" w:hAnsi="宋体" w:hint="eastAsia"/>
          <w:sz w:val="24"/>
          <w:szCs w:val="24"/>
        </w:rPr>
        <w:t>年</w:t>
      </w:r>
      <w:r>
        <w:rPr>
          <w:rFonts w:ascii="宋体" w:hAnsi="宋体"/>
          <w:sz w:val="24"/>
          <w:szCs w:val="24"/>
        </w:rPr>
        <w:t>3</w:t>
      </w:r>
      <w:r>
        <w:rPr>
          <w:rFonts w:ascii="宋体" w:hAnsi="宋体" w:hint="eastAsia"/>
          <w:sz w:val="24"/>
          <w:szCs w:val="24"/>
        </w:rPr>
        <w:t>年</w:t>
      </w:r>
      <w:r>
        <w:rPr>
          <w:rFonts w:ascii="宋体" w:hAnsi="宋体"/>
          <w:sz w:val="24"/>
          <w:szCs w:val="24"/>
        </w:rPr>
        <w:t>31</w:t>
      </w:r>
      <w:r>
        <w:rPr>
          <w:rFonts w:ascii="宋体" w:hAnsi="宋体" w:hint="eastAsia"/>
          <w:sz w:val="24"/>
          <w:szCs w:val="24"/>
        </w:rPr>
        <w:t>日）起生效，具体修改内容见本公告附件。</w:t>
      </w:r>
    </w:p>
    <w:p w:rsidR="00AC5236" w:rsidRDefault="00351A1C">
      <w:pPr>
        <w:spacing w:line="360" w:lineRule="auto"/>
        <w:rPr>
          <w:rFonts w:ascii="宋体" w:hAnsi="宋体"/>
          <w:sz w:val="24"/>
          <w:szCs w:val="24"/>
        </w:rPr>
      </w:pPr>
      <w:r>
        <w:rPr>
          <w:rFonts w:ascii="宋体" w:hAnsi="宋体" w:hint="eastAsia"/>
          <w:sz w:val="24"/>
          <w:szCs w:val="24"/>
        </w:rPr>
        <w:t xml:space="preserve">  </w:t>
      </w:r>
      <w:r w:rsidR="000B32C3">
        <w:rPr>
          <w:rFonts w:ascii="宋体" w:hAnsi="宋体" w:hint="eastAsia"/>
          <w:sz w:val="24"/>
          <w:szCs w:val="24"/>
        </w:rPr>
        <w:t xml:space="preserve"> </w:t>
      </w:r>
      <w:r>
        <w:rPr>
          <w:rFonts w:ascii="宋体" w:hAnsi="宋体" w:hint="eastAsia"/>
          <w:sz w:val="24"/>
          <w:szCs w:val="24"/>
        </w:rPr>
        <w:t>修订后的旗下基金的基金合同与本公告同日发布在本公司网站（</w:t>
      </w:r>
      <w:r>
        <w:rPr>
          <w:rFonts w:ascii="宋体" w:hAnsi="宋体"/>
          <w:color w:val="1E1E1E"/>
          <w:kern w:val="0"/>
          <w:sz w:val="24"/>
          <w:szCs w:val="24"/>
        </w:rPr>
        <w:t>www.msjyfund.com.cn</w:t>
      </w:r>
      <w:r>
        <w:rPr>
          <w:rFonts w:ascii="宋体" w:hAnsi="宋体" w:hint="eastAsia"/>
          <w:sz w:val="24"/>
          <w:szCs w:val="24"/>
        </w:rPr>
        <w:t>）及中国证监会基金电子披露网站（http://eid.csrc.gov.cn/fund）。根据修改后的各基金的基金合同，本公司将更新各基金的招募说明书和基金产品资料概要相关内容。</w:t>
      </w:r>
    </w:p>
    <w:p w:rsidR="00AC5236" w:rsidRDefault="00351A1C">
      <w:pPr>
        <w:spacing w:line="360" w:lineRule="auto"/>
        <w:jc w:val="lef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本次修改基金合同的基金如下表所示：</w:t>
      </w:r>
    </w:p>
    <w:tbl>
      <w:tblPr>
        <w:tblW w:w="8967" w:type="dxa"/>
        <w:jc w:val="center"/>
        <w:tblLayout w:type="fixed"/>
        <w:tblLook w:val="04A0"/>
      </w:tblPr>
      <w:tblGrid>
        <w:gridCol w:w="704"/>
        <w:gridCol w:w="1134"/>
        <w:gridCol w:w="4961"/>
        <w:gridCol w:w="2168"/>
      </w:tblGrid>
      <w:tr w:rsidR="00AC5236" w:rsidTr="00F7100A">
        <w:trPr>
          <w:trHeight w:val="43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b/>
                <w:bCs/>
                <w:color w:val="000000"/>
                <w:kern w:val="0"/>
                <w:szCs w:val="21"/>
              </w:rPr>
            </w:pPr>
            <w:r>
              <w:rPr>
                <w:rFonts w:ascii="宋体" w:hAnsi="宋体" w:cs="宋体" w:hint="eastAsia"/>
                <w:b/>
                <w:bCs/>
                <w:color w:val="000000"/>
                <w:kern w:val="0"/>
                <w:szCs w:val="21"/>
              </w:rPr>
              <w:t>基金主代码</w:t>
            </w:r>
          </w:p>
        </w:tc>
        <w:tc>
          <w:tcPr>
            <w:tcW w:w="4961" w:type="dxa"/>
            <w:tcBorders>
              <w:top w:val="single" w:sz="4" w:space="0" w:color="auto"/>
              <w:left w:val="nil"/>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b/>
                <w:bCs/>
                <w:color w:val="000000"/>
                <w:kern w:val="0"/>
                <w:szCs w:val="21"/>
              </w:rPr>
            </w:pPr>
            <w:r>
              <w:rPr>
                <w:rFonts w:ascii="宋体" w:hAnsi="宋体" w:cs="宋体" w:hint="eastAsia"/>
                <w:b/>
                <w:bCs/>
                <w:color w:val="000000"/>
                <w:kern w:val="0"/>
                <w:szCs w:val="21"/>
              </w:rPr>
              <w:t>基金名称</w:t>
            </w:r>
          </w:p>
        </w:tc>
        <w:tc>
          <w:tcPr>
            <w:tcW w:w="2168" w:type="dxa"/>
            <w:tcBorders>
              <w:top w:val="single" w:sz="4" w:space="0" w:color="auto"/>
              <w:left w:val="nil"/>
              <w:bottom w:val="single" w:sz="4" w:space="0" w:color="auto"/>
              <w:right w:val="single" w:sz="4" w:space="0" w:color="auto"/>
            </w:tcBorders>
          </w:tcPr>
          <w:p w:rsidR="00AC5236" w:rsidRDefault="00351A1C">
            <w:pPr>
              <w:widowControl/>
              <w:jc w:val="center"/>
              <w:rPr>
                <w:rFonts w:ascii="宋体" w:hAnsi="宋体" w:cs="宋体"/>
                <w:b/>
                <w:bCs/>
                <w:color w:val="000000"/>
                <w:kern w:val="0"/>
                <w:szCs w:val="21"/>
              </w:rPr>
            </w:pPr>
            <w:r>
              <w:rPr>
                <w:rFonts w:ascii="宋体" w:hAnsi="宋体" w:cs="宋体" w:hint="eastAsia"/>
                <w:b/>
                <w:bCs/>
                <w:color w:val="000000"/>
                <w:kern w:val="0"/>
                <w:szCs w:val="21"/>
              </w:rPr>
              <w:t>基金托管人</w:t>
            </w:r>
          </w:p>
        </w:tc>
      </w:tr>
      <w:tr w:rsidR="00AC5236" w:rsidTr="00F7100A">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cs="宋体"/>
                <w:kern w:val="0"/>
                <w:szCs w:val="21"/>
              </w:rPr>
            </w:pPr>
            <w:r>
              <w:rPr>
                <w:rFonts w:ascii="宋体" w:hAnsi="宋体" w:hint="eastAsia"/>
                <w:color w:val="000000"/>
                <w:szCs w:val="21"/>
              </w:rPr>
              <w:t>690008</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cs="宋体"/>
                <w:color w:val="000000"/>
                <w:kern w:val="0"/>
                <w:szCs w:val="21"/>
              </w:rPr>
            </w:pPr>
            <w:r>
              <w:rPr>
                <w:rFonts w:ascii="宋体" w:hAnsi="宋体" w:hint="eastAsia"/>
                <w:color w:val="000000"/>
                <w:szCs w:val="21"/>
              </w:rPr>
              <w:t>民生加银中证内地资源主题指数</w:t>
            </w:r>
            <w:bookmarkStart w:id="0" w:name="_GoBack"/>
            <w:bookmarkEnd w:id="0"/>
            <w:r>
              <w:rPr>
                <w:rFonts w:ascii="宋体" w:hAnsi="宋体" w:hint="eastAsia"/>
                <w:color w:val="000000"/>
                <w:szCs w:val="21"/>
              </w:rPr>
              <w:t>型证券投资基金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cs="宋体"/>
                <w:color w:val="000000"/>
                <w:kern w:val="0"/>
                <w:szCs w:val="21"/>
              </w:rPr>
            </w:pPr>
            <w:r>
              <w:rPr>
                <w:rFonts w:ascii="宋体" w:hAnsi="宋体" w:hint="eastAsia"/>
                <w:color w:val="000000"/>
                <w:szCs w:val="21"/>
              </w:rPr>
              <w:t>中国建设银行股份有限公司</w:t>
            </w:r>
          </w:p>
        </w:tc>
      </w:tr>
      <w:tr w:rsidR="00AC5236">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color w:val="000000"/>
                <w:szCs w:val="21"/>
              </w:rPr>
            </w:pPr>
            <w:r>
              <w:rPr>
                <w:rFonts w:ascii="宋体" w:hAnsi="宋体" w:hint="eastAsia"/>
                <w:color w:val="000000"/>
                <w:szCs w:val="21"/>
              </w:rPr>
              <w:t>009904</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color w:val="000000"/>
                <w:szCs w:val="21"/>
              </w:rPr>
            </w:pPr>
            <w:r>
              <w:rPr>
                <w:rFonts w:ascii="宋体" w:hAnsi="宋体" w:hint="eastAsia"/>
                <w:color w:val="000000"/>
                <w:szCs w:val="21"/>
              </w:rPr>
              <w:t>民生加银中证200指数增强型发起式证券投资基金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color w:val="000000"/>
                <w:szCs w:val="21"/>
              </w:rPr>
            </w:pPr>
            <w:r>
              <w:rPr>
                <w:rFonts w:ascii="宋体" w:hAnsi="宋体" w:hint="eastAsia"/>
                <w:color w:val="000000"/>
                <w:szCs w:val="21"/>
              </w:rPr>
              <w:t>招商银行股份有限公司</w:t>
            </w:r>
          </w:p>
        </w:tc>
      </w:tr>
      <w:tr w:rsidR="00AC5236" w:rsidTr="00F7100A">
        <w:trPr>
          <w:trHeight w:val="327"/>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3</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cs="宋体"/>
                <w:kern w:val="0"/>
                <w:szCs w:val="21"/>
              </w:rPr>
            </w:pPr>
            <w:r>
              <w:rPr>
                <w:rFonts w:ascii="宋体" w:hAnsi="宋体" w:hint="eastAsia"/>
                <w:color w:val="000000"/>
                <w:szCs w:val="21"/>
              </w:rPr>
              <w:t>009262</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cs="宋体"/>
                <w:color w:val="000000"/>
                <w:kern w:val="0"/>
                <w:szCs w:val="21"/>
              </w:rPr>
            </w:pPr>
            <w:r>
              <w:rPr>
                <w:rFonts w:ascii="宋体" w:hAnsi="宋体" w:hint="eastAsia"/>
                <w:color w:val="000000"/>
                <w:szCs w:val="21"/>
              </w:rPr>
              <w:t>民生加银中债1-5年政策性金融债指数证券投资基金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cs="宋体"/>
                <w:color w:val="000000"/>
                <w:kern w:val="0"/>
                <w:szCs w:val="21"/>
              </w:rPr>
            </w:pPr>
            <w:r>
              <w:rPr>
                <w:rFonts w:ascii="宋体" w:hAnsi="宋体" w:hint="eastAsia"/>
                <w:color w:val="000000"/>
                <w:szCs w:val="21"/>
              </w:rPr>
              <w:t>中国邮政储蓄银行股份有限公司</w:t>
            </w:r>
          </w:p>
        </w:tc>
      </w:tr>
      <w:tr w:rsidR="00AC5236" w:rsidTr="00F7100A">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cs="宋体"/>
                <w:kern w:val="0"/>
                <w:szCs w:val="21"/>
              </w:rPr>
            </w:pPr>
            <w:r>
              <w:rPr>
                <w:rFonts w:ascii="宋体" w:hAnsi="宋体" w:hint="eastAsia"/>
                <w:color w:val="000000"/>
                <w:szCs w:val="21"/>
              </w:rPr>
              <w:t>007259</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cs="宋体"/>
                <w:color w:val="000000"/>
                <w:kern w:val="0"/>
                <w:szCs w:val="21"/>
              </w:rPr>
            </w:pPr>
            <w:r>
              <w:rPr>
                <w:rFonts w:ascii="宋体" w:hAnsi="宋体" w:hint="eastAsia"/>
                <w:color w:val="000000"/>
                <w:szCs w:val="21"/>
              </w:rPr>
              <w:t>民生加银中债1-3年农发行债券指数证券投资基金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cs="宋体"/>
                <w:color w:val="000000"/>
                <w:kern w:val="0"/>
                <w:szCs w:val="21"/>
              </w:rPr>
            </w:pPr>
            <w:r>
              <w:rPr>
                <w:rFonts w:ascii="宋体" w:hAnsi="宋体" w:hint="eastAsia"/>
                <w:color w:val="000000"/>
                <w:szCs w:val="21"/>
              </w:rPr>
              <w:t>中国农业银行股份有限公司</w:t>
            </w:r>
          </w:p>
        </w:tc>
      </w:tr>
      <w:tr w:rsidR="00AC5236" w:rsidTr="00F7100A">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5</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szCs w:val="21"/>
              </w:rPr>
            </w:pPr>
            <w:r>
              <w:rPr>
                <w:rFonts w:ascii="宋体" w:hAnsi="宋体" w:hint="eastAsia"/>
                <w:color w:val="000000"/>
                <w:szCs w:val="21"/>
              </w:rPr>
              <w:t>004532</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szCs w:val="21"/>
              </w:rPr>
            </w:pPr>
            <w:r>
              <w:rPr>
                <w:rFonts w:ascii="宋体" w:hAnsi="宋体" w:hint="eastAsia"/>
                <w:color w:val="000000"/>
                <w:szCs w:val="21"/>
              </w:rPr>
              <w:t>民生加银中证港股通高股息精选指数证券投资基金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szCs w:val="21"/>
              </w:rPr>
            </w:pPr>
            <w:r>
              <w:rPr>
                <w:rFonts w:ascii="宋体" w:hAnsi="宋体" w:hint="eastAsia"/>
                <w:color w:val="000000"/>
                <w:szCs w:val="21"/>
              </w:rPr>
              <w:t>中国建设银行股份有限公司</w:t>
            </w:r>
          </w:p>
        </w:tc>
      </w:tr>
      <w:tr w:rsidR="00AC5236" w:rsidTr="00F7100A">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lastRenderedPageBreak/>
              <w:t>6</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cs="宋体"/>
                <w:kern w:val="0"/>
                <w:szCs w:val="21"/>
              </w:rPr>
            </w:pPr>
            <w:r>
              <w:rPr>
                <w:rFonts w:ascii="宋体" w:hAnsi="宋体" w:hint="eastAsia"/>
                <w:color w:val="000000"/>
                <w:szCs w:val="21"/>
              </w:rPr>
              <w:t>515350</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cs="宋体"/>
                <w:color w:val="000000"/>
                <w:kern w:val="0"/>
                <w:szCs w:val="21"/>
              </w:rPr>
            </w:pPr>
            <w:r>
              <w:rPr>
                <w:rFonts w:ascii="宋体" w:hAnsi="宋体" w:hint="eastAsia"/>
                <w:color w:val="000000"/>
                <w:szCs w:val="21"/>
              </w:rPr>
              <w:t>民生加银沪深300交易型开放式指数证券投资基金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cs="宋体"/>
                <w:color w:val="000000"/>
                <w:kern w:val="0"/>
                <w:szCs w:val="21"/>
              </w:rPr>
            </w:pPr>
            <w:r>
              <w:rPr>
                <w:rFonts w:ascii="宋体" w:hAnsi="宋体" w:hint="eastAsia"/>
                <w:color w:val="000000"/>
                <w:szCs w:val="21"/>
              </w:rPr>
              <w:t>中国农业银行股份有限公司</w:t>
            </w:r>
          </w:p>
        </w:tc>
      </w:tr>
      <w:tr w:rsidR="00AC5236" w:rsidTr="00F7100A">
        <w:trPr>
          <w:trHeight w:val="439"/>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AC5236" w:rsidRDefault="00351A1C">
            <w:pPr>
              <w:widowControl/>
              <w:jc w:val="center"/>
              <w:rPr>
                <w:rFonts w:ascii="宋体" w:hAnsi="宋体" w:cs="宋体"/>
                <w:kern w:val="0"/>
                <w:szCs w:val="21"/>
              </w:rPr>
            </w:pPr>
            <w:r>
              <w:rPr>
                <w:rFonts w:ascii="宋体" w:hAnsi="宋体" w:cs="宋体" w:hint="eastAsia"/>
                <w:kern w:val="0"/>
                <w:szCs w:val="21"/>
              </w:rPr>
              <w:t>7</w:t>
            </w:r>
          </w:p>
        </w:tc>
        <w:tc>
          <w:tcPr>
            <w:tcW w:w="1134" w:type="dxa"/>
            <w:tcBorders>
              <w:top w:val="nil"/>
              <w:left w:val="nil"/>
              <w:bottom w:val="single" w:sz="4" w:space="0" w:color="auto"/>
              <w:right w:val="single" w:sz="4" w:space="0" w:color="auto"/>
            </w:tcBorders>
            <w:shd w:val="clear" w:color="auto" w:fill="auto"/>
            <w:vAlign w:val="center"/>
          </w:tcPr>
          <w:p w:rsidR="00AC5236" w:rsidRDefault="00351A1C">
            <w:pPr>
              <w:widowControl/>
              <w:jc w:val="left"/>
              <w:rPr>
                <w:rFonts w:ascii="宋体" w:hAnsi="宋体"/>
                <w:szCs w:val="21"/>
              </w:rPr>
            </w:pPr>
            <w:r>
              <w:rPr>
                <w:rFonts w:ascii="宋体" w:hAnsi="宋体" w:hint="eastAsia"/>
                <w:color w:val="000000"/>
                <w:szCs w:val="21"/>
              </w:rPr>
              <w:t>008291</w:t>
            </w:r>
          </w:p>
        </w:tc>
        <w:tc>
          <w:tcPr>
            <w:tcW w:w="4961" w:type="dxa"/>
            <w:tcBorders>
              <w:top w:val="nil"/>
              <w:left w:val="nil"/>
              <w:bottom w:val="single" w:sz="4" w:space="0" w:color="auto"/>
              <w:right w:val="single" w:sz="4" w:space="0" w:color="auto"/>
            </w:tcBorders>
            <w:shd w:val="clear" w:color="auto" w:fill="auto"/>
            <w:vAlign w:val="center"/>
          </w:tcPr>
          <w:p w:rsidR="00AC5236" w:rsidRDefault="00351A1C" w:rsidP="000B32C3">
            <w:pPr>
              <w:widowControl/>
              <w:jc w:val="left"/>
              <w:rPr>
                <w:rFonts w:ascii="宋体" w:hAnsi="宋体"/>
                <w:szCs w:val="21"/>
              </w:rPr>
            </w:pPr>
            <w:r>
              <w:rPr>
                <w:rFonts w:ascii="宋体" w:hAnsi="宋体" w:hint="eastAsia"/>
                <w:color w:val="000000"/>
                <w:szCs w:val="21"/>
              </w:rPr>
              <w:t>民生加银沪深300交易型开放式指数证券投资基金联接基金</w:t>
            </w:r>
          </w:p>
        </w:tc>
        <w:tc>
          <w:tcPr>
            <w:tcW w:w="2168" w:type="dxa"/>
            <w:tcBorders>
              <w:top w:val="nil"/>
              <w:left w:val="nil"/>
              <w:bottom w:val="single" w:sz="4" w:space="0" w:color="auto"/>
              <w:right w:val="single" w:sz="4" w:space="0" w:color="auto"/>
            </w:tcBorders>
            <w:vAlign w:val="center"/>
          </w:tcPr>
          <w:p w:rsidR="00AC5236" w:rsidRDefault="00351A1C">
            <w:pPr>
              <w:widowControl/>
              <w:jc w:val="center"/>
              <w:rPr>
                <w:rFonts w:ascii="宋体" w:hAnsi="宋体"/>
                <w:szCs w:val="21"/>
              </w:rPr>
            </w:pPr>
            <w:r>
              <w:rPr>
                <w:rFonts w:ascii="宋体" w:hAnsi="宋体" w:hint="eastAsia"/>
                <w:color w:val="000000"/>
                <w:szCs w:val="21"/>
              </w:rPr>
              <w:t>中国农业银行股份有限公司</w:t>
            </w:r>
          </w:p>
        </w:tc>
      </w:tr>
    </w:tbl>
    <w:p w:rsidR="00AC5236" w:rsidRDefault="00351A1C">
      <w:pPr>
        <w:spacing w:line="360" w:lineRule="auto"/>
        <w:ind w:firstLineChars="200" w:firstLine="480"/>
        <w:jc w:val="left"/>
        <w:rPr>
          <w:rFonts w:ascii="宋体" w:hAnsi="宋体"/>
          <w:b/>
          <w:sz w:val="24"/>
          <w:szCs w:val="24"/>
        </w:rPr>
      </w:pPr>
      <w:r>
        <w:rPr>
          <w:rFonts w:ascii="宋体" w:hAnsi="宋体"/>
          <w:sz w:val="24"/>
          <w:szCs w:val="24"/>
        </w:rPr>
        <w:t>如有疑问，请拨打本公司客户服务热线</w:t>
      </w:r>
      <w:r>
        <w:rPr>
          <w:rFonts w:ascii="宋体" w:hAnsi="宋体"/>
          <w:color w:val="1E1E1E"/>
          <w:kern w:val="0"/>
          <w:sz w:val="24"/>
          <w:szCs w:val="24"/>
        </w:rPr>
        <w:t>400-8888-388</w:t>
      </w:r>
      <w:r>
        <w:rPr>
          <w:rFonts w:ascii="宋体" w:hAnsi="宋体"/>
          <w:sz w:val="24"/>
          <w:szCs w:val="24"/>
        </w:rPr>
        <w:t>（免长途话费），或登陆本公司网站</w:t>
      </w:r>
      <w:r>
        <w:rPr>
          <w:rFonts w:ascii="宋体" w:hAnsi="宋体"/>
          <w:color w:val="1E1E1E"/>
          <w:kern w:val="0"/>
          <w:sz w:val="24"/>
          <w:szCs w:val="24"/>
        </w:rPr>
        <w:t>www.msjyfund.com.cn</w:t>
      </w:r>
      <w:r>
        <w:rPr>
          <w:rFonts w:ascii="宋体" w:hAnsi="宋体"/>
          <w:sz w:val="24"/>
          <w:szCs w:val="24"/>
        </w:rPr>
        <w:t>获取相关信息。</w:t>
      </w:r>
    </w:p>
    <w:p w:rsidR="00AC5236" w:rsidRDefault="00351A1C">
      <w:pPr>
        <w:spacing w:line="360" w:lineRule="auto"/>
        <w:rPr>
          <w:rFonts w:ascii="宋体" w:hAnsi="宋体"/>
          <w:sz w:val="24"/>
          <w:szCs w:val="24"/>
        </w:rPr>
      </w:pPr>
      <w:r>
        <w:rPr>
          <w:rFonts w:ascii="宋体" w:hAnsi="宋体" w:hint="eastAsia"/>
          <w:sz w:val="24"/>
          <w:szCs w:val="24"/>
        </w:rPr>
        <w:t xml:space="preserve">    </w:t>
      </w:r>
      <w:r>
        <w:rPr>
          <w:rFonts w:ascii="宋体" w:hAnsi="宋体" w:hint="eastAsia"/>
          <w:b/>
          <w:sz w:val="24"/>
          <w:szCs w:val="24"/>
        </w:rPr>
        <w:t>风险提示：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AC5236" w:rsidRDefault="00AC5236">
      <w:pPr>
        <w:spacing w:line="360" w:lineRule="auto"/>
        <w:ind w:firstLine="420"/>
        <w:rPr>
          <w:rFonts w:ascii="宋体" w:hAnsi="宋体"/>
          <w:sz w:val="24"/>
          <w:szCs w:val="24"/>
        </w:rPr>
      </w:pPr>
    </w:p>
    <w:p w:rsidR="00AC5236" w:rsidRDefault="00351A1C">
      <w:pPr>
        <w:spacing w:line="360" w:lineRule="auto"/>
        <w:ind w:firstLine="420"/>
        <w:rPr>
          <w:rFonts w:ascii="宋体" w:hAnsi="宋体"/>
          <w:sz w:val="24"/>
          <w:szCs w:val="24"/>
        </w:rPr>
      </w:pPr>
      <w:r>
        <w:rPr>
          <w:rFonts w:ascii="宋体" w:hAnsi="宋体"/>
          <w:sz w:val="24"/>
          <w:szCs w:val="24"/>
        </w:rPr>
        <w:t>特此公告。</w:t>
      </w:r>
    </w:p>
    <w:p w:rsidR="00AC5236" w:rsidRDefault="00351A1C">
      <w:pPr>
        <w:spacing w:line="360" w:lineRule="auto"/>
        <w:jc w:val="left"/>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p>
    <w:p w:rsidR="00AC5236" w:rsidRDefault="00AC5236">
      <w:pPr>
        <w:spacing w:line="360" w:lineRule="auto"/>
        <w:jc w:val="right"/>
        <w:rPr>
          <w:rFonts w:ascii="宋体" w:hAnsi="宋体"/>
          <w:sz w:val="24"/>
          <w:szCs w:val="24"/>
        </w:rPr>
      </w:pPr>
    </w:p>
    <w:p w:rsidR="00AC5236" w:rsidRDefault="00351A1C">
      <w:pPr>
        <w:spacing w:line="360" w:lineRule="auto"/>
        <w:jc w:val="right"/>
        <w:rPr>
          <w:rFonts w:ascii="宋体" w:hAnsi="宋体"/>
          <w:sz w:val="24"/>
          <w:szCs w:val="24"/>
        </w:rPr>
      </w:pPr>
      <w:r>
        <w:rPr>
          <w:rFonts w:ascii="宋体" w:hAnsi="宋体"/>
          <w:sz w:val="24"/>
          <w:szCs w:val="24"/>
        </w:rPr>
        <w:t>民生加银基金管理有限公司</w:t>
      </w:r>
    </w:p>
    <w:p w:rsidR="00AC5236" w:rsidRDefault="00351A1C">
      <w:pPr>
        <w:spacing w:line="360" w:lineRule="auto"/>
        <w:jc w:val="right"/>
        <w:rPr>
          <w:rFonts w:ascii="宋体" w:hAnsi="宋体"/>
          <w:sz w:val="24"/>
          <w:szCs w:val="24"/>
        </w:rPr>
      </w:pPr>
      <w:r>
        <w:rPr>
          <w:rFonts w:ascii="宋体" w:hAnsi="宋体"/>
          <w:sz w:val="24"/>
          <w:szCs w:val="24"/>
        </w:rPr>
        <w:t>2021年3月31日</w:t>
      </w:r>
    </w:p>
    <w:p w:rsidR="00AC5236" w:rsidRDefault="00AC5236">
      <w:pPr>
        <w:spacing w:line="360" w:lineRule="auto"/>
        <w:rPr>
          <w:rFonts w:ascii="宋体" w:hAnsi="宋体"/>
          <w:sz w:val="24"/>
          <w:szCs w:val="24"/>
        </w:rPr>
      </w:pPr>
    </w:p>
    <w:p w:rsidR="00AC5236" w:rsidRDefault="00AC5236">
      <w:pPr>
        <w:rPr>
          <w:rFonts w:ascii="宋体" w:hAnsi="宋体" w:cs="仿宋_GB2312"/>
          <w:sz w:val="30"/>
          <w:szCs w:val="30"/>
        </w:rPr>
        <w:sectPr w:rsidR="00AC5236">
          <w:footerReference w:type="default" r:id="rId7"/>
          <w:pgSz w:w="11906" w:h="16838"/>
          <w:pgMar w:top="1440" w:right="1800" w:bottom="1440" w:left="1800" w:header="851" w:footer="992" w:gutter="0"/>
          <w:cols w:space="425"/>
          <w:docGrid w:type="lines" w:linePitch="312"/>
        </w:sectPr>
      </w:pPr>
    </w:p>
    <w:p w:rsidR="00AC5236" w:rsidRDefault="00351A1C">
      <w:pPr>
        <w:rPr>
          <w:rFonts w:ascii="宋体" w:hAnsi="宋体" w:cs="仿宋_GB2312"/>
          <w:sz w:val="30"/>
          <w:szCs w:val="30"/>
        </w:rPr>
      </w:pPr>
      <w:r>
        <w:rPr>
          <w:rFonts w:ascii="宋体" w:hAnsi="宋体" w:cs="仿宋_GB2312" w:hint="eastAsia"/>
          <w:sz w:val="30"/>
          <w:szCs w:val="30"/>
        </w:rPr>
        <w:lastRenderedPageBreak/>
        <w:t>附件：</w:t>
      </w:r>
    </w:p>
    <w:p w:rsidR="00AC5236" w:rsidRDefault="00351A1C">
      <w:pPr>
        <w:jc w:val="center"/>
        <w:rPr>
          <w:rFonts w:ascii="宋体" w:hAnsi="宋体" w:cs="仿宋_GB2312"/>
          <w:b/>
          <w:sz w:val="30"/>
          <w:szCs w:val="30"/>
        </w:rPr>
      </w:pPr>
      <w:r>
        <w:rPr>
          <w:rFonts w:ascii="宋体" w:hAnsi="宋体" w:cs="仿宋_GB2312" w:hint="eastAsia"/>
          <w:b/>
          <w:sz w:val="30"/>
          <w:szCs w:val="30"/>
        </w:rPr>
        <w:t>《民生加银中证内地资源主题指数型证券投资基金</w:t>
      </w:r>
      <w:r>
        <w:rPr>
          <w:rFonts w:ascii="宋体" w:hAnsi="宋体" w:cs="仿宋_GB2312"/>
          <w:b/>
          <w:sz w:val="30"/>
          <w:szCs w:val="30"/>
        </w:rPr>
        <w:t>基金</w:t>
      </w:r>
      <w:r>
        <w:rPr>
          <w:rFonts w:ascii="宋体" w:hAnsi="宋体" w:cs="仿宋_GB2312" w:hint="eastAsia"/>
          <w:b/>
          <w:sz w:val="30"/>
          <w:szCs w:val="30"/>
        </w:rPr>
        <w:t>合同》</w:t>
      </w:r>
      <w:r>
        <w:rPr>
          <w:rFonts w:ascii="宋体" w:hAnsi="宋体" w:cs="仿宋_GB2312"/>
          <w:b/>
          <w:sz w:val="30"/>
          <w:szCs w:val="30"/>
        </w:rPr>
        <w:t>修改前后文对照表</w:t>
      </w:r>
    </w:p>
    <w:tbl>
      <w:tblPr>
        <w:tblStyle w:val="a9"/>
        <w:tblW w:w="8296" w:type="dxa"/>
        <w:tblLayout w:type="fixed"/>
        <w:tblLook w:val="04A0"/>
      </w:tblPr>
      <w:tblGrid>
        <w:gridCol w:w="1271"/>
        <w:gridCol w:w="3402"/>
        <w:gridCol w:w="3623"/>
      </w:tblGrid>
      <w:tr w:rsidR="00AC5236" w:rsidTr="00F7100A">
        <w:tc>
          <w:tcPr>
            <w:tcW w:w="1271" w:type="dxa"/>
          </w:tcPr>
          <w:p w:rsidR="00AC5236" w:rsidRDefault="00351A1C">
            <w:pPr>
              <w:jc w:val="center"/>
              <w:rPr>
                <w:rFonts w:ascii="宋体" w:hAnsi="宋体"/>
                <w:b/>
              </w:rPr>
            </w:pPr>
            <w:bookmarkStart w:id="1" w:name="_Hlk36808116"/>
            <w:r>
              <w:rPr>
                <w:rFonts w:ascii="宋体" w:hAnsi="宋体" w:hint="eastAsia"/>
                <w:b/>
              </w:rPr>
              <w:t>章节</w:t>
            </w:r>
          </w:p>
        </w:tc>
        <w:tc>
          <w:tcPr>
            <w:tcW w:w="3402" w:type="dxa"/>
          </w:tcPr>
          <w:p w:rsidR="00AC5236" w:rsidRDefault="00351A1C">
            <w:pPr>
              <w:jc w:val="center"/>
              <w:rPr>
                <w:rFonts w:ascii="宋体" w:hAnsi="宋体"/>
                <w:b/>
              </w:rPr>
            </w:pPr>
            <w:r>
              <w:rPr>
                <w:rFonts w:ascii="宋体" w:hAnsi="宋体" w:hint="eastAsia"/>
                <w:b/>
              </w:rPr>
              <w:t>修订前</w:t>
            </w:r>
          </w:p>
        </w:tc>
        <w:tc>
          <w:tcPr>
            <w:tcW w:w="3623" w:type="dxa"/>
          </w:tcPr>
          <w:p w:rsidR="00AC5236" w:rsidRDefault="00351A1C">
            <w:pPr>
              <w:jc w:val="center"/>
              <w:rPr>
                <w:rFonts w:ascii="宋体" w:hAnsi="宋体"/>
                <w:b/>
              </w:rPr>
            </w:pPr>
            <w:r>
              <w:rPr>
                <w:rFonts w:ascii="宋体" w:hAnsi="宋体" w:hint="eastAsia"/>
                <w:b/>
              </w:rPr>
              <w:t>修订后</w:t>
            </w:r>
          </w:p>
        </w:tc>
      </w:tr>
      <w:tr w:rsidR="00AC5236" w:rsidTr="00F7100A">
        <w:tc>
          <w:tcPr>
            <w:tcW w:w="1271" w:type="dxa"/>
          </w:tcPr>
          <w:p w:rsidR="00AC5236" w:rsidRDefault="00351A1C">
            <w:pPr>
              <w:rPr>
                <w:rFonts w:ascii="宋体" w:hAnsi="宋体"/>
                <w:b/>
              </w:rPr>
            </w:pPr>
            <w:r>
              <w:rPr>
                <w:rFonts w:ascii="宋体" w:hAnsi="宋体" w:hint="eastAsia"/>
                <w:b/>
              </w:rPr>
              <w:t>第一部分、前言</w:t>
            </w:r>
          </w:p>
          <w:p w:rsidR="00AC5236" w:rsidRDefault="00351A1C">
            <w:pPr>
              <w:rPr>
                <w:rFonts w:ascii="宋体" w:hAnsi="宋体"/>
                <w:b/>
              </w:rPr>
            </w:pPr>
            <w:r>
              <w:rPr>
                <w:rFonts w:ascii="宋体" w:hAnsi="宋体" w:hint="eastAsia"/>
              </w:rPr>
              <w:t>一、 订立本基金合同的目的、依据和原则</w:t>
            </w:r>
          </w:p>
        </w:tc>
        <w:tc>
          <w:tcPr>
            <w:tcW w:w="3402"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3623"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AC5236" w:rsidTr="00F7100A">
        <w:tc>
          <w:tcPr>
            <w:tcW w:w="1271" w:type="dxa"/>
          </w:tcPr>
          <w:p w:rsidR="00AC5236" w:rsidRDefault="00351A1C">
            <w:pPr>
              <w:rPr>
                <w:rFonts w:ascii="宋体" w:hAnsi="宋体"/>
                <w:b/>
              </w:rPr>
            </w:pPr>
            <w:r>
              <w:rPr>
                <w:rFonts w:ascii="宋体" w:hAnsi="宋体" w:hint="eastAsia"/>
                <w:b/>
              </w:rPr>
              <w:t>第一部分、前言</w:t>
            </w:r>
          </w:p>
          <w:p w:rsidR="00AC5236" w:rsidRDefault="00351A1C">
            <w:pPr>
              <w:rPr>
                <w:rFonts w:ascii="宋体" w:hAnsi="宋体"/>
                <w:b/>
              </w:rPr>
            </w:pPr>
            <w:r>
              <w:rPr>
                <w:rFonts w:ascii="宋体" w:hAnsi="宋体" w:hint="eastAsia"/>
              </w:rPr>
              <w:t>第三条</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本基金为指数基金，投资者投资于本基金面临跟踪误差控制未达约定目标、指数编制机构停止服务、成份股停牌等潜在风险，详见本基金招募说明书。</w:t>
            </w:r>
          </w:p>
        </w:tc>
      </w:tr>
      <w:tr w:rsidR="00AC5236" w:rsidTr="00F7100A">
        <w:tc>
          <w:tcPr>
            <w:tcW w:w="1271" w:type="dxa"/>
          </w:tcPr>
          <w:p w:rsidR="00AC5236" w:rsidRDefault="00351A1C">
            <w:pPr>
              <w:rPr>
                <w:rFonts w:ascii="宋体" w:hAnsi="宋体"/>
                <w:b/>
              </w:rPr>
            </w:pPr>
            <w:r>
              <w:rPr>
                <w:rFonts w:ascii="宋体" w:hAnsi="宋体" w:hint="eastAsia"/>
                <w:b/>
              </w:rPr>
              <w:t>第二部分、释义</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rPr>
              <w:t>15</w:t>
            </w:r>
            <w:r>
              <w:rPr>
                <w:rFonts w:ascii="宋体" w:hAnsi="宋体" w:hint="eastAsia"/>
              </w:rPr>
              <w:t>、《指数基金指引》：指中国证监会2021年1月</w:t>
            </w:r>
            <w:r>
              <w:rPr>
                <w:rFonts w:ascii="宋体" w:hAnsi="宋体"/>
              </w:rPr>
              <w:t>18</w:t>
            </w:r>
            <w:r>
              <w:rPr>
                <w:rFonts w:ascii="宋体" w:hAnsi="宋体" w:hint="eastAsia"/>
              </w:rPr>
              <w:t>日颁布、同年2月1日实施的《公开募集证券投资基金运作指引第3号——指数基金指引》及颁布机关对其不时做出的修订</w:t>
            </w:r>
          </w:p>
        </w:tc>
      </w:tr>
      <w:tr w:rsidR="00AC5236" w:rsidTr="00F7100A">
        <w:tc>
          <w:tcPr>
            <w:tcW w:w="1271" w:type="dxa"/>
          </w:tcPr>
          <w:p w:rsidR="00AC5236" w:rsidRDefault="00351A1C">
            <w:pPr>
              <w:rPr>
                <w:rFonts w:ascii="宋体" w:hAnsi="宋体"/>
              </w:rPr>
            </w:pPr>
            <w:r>
              <w:rPr>
                <w:rFonts w:ascii="宋体" w:hAnsi="宋体" w:hint="eastAsia"/>
                <w:b/>
              </w:rPr>
              <w:t>第十二部分、基金的投资</w:t>
            </w:r>
          </w:p>
          <w:p w:rsidR="00AC5236" w:rsidRDefault="00351A1C">
            <w:pPr>
              <w:rPr>
                <w:rFonts w:ascii="宋体" w:hAnsi="宋体"/>
              </w:rPr>
            </w:pPr>
            <w:r>
              <w:rPr>
                <w:rFonts w:ascii="宋体" w:hAnsi="宋体" w:hint="eastAsia"/>
              </w:rPr>
              <w:t xml:space="preserve">三、投资策略 </w:t>
            </w:r>
          </w:p>
          <w:p w:rsidR="00AC5236" w:rsidRDefault="00351A1C">
            <w:pPr>
              <w:rPr>
                <w:rFonts w:ascii="宋体" w:hAnsi="宋体"/>
                <w:b/>
              </w:rPr>
            </w:pPr>
            <w:r>
              <w:rPr>
                <w:rFonts w:ascii="宋体" w:hAnsi="宋体" w:hint="eastAsia"/>
              </w:rPr>
              <w:t>2.股票投资组合的动态调整</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6）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tc>
      </w:tr>
      <w:tr w:rsidR="00AC5236" w:rsidTr="00F7100A">
        <w:tc>
          <w:tcPr>
            <w:tcW w:w="1271" w:type="dxa"/>
          </w:tcPr>
          <w:p w:rsidR="00AC5236" w:rsidRDefault="00351A1C">
            <w:pPr>
              <w:rPr>
                <w:rFonts w:ascii="宋体" w:hAnsi="宋体"/>
              </w:rPr>
            </w:pPr>
            <w:r>
              <w:rPr>
                <w:rFonts w:ascii="宋体" w:hAnsi="宋体" w:hint="eastAsia"/>
                <w:b/>
              </w:rPr>
              <w:t>第十二部分、基金的投资</w:t>
            </w:r>
          </w:p>
          <w:p w:rsidR="00AC5236" w:rsidRDefault="00351A1C">
            <w:pPr>
              <w:rPr>
                <w:rFonts w:ascii="宋体" w:hAnsi="宋体"/>
              </w:rPr>
            </w:pPr>
            <w:r>
              <w:rPr>
                <w:rFonts w:ascii="宋体" w:hAnsi="宋体" w:hint="eastAsia"/>
              </w:rPr>
              <w:t>四、业绩比较基准</w:t>
            </w:r>
          </w:p>
        </w:tc>
        <w:tc>
          <w:tcPr>
            <w:tcW w:w="3402" w:type="dxa"/>
          </w:tcPr>
          <w:p w:rsidR="00AC5236" w:rsidRDefault="00351A1C">
            <w:pPr>
              <w:rPr>
                <w:rFonts w:ascii="宋体" w:hAnsi="宋体"/>
              </w:rPr>
            </w:pPr>
            <w:r>
              <w:rPr>
                <w:rFonts w:ascii="宋体" w:hAnsi="宋体" w:hint="eastAsia"/>
              </w:rPr>
              <w:t>如果中证内地资源主题指数的编制单位变更或停止中证内地资源主题指数的编制及发布、或中证内地资源主题指数由其他指数替代、或中证内地资源主题指数编制方法发生重大变更导致该指数不宜继续作为业绩比较基准的组成部分，本基金管理人可以依据维护投资者合法权益的原则，履行必要手续后，调整业绩比较基准并及时公告。如变更业绩比较基准需事先征得基金托管人同意。</w:t>
            </w:r>
          </w:p>
        </w:tc>
        <w:tc>
          <w:tcPr>
            <w:tcW w:w="3623" w:type="dxa"/>
          </w:tcPr>
          <w:p w:rsidR="00AC5236" w:rsidRDefault="00351A1C">
            <w:pPr>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AC5236" w:rsidRDefault="00351A1C">
            <w:pPr>
              <w:rPr>
                <w:rFonts w:ascii="宋体" w:hAnsi="宋体"/>
              </w:rPr>
            </w:pPr>
            <w:r>
              <w:rPr>
                <w:rFonts w:ascii="宋体" w:hAnsi="宋体" w:hint="eastAsia"/>
              </w:rPr>
              <w:t>若基金标的指数发生变更，基金业绩比较基准随之变更，由基金管理人根据标的指数变更情形履行适当程序。</w:t>
            </w:r>
          </w:p>
        </w:tc>
      </w:tr>
      <w:bookmarkEnd w:id="1"/>
    </w:tbl>
    <w:p w:rsidR="00AC5236" w:rsidRDefault="00AC5236">
      <w:pPr>
        <w:spacing w:line="360" w:lineRule="auto"/>
        <w:rPr>
          <w:rFonts w:ascii="宋体" w:hAnsi="宋体" w:cs="仿宋_GB2312"/>
          <w:sz w:val="30"/>
          <w:szCs w:val="30"/>
        </w:rPr>
        <w:sectPr w:rsidR="00AC5236">
          <w:pgSz w:w="11906" w:h="16838"/>
          <w:pgMar w:top="1440" w:right="1800" w:bottom="1440" w:left="1800" w:header="851" w:footer="992" w:gutter="0"/>
          <w:cols w:space="425"/>
          <w:docGrid w:type="lines" w:linePitch="312"/>
        </w:sectPr>
      </w:pPr>
    </w:p>
    <w:p w:rsidR="00AC5236" w:rsidRDefault="00351A1C">
      <w:pPr>
        <w:jc w:val="center"/>
        <w:rPr>
          <w:rFonts w:ascii="宋体" w:hAnsi="宋体" w:cs="仿宋_GB2312"/>
          <w:b/>
          <w:sz w:val="30"/>
          <w:szCs w:val="30"/>
        </w:rPr>
      </w:pPr>
      <w:r>
        <w:rPr>
          <w:rFonts w:ascii="宋体" w:hAnsi="宋体" w:cs="仿宋_GB2312" w:hint="eastAsia"/>
          <w:b/>
          <w:sz w:val="30"/>
          <w:szCs w:val="30"/>
        </w:rPr>
        <w:t>《民生加银中证200指数增强型发起式证券投资基金</w:t>
      </w:r>
      <w:r>
        <w:rPr>
          <w:rFonts w:ascii="宋体" w:hAnsi="宋体" w:cs="仿宋_GB2312"/>
          <w:b/>
          <w:sz w:val="30"/>
          <w:szCs w:val="30"/>
        </w:rPr>
        <w:t>基金</w:t>
      </w:r>
      <w:r>
        <w:rPr>
          <w:rFonts w:ascii="宋体" w:hAnsi="宋体" w:cs="仿宋_GB2312" w:hint="eastAsia"/>
          <w:b/>
          <w:sz w:val="30"/>
          <w:szCs w:val="30"/>
        </w:rPr>
        <w:t>合同》</w:t>
      </w:r>
      <w:r>
        <w:rPr>
          <w:rFonts w:ascii="宋体" w:hAnsi="宋体" w:cs="仿宋_GB2312"/>
          <w:b/>
          <w:sz w:val="30"/>
          <w:szCs w:val="30"/>
        </w:rPr>
        <w:t>修改前后文对照表</w:t>
      </w:r>
    </w:p>
    <w:tbl>
      <w:tblPr>
        <w:tblStyle w:val="a9"/>
        <w:tblW w:w="8296" w:type="dxa"/>
        <w:tblLayout w:type="fixed"/>
        <w:tblLook w:val="04A0"/>
      </w:tblPr>
      <w:tblGrid>
        <w:gridCol w:w="1271"/>
        <w:gridCol w:w="3402"/>
        <w:gridCol w:w="3623"/>
      </w:tblGrid>
      <w:tr w:rsidR="00AC5236" w:rsidTr="00F7100A">
        <w:tc>
          <w:tcPr>
            <w:tcW w:w="1271" w:type="dxa"/>
          </w:tcPr>
          <w:p w:rsidR="00AC5236" w:rsidRDefault="00351A1C">
            <w:pPr>
              <w:jc w:val="center"/>
              <w:rPr>
                <w:rFonts w:ascii="宋体" w:hAnsi="宋体"/>
                <w:b/>
              </w:rPr>
            </w:pPr>
            <w:r>
              <w:rPr>
                <w:rFonts w:ascii="宋体" w:hAnsi="宋体" w:hint="eastAsia"/>
                <w:b/>
              </w:rPr>
              <w:t>章节</w:t>
            </w:r>
          </w:p>
        </w:tc>
        <w:tc>
          <w:tcPr>
            <w:tcW w:w="3402" w:type="dxa"/>
          </w:tcPr>
          <w:p w:rsidR="00AC5236" w:rsidRDefault="00351A1C">
            <w:pPr>
              <w:jc w:val="center"/>
              <w:rPr>
                <w:rFonts w:ascii="宋体" w:hAnsi="宋体"/>
                <w:b/>
              </w:rPr>
            </w:pPr>
            <w:r>
              <w:rPr>
                <w:rFonts w:ascii="宋体" w:hAnsi="宋体" w:hint="eastAsia"/>
                <w:b/>
              </w:rPr>
              <w:t>修订前</w:t>
            </w:r>
          </w:p>
        </w:tc>
        <w:tc>
          <w:tcPr>
            <w:tcW w:w="3623" w:type="dxa"/>
          </w:tcPr>
          <w:p w:rsidR="00AC5236" w:rsidRDefault="00351A1C">
            <w:pPr>
              <w:jc w:val="center"/>
              <w:rPr>
                <w:rFonts w:ascii="宋体" w:hAnsi="宋体"/>
                <w:b/>
              </w:rPr>
            </w:pPr>
            <w:r>
              <w:rPr>
                <w:rFonts w:ascii="宋体" w:hAnsi="宋体" w:hint="eastAsia"/>
                <w:b/>
              </w:rPr>
              <w:t>修订后</w:t>
            </w:r>
          </w:p>
        </w:tc>
      </w:tr>
      <w:tr w:rsidR="00AC5236" w:rsidTr="00F7100A">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一、订立本基金合同的目的、依据和原则</w:t>
            </w:r>
          </w:p>
        </w:tc>
        <w:tc>
          <w:tcPr>
            <w:tcW w:w="3402"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3623"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AC5236" w:rsidTr="00F7100A">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第三条</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本基金为指数增强型基金，投资者投资于本基金面临跟踪误差控制未达约定目标、指数编制机构停止服务、成份股停牌等潜在风险，详见本基金招募说明书。</w:t>
            </w:r>
          </w:p>
        </w:tc>
      </w:tr>
      <w:tr w:rsidR="00AC5236" w:rsidTr="00F7100A">
        <w:tc>
          <w:tcPr>
            <w:tcW w:w="1271" w:type="dxa"/>
          </w:tcPr>
          <w:p w:rsidR="00AC5236" w:rsidRDefault="00351A1C">
            <w:pPr>
              <w:rPr>
                <w:rFonts w:ascii="宋体" w:hAnsi="宋体"/>
                <w:b/>
              </w:rPr>
            </w:pPr>
            <w:r>
              <w:rPr>
                <w:rFonts w:ascii="宋体" w:hAnsi="宋体" w:hint="eastAsia"/>
                <w:b/>
              </w:rPr>
              <w:t>第二部分 释义</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1</w:t>
            </w:r>
            <w:r>
              <w:rPr>
                <w:rFonts w:ascii="宋体" w:hAnsi="宋体"/>
              </w:rPr>
              <w:t>5</w:t>
            </w:r>
            <w:r>
              <w:rPr>
                <w:rFonts w:ascii="宋体" w:hAnsi="宋体" w:hint="eastAsia"/>
              </w:rPr>
              <w:t>、《指数基金指引》：指中国证监会2021年1月</w:t>
            </w:r>
            <w:r>
              <w:rPr>
                <w:rFonts w:ascii="宋体" w:hAnsi="宋体"/>
              </w:rPr>
              <w:t>18</w:t>
            </w:r>
            <w:r>
              <w:rPr>
                <w:rFonts w:ascii="宋体" w:hAnsi="宋体" w:hint="eastAsia"/>
              </w:rPr>
              <w:t>日颁布、同年2月1日实施的《公开募集证券投资基金运作指引第3号——指数基金指引》及颁布机关对其不时做出的修订</w:t>
            </w:r>
          </w:p>
        </w:tc>
      </w:tr>
      <w:tr w:rsidR="00AC5236" w:rsidTr="00F7100A">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rPr>
            </w:pPr>
            <w:r>
              <w:rPr>
                <w:rFonts w:ascii="宋体" w:hAnsi="宋体" w:hint="eastAsia"/>
              </w:rPr>
              <w:t xml:space="preserve">三、投资策略 </w:t>
            </w:r>
          </w:p>
          <w:p w:rsidR="00AC5236" w:rsidRDefault="00351A1C">
            <w:pPr>
              <w:rPr>
                <w:rFonts w:ascii="宋体" w:hAnsi="宋体"/>
                <w:b/>
              </w:rPr>
            </w:pPr>
            <w:r>
              <w:rPr>
                <w:rFonts w:ascii="宋体" w:hAnsi="宋体" w:hint="eastAsia"/>
              </w:rPr>
              <w:t>2、股票投资策略</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4）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tc>
      </w:tr>
      <w:tr w:rsidR="00AC5236" w:rsidTr="00F7100A">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b/>
              </w:rPr>
            </w:pPr>
            <w:r>
              <w:rPr>
                <w:rFonts w:ascii="宋体" w:hAnsi="宋体" w:hint="eastAsia"/>
              </w:rPr>
              <w:t>五、标的指数与业绩比较基准</w:t>
            </w:r>
          </w:p>
        </w:tc>
        <w:tc>
          <w:tcPr>
            <w:tcW w:w="3402" w:type="dxa"/>
          </w:tcPr>
          <w:p w:rsidR="00AC5236" w:rsidRDefault="00351A1C">
            <w:pPr>
              <w:rPr>
                <w:rFonts w:ascii="宋体" w:hAnsi="宋体"/>
              </w:rPr>
            </w:pPr>
            <w:r>
              <w:rPr>
                <w:rFonts w:ascii="宋体" w:hAnsi="宋体" w:hint="eastAsia"/>
              </w:rPr>
              <w:t>1、标的指数</w:t>
            </w:r>
          </w:p>
          <w:p w:rsidR="00AC5236" w:rsidRDefault="00351A1C">
            <w:pPr>
              <w:rPr>
                <w:rFonts w:ascii="宋体" w:hAnsi="宋体"/>
              </w:rPr>
            </w:pPr>
            <w:r>
              <w:rPr>
                <w:rFonts w:ascii="宋体" w:hAnsi="宋体" w:hint="eastAsia"/>
              </w:rPr>
              <w:t>本基金为股票指数增强型基金，在力求对中证200指数进行有效跟踪的基础上，通过数量化的方法进行积极的指数组合管理与风险控制。</w:t>
            </w:r>
          </w:p>
          <w:p w:rsidR="00AC5236" w:rsidRDefault="00351A1C">
            <w:pPr>
              <w:rPr>
                <w:rFonts w:ascii="宋体" w:hAnsi="宋体"/>
              </w:rPr>
            </w:pPr>
            <w:r>
              <w:rPr>
                <w:rFonts w:ascii="宋体" w:hAnsi="宋体" w:hint="eastAsia"/>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AC5236" w:rsidRDefault="00351A1C">
            <w:pPr>
              <w:rPr>
                <w:rFonts w:ascii="宋体" w:hAnsi="宋体"/>
              </w:rPr>
            </w:pPr>
            <w:r>
              <w:rPr>
                <w:rFonts w:ascii="宋体" w:hAnsi="宋体" w:hint="eastAsia"/>
              </w:rPr>
              <w:t xml:space="preserve">由于上述原因变更标的指数，若标的指数变更涉及本系列基金投资范围或投资策略的实质性变更，则基金管理人应就变更标的指数召开基金份额持有人大会，报中国证监会备案，并在规定媒介上公告。若标的指数变更对基金投资无实质性影响（包括但不限于编制机构变更、指数更名等），则无需召开基金份额持有人大会，基金管理人应与基金托管人协商一致后，在按照监管部门要求履行适当程序后变更并及时公告。 </w:t>
            </w:r>
          </w:p>
          <w:p w:rsidR="00AC5236" w:rsidRDefault="00351A1C">
            <w:pPr>
              <w:rPr>
                <w:rFonts w:ascii="宋体" w:hAnsi="宋体"/>
              </w:rPr>
            </w:pPr>
            <w:r>
              <w:rPr>
                <w:rFonts w:ascii="宋体" w:hAnsi="宋体" w:hint="eastAsia"/>
              </w:rPr>
              <w:t>2、本基金的业绩比较基准为：中证200指数收益率×95%+银行活期存款利率（税后）×5%。</w:t>
            </w:r>
          </w:p>
          <w:p w:rsidR="00AC5236" w:rsidRDefault="00351A1C">
            <w:pPr>
              <w:rPr>
                <w:rFonts w:ascii="宋体" w:hAnsi="宋体"/>
              </w:rPr>
            </w:pPr>
            <w:r>
              <w:rPr>
                <w:rFonts w:ascii="宋体" w:hAnsi="宋体" w:hint="eastAsia"/>
              </w:rPr>
              <w:t>中证200指数由中证指数有限公司编制，样本空间内股票是由沪深300指数成份股中剔除中证100指数成份股后的200只股票组成，综合反映中国A股市场中大盘市值公司的股票价格表现。</w:t>
            </w:r>
          </w:p>
          <w:p w:rsidR="00AC5236" w:rsidRDefault="00351A1C">
            <w:pPr>
              <w:rPr>
                <w:rFonts w:ascii="宋体" w:hAnsi="宋体"/>
              </w:rPr>
            </w:pPr>
            <w:r>
              <w:rPr>
                <w:rFonts w:ascii="宋体" w:hAnsi="宋体" w:hint="eastAsia"/>
              </w:rPr>
              <w:t>本基金管理人认为，该业绩比较基准目前能够忠实反映本基金的风险收益特征。如果指数编制单位停止计算编制该指数、或今后法律法规发生变化或更改指数名称、或有更适当的、更能为市场普遍接受的业绩比较基准推出，本基金管理人可以依据维护投资者合法权益的原则，经履行适当程序，调整业绩比较基准并及时公告，而无须召开基金份额持有人大会。</w:t>
            </w:r>
          </w:p>
        </w:tc>
        <w:tc>
          <w:tcPr>
            <w:tcW w:w="3623" w:type="dxa"/>
          </w:tcPr>
          <w:p w:rsidR="00AC5236" w:rsidRDefault="00351A1C">
            <w:pPr>
              <w:rPr>
                <w:rFonts w:ascii="宋体" w:hAnsi="宋体"/>
              </w:rPr>
            </w:pPr>
            <w:r>
              <w:rPr>
                <w:rFonts w:ascii="宋体" w:hAnsi="宋体" w:hint="eastAsia"/>
              </w:rPr>
              <w:t>1、标的指数</w:t>
            </w:r>
          </w:p>
          <w:p w:rsidR="00AC5236" w:rsidRDefault="00351A1C">
            <w:pPr>
              <w:rPr>
                <w:rFonts w:ascii="宋体" w:hAnsi="宋体"/>
              </w:rPr>
            </w:pPr>
            <w:r>
              <w:rPr>
                <w:rFonts w:ascii="宋体" w:hAnsi="宋体" w:hint="eastAsia"/>
              </w:rPr>
              <w:t>本基金为股票指数增强型基金，在力求对中证200指数进行有效跟踪的基础上，通过数量化的方法进行积极的指数组合管理与风险控制。</w:t>
            </w:r>
          </w:p>
          <w:p w:rsidR="00AC5236" w:rsidRDefault="00351A1C">
            <w:pPr>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AC5236" w:rsidRDefault="00351A1C">
            <w:pPr>
              <w:rPr>
                <w:rFonts w:ascii="宋体" w:hAnsi="宋体"/>
              </w:rPr>
            </w:pPr>
            <w:r>
              <w:rPr>
                <w:rFonts w:ascii="宋体" w:hAnsi="宋体" w:hint="eastAsia"/>
              </w:rPr>
              <w:t>2、本基金的业绩比较基准为：中证200指数收益率×95%+银行活期存款利率（税后）×5%。</w:t>
            </w:r>
          </w:p>
          <w:p w:rsidR="00AC5236" w:rsidRDefault="00351A1C">
            <w:pPr>
              <w:rPr>
                <w:rFonts w:ascii="宋体" w:hAnsi="宋体"/>
              </w:rPr>
            </w:pPr>
            <w:r>
              <w:rPr>
                <w:rFonts w:ascii="宋体" w:hAnsi="宋体" w:hint="eastAsia"/>
              </w:rPr>
              <w:t>中证200指数由中证指数有限公司编制，样本空间内股票是由沪深300指数成份股中剔除中证100指数成份股后的200只股票组成，综合反映中国A股市场中大盘市值公司的股票价格表现。</w:t>
            </w:r>
          </w:p>
          <w:p w:rsidR="00AC5236" w:rsidRDefault="00351A1C">
            <w:pPr>
              <w:rPr>
                <w:rFonts w:ascii="宋体" w:hAnsi="宋体"/>
              </w:rPr>
            </w:pPr>
            <w:r>
              <w:rPr>
                <w:rFonts w:ascii="宋体" w:hAnsi="宋体" w:hint="eastAsia"/>
              </w:rPr>
              <w:t>若基金标的指数发生变更，基金业绩比较基准随之变更，由基金管理人根据标的指数变更情形履行适当程序。</w:t>
            </w:r>
          </w:p>
        </w:tc>
      </w:tr>
    </w:tbl>
    <w:p w:rsidR="00AC5236" w:rsidRDefault="00AC5236">
      <w:pPr>
        <w:spacing w:line="360" w:lineRule="auto"/>
        <w:rPr>
          <w:rFonts w:ascii="宋体" w:hAnsi="宋体"/>
          <w:sz w:val="24"/>
          <w:szCs w:val="24"/>
        </w:rPr>
      </w:pPr>
    </w:p>
    <w:p w:rsidR="00AC5236" w:rsidRDefault="00AC5236">
      <w:pPr>
        <w:spacing w:line="360" w:lineRule="auto"/>
        <w:rPr>
          <w:rFonts w:ascii="宋体" w:hAnsi="宋体"/>
          <w:sz w:val="24"/>
          <w:szCs w:val="24"/>
        </w:rPr>
      </w:pPr>
    </w:p>
    <w:p w:rsidR="00AC5236" w:rsidRDefault="00AC5236">
      <w:pPr>
        <w:spacing w:line="360" w:lineRule="auto"/>
        <w:rPr>
          <w:rFonts w:ascii="宋体" w:hAnsi="宋体"/>
          <w:sz w:val="24"/>
          <w:szCs w:val="24"/>
        </w:rPr>
      </w:pPr>
    </w:p>
    <w:p w:rsidR="00AC5236" w:rsidRDefault="00AC5236">
      <w:pPr>
        <w:spacing w:line="360" w:lineRule="auto"/>
        <w:rPr>
          <w:rFonts w:ascii="宋体" w:hAnsi="宋体"/>
          <w:sz w:val="24"/>
          <w:szCs w:val="24"/>
        </w:rPr>
        <w:sectPr w:rsidR="00AC5236">
          <w:pgSz w:w="11906" w:h="16838"/>
          <w:pgMar w:top="1440" w:right="1800" w:bottom="1440" w:left="1800" w:header="851" w:footer="992" w:gutter="0"/>
          <w:cols w:space="425"/>
          <w:docGrid w:type="lines" w:linePitch="312"/>
        </w:sectPr>
      </w:pPr>
    </w:p>
    <w:p w:rsidR="00AC5236" w:rsidRDefault="00351A1C">
      <w:pPr>
        <w:spacing w:line="360" w:lineRule="auto"/>
        <w:jc w:val="center"/>
        <w:outlineLvl w:val="0"/>
        <w:rPr>
          <w:rFonts w:ascii="宋体" w:hAnsi="宋体"/>
          <w:b/>
          <w:color w:val="000000" w:themeColor="text1"/>
          <w:sz w:val="24"/>
          <w:szCs w:val="28"/>
        </w:rPr>
      </w:pPr>
      <w:r>
        <w:rPr>
          <w:rFonts w:ascii="宋体" w:hAnsi="宋体" w:hint="eastAsia"/>
          <w:b/>
          <w:color w:val="000000" w:themeColor="text1"/>
          <w:sz w:val="28"/>
          <w:szCs w:val="30"/>
        </w:rPr>
        <w:t>《民生加银中债1-5年政策性金融债指数证券投资基金基金合同》修改前后文对照表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3365"/>
        <w:gridCol w:w="3660"/>
      </w:tblGrid>
      <w:tr w:rsidR="00AC5236">
        <w:trPr>
          <w:trHeight w:val="20"/>
          <w:jc w:val="center"/>
        </w:trPr>
        <w:tc>
          <w:tcPr>
            <w:tcW w:w="1271" w:type="dxa"/>
            <w:vAlign w:val="center"/>
          </w:tcPr>
          <w:p w:rsidR="00AC5236" w:rsidRDefault="00351A1C" w:rsidP="00F7100A">
            <w:pPr>
              <w:spacing w:line="360" w:lineRule="auto"/>
              <w:jc w:val="center"/>
              <w:rPr>
                <w:rFonts w:ascii="宋体" w:hAnsi="宋体" w:cs="Arial"/>
                <w:b/>
                <w:color w:val="000000" w:themeColor="text1"/>
                <w:szCs w:val="21"/>
              </w:rPr>
            </w:pPr>
            <w:bookmarkStart w:id="2" w:name="_Hlk21873600"/>
            <w:r>
              <w:rPr>
                <w:rFonts w:ascii="宋体" w:hAnsi="宋体" w:hint="eastAsia"/>
                <w:b/>
                <w:szCs w:val="21"/>
              </w:rPr>
              <w:t>章节</w:t>
            </w:r>
          </w:p>
        </w:tc>
        <w:tc>
          <w:tcPr>
            <w:tcW w:w="3365" w:type="dxa"/>
            <w:vAlign w:val="center"/>
          </w:tcPr>
          <w:p w:rsidR="00AC5236" w:rsidRDefault="00351A1C">
            <w:pPr>
              <w:spacing w:line="360" w:lineRule="auto"/>
              <w:jc w:val="center"/>
              <w:rPr>
                <w:rFonts w:ascii="宋体" w:hAnsi="宋体" w:cs="Arial"/>
                <w:b/>
                <w:color w:val="000000" w:themeColor="text1"/>
                <w:szCs w:val="21"/>
              </w:rPr>
            </w:pPr>
            <w:r>
              <w:rPr>
                <w:rFonts w:ascii="宋体" w:hAnsi="宋体" w:cs="Arial" w:hint="eastAsia"/>
                <w:b/>
                <w:color w:val="000000" w:themeColor="text1"/>
                <w:szCs w:val="21"/>
              </w:rPr>
              <w:t>修订前</w:t>
            </w:r>
          </w:p>
        </w:tc>
        <w:tc>
          <w:tcPr>
            <w:tcW w:w="3660" w:type="dxa"/>
            <w:vAlign w:val="center"/>
          </w:tcPr>
          <w:p w:rsidR="00AC5236" w:rsidRDefault="00351A1C">
            <w:pPr>
              <w:spacing w:line="360" w:lineRule="auto"/>
              <w:jc w:val="center"/>
              <w:rPr>
                <w:rFonts w:ascii="宋体" w:hAnsi="宋体" w:cs="Arial"/>
                <w:b/>
                <w:color w:val="000000" w:themeColor="text1"/>
                <w:szCs w:val="21"/>
              </w:rPr>
            </w:pPr>
            <w:r>
              <w:rPr>
                <w:rFonts w:ascii="宋体" w:hAnsi="宋体" w:cs="Arial" w:hint="eastAsia"/>
                <w:b/>
                <w:color w:val="000000" w:themeColor="text1"/>
                <w:szCs w:val="21"/>
              </w:rPr>
              <w:t>修订后</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第一部分 前言</w:t>
            </w:r>
          </w:p>
        </w:tc>
        <w:tc>
          <w:tcPr>
            <w:tcW w:w="3365" w:type="dxa"/>
          </w:tcPr>
          <w:p w:rsidR="00AC5236" w:rsidRDefault="00351A1C">
            <w:pPr>
              <w:autoSpaceDE w:val="0"/>
              <w:autoSpaceDN w:val="0"/>
              <w:adjustRightInd w:val="0"/>
              <w:rPr>
                <w:rFonts w:ascii="宋体" w:hAnsi="宋体" w:cs="Arial"/>
                <w:bCs/>
                <w:color w:val="000000" w:themeColor="text1"/>
                <w:szCs w:val="21"/>
              </w:rPr>
            </w:pPr>
            <w:r>
              <w:rPr>
                <w:rFonts w:ascii="宋体" w:hAnsi="宋体" w:cs="Arial" w:hint="eastAsia"/>
                <w:bCs/>
                <w:color w:val="000000" w:themeColor="text1"/>
                <w:szCs w:val="21"/>
              </w:rPr>
              <w:t>一、订立本基金合同的目的、依据和原则</w:t>
            </w:r>
          </w:p>
          <w:p w:rsidR="00AC5236" w:rsidRDefault="00351A1C">
            <w:pPr>
              <w:autoSpaceDE w:val="0"/>
              <w:autoSpaceDN w:val="0"/>
              <w:adjustRightInd w:val="0"/>
              <w:rPr>
                <w:rFonts w:ascii="宋体" w:hAnsi="宋体" w:cs="Arial"/>
                <w:color w:val="000000" w:themeColor="text1"/>
                <w:szCs w:val="21"/>
              </w:rPr>
            </w:pPr>
            <w:r>
              <w:rPr>
                <w:rFonts w:ascii="宋体" w:hAnsi="宋体" w:cs="Arial"/>
                <w:bCs/>
                <w:color w:val="000000" w:themeColor="text1"/>
                <w:szCs w:val="21"/>
              </w:rPr>
              <w:t>2</w:t>
            </w:r>
            <w:r>
              <w:rPr>
                <w:rFonts w:ascii="宋体" w:hAnsi="宋体" w:cs="Arial" w:hint="eastAsia"/>
                <w:bCs/>
                <w:color w:val="000000" w:themeColor="text1"/>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3660" w:type="dxa"/>
          </w:tcPr>
          <w:p w:rsidR="00AC5236" w:rsidRDefault="00351A1C">
            <w:pPr>
              <w:autoSpaceDE w:val="0"/>
              <w:autoSpaceDN w:val="0"/>
              <w:adjustRightInd w:val="0"/>
              <w:rPr>
                <w:rFonts w:ascii="宋体" w:hAnsi="宋体" w:cs="Arial"/>
                <w:bCs/>
                <w:color w:val="000000" w:themeColor="text1"/>
                <w:szCs w:val="21"/>
              </w:rPr>
            </w:pPr>
            <w:r>
              <w:rPr>
                <w:rFonts w:ascii="宋体" w:hAnsi="宋体" w:cs="Arial" w:hint="eastAsia"/>
                <w:bCs/>
                <w:color w:val="000000" w:themeColor="text1"/>
                <w:szCs w:val="21"/>
              </w:rPr>
              <w:t>一、订立本基金合同的目的、依据和原则</w:t>
            </w:r>
          </w:p>
          <w:p w:rsidR="00AC5236" w:rsidRDefault="00351A1C">
            <w:pPr>
              <w:autoSpaceDE w:val="0"/>
              <w:autoSpaceDN w:val="0"/>
              <w:adjustRightInd w:val="0"/>
              <w:rPr>
                <w:rFonts w:ascii="宋体" w:hAnsi="宋体" w:cs="Arial"/>
                <w:color w:val="000000" w:themeColor="text1"/>
                <w:szCs w:val="21"/>
              </w:rPr>
            </w:pPr>
            <w:r>
              <w:rPr>
                <w:rFonts w:ascii="宋体" w:hAnsi="宋体" w:cs="Arial"/>
                <w:bCs/>
                <w:color w:val="000000" w:themeColor="text1"/>
                <w:szCs w:val="21"/>
              </w:rPr>
              <w:t>2</w:t>
            </w:r>
            <w:r>
              <w:rPr>
                <w:rFonts w:ascii="宋体" w:hAnsi="宋体" w:cs="Arial" w:hint="eastAsia"/>
                <w:bCs/>
                <w:color w:val="000000" w:themeColor="text1"/>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第一部分 前言</w:t>
            </w:r>
          </w:p>
          <w:p w:rsidR="00AC5236" w:rsidRDefault="00351A1C">
            <w:pPr>
              <w:rPr>
                <w:rFonts w:ascii="宋体" w:hAnsi="宋体" w:cs="Arial"/>
                <w:color w:val="000000" w:themeColor="text1"/>
                <w:szCs w:val="21"/>
              </w:rPr>
            </w:pPr>
            <w:r>
              <w:rPr>
                <w:rFonts w:ascii="宋体" w:hAnsi="宋体" w:cs="Arial"/>
                <w:color w:val="000000" w:themeColor="text1"/>
                <w:szCs w:val="21"/>
              </w:rPr>
              <w:t>第三条</w:t>
            </w:r>
          </w:p>
        </w:tc>
        <w:tc>
          <w:tcPr>
            <w:tcW w:w="3365" w:type="dxa"/>
          </w:tcPr>
          <w:p w:rsidR="00AC5236" w:rsidRDefault="00AC5236">
            <w:pPr>
              <w:autoSpaceDE w:val="0"/>
              <w:autoSpaceDN w:val="0"/>
              <w:adjustRightInd w:val="0"/>
              <w:jc w:val="left"/>
              <w:rPr>
                <w:rFonts w:ascii="宋体" w:hAnsi="宋体" w:cs="Arial"/>
                <w:color w:val="000000" w:themeColor="text1"/>
                <w:szCs w:val="21"/>
              </w:rPr>
            </w:pPr>
          </w:p>
        </w:tc>
        <w:tc>
          <w:tcPr>
            <w:tcW w:w="3660" w:type="dxa"/>
          </w:tcPr>
          <w:p w:rsidR="00AC5236" w:rsidRDefault="00351A1C">
            <w:pPr>
              <w:autoSpaceDE w:val="0"/>
              <w:autoSpaceDN w:val="0"/>
              <w:adjustRightInd w:val="0"/>
              <w:jc w:val="left"/>
              <w:rPr>
                <w:rFonts w:ascii="宋体" w:hAnsi="宋体" w:cs="Arial"/>
                <w:bCs/>
                <w:color w:val="000000" w:themeColor="text1"/>
                <w:szCs w:val="21"/>
              </w:rPr>
            </w:pPr>
            <w:r>
              <w:rPr>
                <w:rFonts w:ascii="宋体" w:hAnsi="宋体" w:cs="Arial" w:hint="eastAsia"/>
                <w:color w:val="000000" w:themeColor="text1"/>
                <w:szCs w:val="21"/>
              </w:rPr>
              <w:t>增加：</w:t>
            </w:r>
          </w:p>
          <w:p w:rsidR="00AC5236" w:rsidRDefault="00351A1C">
            <w:pPr>
              <w:autoSpaceDE w:val="0"/>
              <w:autoSpaceDN w:val="0"/>
              <w:adjustRightInd w:val="0"/>
              <w:jc w:val="left"/>
              <w:rPr>
                <w:rFonts w:ascii="宋体" w:hAnsi="宋体" w:cs="Arial"/>
                <w:color w:val="000000" w:themeColor="text1"/>
                <w:szCs w:val="21"/>
              </w:rPr>
            </w:pPr>
            <w:r>
              <w:rPr>
                <w:rFonts w:ascii="宋体" w:hAnsi="宋体" w:cs="Arial" w:hint="eastAsia"/>
                <w:bCs/>
                <w:color w:val="000000" w:themeColor="text1"/>
                <w:szCs w:val="21"/>
              </w:rPr>
              <w:t>本基金为指数基金，投资者投资于本基金面临跟踪误差控制未达约定目标、指数编制机构停止服务、成份券停牌、摘牌或违约等潜在风险，详见本基金招募说明书。</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第二部分 释义</w:t>
            </w:r>
          </w:p>
        </w:tc>
        <w:tc>
          <w:tcPr>
            <w:tcW w:w="3365" w:type="dxa"/>
          </w:tcPr>
          <w:p w:rsidR="00AC5236" w:rsidRDefault="00AC5236">
            <w:pPr>
              <w:autoSpaceDE w:val="0"/>
              <w:autoSpaceDN w:val="0"/>
              <w:adjustRightInd w:val="0"/>
              <w:jc w:val="left"/>
              <w:rPr>
                <w:rFonts w:ascii="宋体" w:hAnsi="宋体" w:cs="Arial"/>
                <w:bCs/>
                <w:color w:val="000000" w:themeColor="text1"/>
                <w:szCs w:val="21"/>
              </w:rPr>
            </w:pPr>
          </w:p>
        </w:tc>
        <w:tc>
          <w:tcPr>
            <w:tcW w:w="3660" w:type="dxa"/>
          </w:tcPr>
          <w:p w:rsidR="00AC5236" w:rsidRDefault="00351A1C">
            <w:pPr>
              <w:autoSpaceDE w:val="0"/>
              <w:autoSpaceDN w:val="0"/>
              <w:adjustRightInd w:val="0"/>
              <w:jc w:val="left"/>
              <w:rPr>
                <w:rFonts w:ascii="宋体" w:hAnsi="宋体" w:cs="Arial"/>
                <w:color w:val="000000" w:themeColor="text1"/>
                <w:szCs w:val="21"/>
              </w:rPr>
            </w:pPr>
            <w:r>
              <w:rPr>
                <w:rFonts w:ascii="宋体" w:hAnsi="宋体" w:cs="Arial" w:hint="eastAsia"/>
                <w:bCs/>
                <w:color w:val="000000" w:themeColor="text1"/>
                <w:szCs w:val="21"/>
              </w:rPr>
              <w:t>15、《指数基金指引》：指中国证监会2021年1月18日颁布、同年2月1日实施的《公开募集证券投资基金运作指引第3号——指数基金指引》及颁布机关对其不时做出的修订</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第三部分基金的基本情况</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隶属于中债总指数族分类，该指数成分券包括国家开发银行、中国进出口银行、中国农业发展银行在境内公开发行且上市流通的待偿期0.5至5年（包含0.5年和5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在履行适当程序后变更本基金的标的指数。其中，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隶属于中债总指数族分类，该指数成分券包括国家开发银行、中国进出口银行、中国农业发展银行在境内公开发行且上市流通的待偿期0.5至5年（包含0.5年和5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三、投资标的指数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隶属于中债总指数族分类，该指数成分券包括国家开发银行、中国进出口银行、中国农业发展银行在境内公开发行且上市流通的待偿期0.5至5年（包含0.5年和5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在履行适当程序后变更本基金的标的指数。其中，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三、投资标的指数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-5年政策性金融债指数隶属于中债总指数族分类，该指数成分券包括国家开发银行、中国进出口银行、中国农业发展银行在境内公开发行且上市流通的待偿期0.5至5年（包含0.5年和5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四、投资策略</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1、在正常市场情况下，本基金力争追求日均跟踪偏离度的绝对值不超过0.5%，将年化跟踪误差控制在2%以内。如因标的指数编制规则调整等其他原因，导致基金跟踪偏离度和跟踪误差超过了上述范围，基金管理人应采取合理措施，避免跟踪误差进一步扩大。</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四、投资策略</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1、在正常市场情况下，本基金力争追求日均跟踪偏离度的绝对值不超过0.5%，将年化跟踪误差控制在2%以内。如因标的指数编制规则调整等其他原因，导致基金跟踪偏离度和跟踪误差超过了上述范围，基金管理人应采取合理措施，避免跟踪误差进一步扩大。</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指数成份券发生明显负面事件面临退市或违约风险，且指数编制机构暂未作出调整的，基金管理人应当按照基金份额持有人利益优先的原则，综合考虑成份券的退市或违约风险、其在指数中的权重以及对跟踪误差的影响，据此制定成份券替代策略，并对投资组合进行相应调整。</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六、业绩比较基准</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本基金的业绩比较基准为：中债-1-5年政策性金融债指数收益率*95%+银行活期存款利率(税后)*5%。</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若基金标的指数发生变更，基金业绩比较基准随之变更，基金管理人可依据维护基金份额持有人合法权益的原则，在按照监管部门要求履行适当程序后根据投资情况和市场惯例调整基金业绩比较基准，基金管理人应在调整实施前依照《信息披露办法》的有关规定在中国证监会指定媒介上刊登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六、业绩比较基准</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本基金的业绩比较基准为：中债-1-5年政策性金融债指数收益率*95%+银行活期存款利率(税后)*5%。</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若基金标的指数发生变更，基金业绩比较基准随之变更，由基金管理人根据标的指数变更情形履行适当程序。</w:t>
            </w:r>
          </w:p>
          <w:p w:rsidR="00AC5236" w:rsidRDefault="00AC5236">
            <w:pPr>
              <w:rPr>
                <w:rFonts w:ascii="宋体" w:hAnsi="宋体" w:cs="Arial"/>
                <w:bCs/>
                <w:color w:val="000000" w:themeColor="text1"/>
                <w:szCs w:val="21"/>
              </w:rPr>
            </w:pPr>
          </w:p>
        </w:tc>
      </w:tr>
      <w:bookmarkEnd w:id="2"/>
    </w:tbl>
    <w:p w:rsidR="00AC5236" w:rsidRDefault="00AC5236">
      <w:pPr>
        <w:widowControl/>
        <w:jc w:val="left"/>
        <w:rPr>
          <w:rFonts w:ascii="宋体" w:hAnsi="宋体"/>
          <w:color w:val="000000"/>
          <w:sz w:val="22"/>
          <w:szCs w:val="24"/>
        </w:rPr>
      </w:pPr>
    </w:p>
    <w:p w:rsidR="00AC5236" w:rsidRDefault="00AC5236">
      <w:pPr>
        <w:spacing w:line="360" w:lineRule="auto"/>
        <w:jc w:val="center"/>
        <w:outlineLvl w:val="0"/>
        <w:rPr>
          <w:rFonts w:ascii="宋体" w:hAnsi="宋体"/>
          <w:b/>
          <w:color w:val="000000" w:themeColor="text1"/>
          <w:sz w:val="30"/>
          <w:szCs w:val="30"/>
        </w:rPr>
        <w:sectPr w:rsidR="00AC5236">
          <w:pgSz w:w="11906" w:h="16838"/>
          <w:pgMar w:top="1440" w:right="1800" w:bottom="1440" w:left="1800" w:header="851" w:footer="992" w:gutter="0"/>
          <w:cols w:space="425"/>
          <w:docGrid w:type="lines" w:linePitch="312"/>
        </w:sectPr>
      </w:pPr>
    </w:p>
    <w:p w:rsidR="00AC5236" w:rsidRDefault="00351A1C">
      <w:pPr>
        <w:spacing w:line="360" w:lineRule="auto"/>
        <w:jc w:val="center"/>
        <w:outlineLvl w:val="0"/>
        <w:rPr>
          <w:rFonts w:ascii="宋体" w:hAnsi="宋体"/>
          <w:b/>
          <w:color w:val="000000" w:themeColor="text1"/>
          <w:sz w:val="28"/>
          <w:szCs w:val="28"/>
        </w:rPr>
      </w:pPr>
      <w:r>
        <w:rPr>
          <w:rFonts w:ascii="宋体" w:hAnsi="宋体" w:hint="eastAsia"/>
          <w:b/>
          <w:color w:val="000000" w:themeColor="text1"/>
          <w:sz w:val="30"/>
          <w:szCs w:val="30"/>
        </w:rPr>
        <w:t>《民生加银中债</w:t>
      </w:r>
      <w:r>
        <w:rPr>
          <w:rFonts w:ascii="宋体" w:hAnsi="宋体"/>
          <w:b/>
          <w:color w:val="000000" w:themeColor="text1"/>
          <w:sz w:val="30"/>
          <w:szCs w:val="30"/>
        </w:rPr>
        <w:t>1-3年农发行债券指数证券投资基金基金合同》</w:t>
      </w:r>
      <w:r>
        <w:rPr>
          <w:rFonts w:ascii="宋体" w:hAnsi="宋体" w:hint="eastAsia"/>
          <w:b/>
          <w:color w:val="000000" w:themeColor="text1"/>
          <w:sz w:val="30"/>
          <w:szCs w:val="30"/>
        </w:rPr>
        <w:t>修改前后文对照表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3365"/>
        <w:gridCol w:w="3660"/>
      </w:tblGrid>
      <w:tr w:rsidR="00AC5236">
        <w:trPr>
          <w:trHeight w:val="20"/>
          <w:jc w:val="center"/>
        </w:trPr>
        <w:tc>
          <w:tcPr>
            <w:tcW w:w="1271" w:type="dxa"/>
          </w:tcPr>
          <w:p w:rsidR="00AC5236" w:rsidRDefault="00351A1C" w:rsidP="00F7100A">
            <w:pPr>
              <w:jc w:val="center"/>
              <w:rPr>
                <w:rFonts w:ascii="宋体" w:hAnsi="宋体" w:cs="Arial"/>
                <w:b/>
                <w:color w:val="000000" w:themeColor="text1"/>
                <w:szCs w:val="21"/>
              </w:rPr>
            </w:pPr>
            <w:r>
              <w:rPr>
                <w:rFonts w:ascii="宋体" w:hAnsi="宋体" w:hint="eastAsia"/>
                <w:b/>
                <w:szCs w:val="21"/>
              </w:rPr>
              <w:t>章节</w:t>
            </w:r>
          </w:p>
        </w:tc>
        <w:tc>
          <w:tcPr>
            <w:tcW w:w="3365" w:type="dxa"/>
          </w:tcPr>
          <w:p w:rsidR="00AC5236" w:rsidRDefault="00351A1C">
            <w:pPr>
              <w:jc w:val="center"/>
              <w:rPr>
                <w:rFonts w:ascii="宋体" w:hAnsi="宋体" w:cs="Arial"/>
                <w:b/>
                <w:color w:val="000000" w:themeColor="text1"/>
                <w:szCs w:val="21"/>
              </w:rPr>
            </w:pPr>
            <w:r>
              <w:rPr>
                <w:rFonts w:ascii="宋体" w:hAnsi="宋体" w:cs="Arial" w:hint="eastAsia"/>
                <w:b/>
                <w:color w:val="000000" w:themeColor="text1"/>
                <w:szCs w:val="21"/>
              </w:rPr>
              <w:t>修订前</w:t>
            </w:r>
          </w:p>
        </w:tc>
        <w:tc>
          <w:tcPr>
            <w:tcW w:w="3660" w:type="dxa"/>
            <w:vAlign w:val="center"/>
          </w:tcPr>
          <w:p w:rsidR="00AC5236" w:rsidRDefault="00351A1C">
            <w:pPr>
              <w:jc w:val="center"/>
              <w:rPr>
                <w:rFonts w:ascii="宋体" w:hAnsi="宋体" w:cs="Arial"/>
                <w:b/>
                <w:color w:val="000000" w:themeColor="text1"/>
                <w:szCs w:val="21"/>
              </w:rPr>
            </w:pPr>
            <w:r>
              <w:rPr>
                <w:rFonts w:ascii="宋体" w:hAnsi="宋体" w:cs="Arial" w:hint="eastAsia"/>
                <w:b/>
                <w:color w:val="000000" w:themeColor="text1"/>
                <w:szCs w:val="21"/>
              </w:rPr>
              <w:t>修订后</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第一部分 前言</w:t>
            </w:r>
          </w:p>
        </w:tc>
        <w:tc>
          <w:tcPr>
            <w:tcW w:w="3365" w:type="dxa"/>
          </w:tcPr>
          <w:p w:rsidR="00AC5236" w:rsidRDefault="00351A1C">
            <w:pPr>
              <w:autoSpaceDE w:val="0"/>
              <w:autoSpaceDN w:val="0"/>
              <w:adjustRightInd w:val="0"/>
              <w:rPr>
                <w:rFonts w:ascii="宋体" w:hAnsi="宋体" w:cs="Arial"/>
                <w:bCs/>
                <w:color w:val="000000" w:themeColor="text1"/>
                <w:szCs w:val="21"/>
              </w:rPr>
            </w:pPr>
            <w:r>
              <w:rPr>
                <w:rFonts w:ascii="宋体" w:hAnsi="宋体" w:cs="Arial" w:hint="eastAsia"/>
                <w:bCs/>
                <w:color w:val="000000" w:themeColor="text1"/>
                <w:szCs w:val="21"/>
              </w:rPr>
              <w:t>一、订立本基金合同的目的、依据和原则</w:t>
            </w:r>
          </w:p>
          <w:p w:rsidR="00AC5236" w:rsidRDefault="00351A1C">
            <w:pPr>
              <w:autoSpaceDE w:val="0"/>
              <w:autoSpaceDN w:val="0"/>
              <w:adjustRightInd w:val="0"/>
              <w:rPr>
                <w:rFonts w:ascii="宋体" w:hAnsi="宋体" w:cs="Arial"/>
                <w:color w:val="000000" w:themeColor="text1"/>
                <w:szCs w:val="21"/>
              </w:rPr>
            </w:pPr>
            <w:r>
              <w:rPr>
                <w:rFonts w:ascii="宋体" w:hAnsi="宋体" w:cs="Arial"/>
                <w:bCs/>
                <w:color w:val="000000" w:themeColor="text1"/>
                <w:szCs w:val="21"/>
              </w:rPr>
              <w:t>2</w:t>
            </w:r>
            <w:r>
              <w:rPr>
                <w:rFonts w:ascii="宋体" w:hAnsi="宋体" w:cs="Arial" w:hint="eastAsia"/>
                <w:bCs/>
                <w:color w:val="000000" w:themeColor="text1"/>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3660" w:type="dxa"/>
          </w:tcPr>
          <w:p w:rsidR="00AC5236" w:rsidRDefault="00351A1C">
            <w:pPr>
              <w:autoSpaceDE w:val="0"/>
              <w:autoSpaceDN w:val="0"/>
              <w:adjustRightInd w:val="0"/>
              <w:rPr>
                <w:rFonts w:ascii="宋体" w:hAnsi="宋体" w:cs="Arial"/>
                <w:bCs/>
                <w:color w:val="000000" w:themeColor="text1"/>
                <w:szCs w:val="21"/>
              </w:rPr>
            </w:pPr>
            <w:r>
              <w:rPr>
                <w:rFonts w:ascii="宋体" w:hAnsi="宋体" w:cs="Arial" w:hint="eastAsia"/>
                <w:bCs/>
                <w:color w:val="000000" w:themeColor="text1"/>
                <w:szCs w:val="21"/>
              </w:rPr>
              <w:t>一、订立本基金合同的目的、依据和原则</w:t>
            </w:r>
          </w:p>
          <w:p w:rsidR="00AC5236" w:rsidRDefault="00351A1C">
            <w:pPr>
              <w:autoSpaceDE w:val="0"/>
              <w:autoSpaceDN w:val="0"/>
              <w:adjustRightInd w:val="0"/>
              <w:rPr>
                <w:rFonts w:ascii="宋体" w:hAnsi="宋体" w:cs="Arial"/>
                <w:color w:val="000000" w:themeColor="text1"/>
                <w:szCs w:val="21"/>
              </w:rPr>
            </w:pPr>
            <w:r>
              <w:rPr>
                <w:rFonts w:ascii="宋体" w:hAnsi="宋体" w:cs="Arial"/>
                <w:bCs/>
                <w:color w:val="000000" w:themeColor="text1"/>
                <w:szCs w:val="21"/>
              </w:rPr>
              <w:t>2</w:t>
            </w:r>
            <w:r>
              <w:rPr>
                <w:rFonts w:ascii="宋体" w:hAnsi="宋体" w:cs="Arial" w:hint="eastAsia"/>
                <w:bCs/>
                <w:color w:val="000000" w:themeColor="text1"/>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第一部分 前言</w:t>
            </w:r>
          </w:p>
          <w:p w:rsidR="00AC5236" w:rsidRDefault="00351A1C">
            <w:pPr>
              <w:rPr>
                <w:rFonts w:ascii="宋体" w:hAnsi="宋体" w:cs="Arial"/>
                <w:b/>
                <w:color w:val="000000" w:themeColor="text1"/>
                <w:szCs w:val="21"/>
              </w:rPr>
            </w:pPr>
            <w:r>
              <w:rPr>
                <w:rFonts w:ascii="宋体" w:hAnsi="宋体" w:cs="Arial"/>
                <w:b/>
                <w:color w:val="000000" w:themeColor="text1"/>
                <w:szCs w:val="21"/>
              </w:rPr>
              <w:t>第三条</w:t>
            </w:r>
          </w:p>
        </w:tc>
        <w:tc>
          <w:tcPr>
            <w:tcW w:w="3365" w:type="dxa"/>
          </w:tcPr>
          <w:p w:rsidR="00AC5236" w:rsidRDefault="00AC5236">
            <w:pPr>
              <w:autoSpaceDE w:val="0"/>
              <w:autoSpaceDN w:val="0"/>
              <w:adjustRightInd w:val="0"/>
              <w:jc w:val="left"/>
              <w:rPr>
                <w:rFonts w:ascii="宋体" w:hAnsi="宋体" w:cs="Arial"/>
                <w:color w:val="000000" w:themeColor="text1"/>
                <w:szCs w:val="21"/>
              </w:rPr>
            </w:pPr>
          </w:p>
        </w:tc>
        <w:tc>
          <w:tcPr>
            <w:tcW w:w="3660" w:type="dxa"/>
          </w:tcPr>
          <w:p w:rsidR="00AC5236" w:rsidRDefault="00351A1C">
            <w:pPr>
              <w:autoSpaceDE w:val="0"/>
              <w:autoSpaceDN w:val="0"/>
              <w:adjustRightInd w:val="0"/>
              <w:rPr>
                <w:rFonts w:ascii="宋体" w:hAnsi="宋体" w:cs="Arial"/>
                <w:color w:val="000000" w:themeColor="text1"/>
                <w:szCs w:val="21"/>
              </w:rPr>
            </w:pPr>
            <w:r>
              <w:rPr>
                <w:rFonts w:ascii="宋体" w:hAnsi="宋体" w:cs="Arial"/>
                <w:color w:val="000000" w:themeColor="text1"/>
                <w:szCs w:val="21"/>
              </w:rPr>
              <w:t>增加</w:t>
            </w:r>
            <w:r>
              <w:rPr>
                <w:rFonts w:ascii="宋体" w:hAnsi="宋体" w:cs="Arial" w:hint="eastAsia"/>
                <w:color w:val="000000" w:themeColor="text1"/>
                <w:szCs w:val="21"/>
              </w:rPr>
              <w:t>：</w:t>
            </w:r>
          </w:p>
          <w:p w:rsidR="00AC5236" w:rsidRDefault="00351A1C">
            <w:pPr>
              <w:autoSpaceDE w:val="0"/>
              <w:autoSpaceDN w:val="0"/>
              <w:adjustRightInd w:val="0"/>
              <w:rPr>
                <w:rFonts w:ascii="宋体" w:hAnsi="宋体" w:cs="Arial"/>
                <w:color w:val="000000" w:themeColor="text1"/>
                <w:szCs w:val="21"/>
              </w:rPr>
            </w:pPr>
            <w:r>
              <w:rPr>
                <w:rFonts w:ascii="宋体" w:hAnsi="宋体" w:cs="Arial" w:hint="eastAsia"/>
                <w:bCs/>
                <w:color w:val="000000" w:themeColor="text1"/>
                <w:szCs w:val="21"/>
              </w:rPr>
              <w:t>本基金为指数基金，投资者投资于本基金面临跟踪误差控制未达约定目标、指数编制机构停止服务、成份券停牌、摘牌或违约等潜在风险，详见本基金招募说明书。</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b/>
                <w:color w:val="000000" w:themeColor="text1"/>
                <w:szCs w:val="21"/>
              </w:rPr>
              <w:t>第二部分 释义</w:t>
            </w:r>
          </w:p>
        </w:tc>
        <w:tc>
          <w:tcPr>
            <w:tcW w:w="3365" w:type="dxa"/>
          </w:tcPr>
          <w:p w:rsidR="00AC5236" w:rsidRDefault="00AC5236">
            <w:pPr>
              <w:autoSpaceDE w:val="0"/>
              <w:autoSpaceDN w:val="0"/>
              <w:adjustRightInd w:val="0"/>
              <w:jc w:val="left"/>
              <w:rPr>
                <w:rFonts w:ascii="宋体" w:hAnsi="宋体" w:cs="Arial"/>
                <w:bCs/>
                <w:color w:val="000000" w:themeColor="text1"/>
                <w:szCs w:val="21"/>
              </w:rPr>
            </w:pPr>
          </w:p>
        </w:tc>
        <w:tc>
          <w:tcPr>
            <w:tcW w:w="3660" w:type="dxa"/>
          </w:tcPr>
          <w:p w:rsidR="00AC5236" w:rsidRDefault="00351A1C">
            <w:pPr>
              <w:autoSpaceDE w:val="0"/>
              <w:autoSpaceDN w:val="0"/>
              <w:adjustRightInd w:val="0"/>
              <w:rPr>
                <w:rFonts w:ascii="宋体" w:hAnsi="宋体" w:cs="Arial"/>
                <w:color w:val="000000" w:themeColor="text1"/>
                <w:szCs w:val="21"/>
              </w:rPr>
            </w:pPr>
            <w:r>
              <w:rPr>
                <w:rFonts w:ascii="宋体" w:hAnsi="宋体" w:cs="Arial" w:hint="eastAsia"/>
                <w:bCs/>
                <w:color w:val="000000" w:themeColor="text1"/>
                <w:szCs w:val="21"/>
              </w:rPr>
              <w:t>15、《指数基金指引》：指中国证监会2021年1月18日颁布、同年2月1日实施的《公开募集证券投资基金运作指引第3号——指数基金指引》及颁布机关对其不时做出的修订</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第三部分基金的基本情况</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 年期农发行债券指数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农发行债券指数隶属于中债总指数族分类，该指数成分券包括中国农业发展银行在境内公开发行且上市流通的待偿期0.5至3年（包含0.5年和3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如果指数发布机构变更或停止该指数的编制及发布、或由于指数编制方法等</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重大变更导致该指数不宜继续作为标的指数，或证券市场有其他代表性更强、更适合投资的指数推出时，本基金管理人可以依据维护投资者合法权益的原则，在履行适当程序后变更本基金的标的指数。其中，若变更标的指数对基金投资范围和投资策略无实质性影响（包括但不限于指数编 制单位变更、指数更名等事项），则无需召开基金份额持有人大会，基金管理人应与基金托管 人协商一致后，报中国证监会备案并及时公告。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 年期农发行债券指数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农发行债券指数隶属于中债总指数族分类，该指数成分券包括中国农业发展银行在境内公开发行且上市流通的待偿期0.5至3年（包含0.5年和3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三、投资标的指数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中债-1-3年期农发行债券指数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农发行债券指数隶属于中债总指数族分类，该指数成分券包括中国农业发展银行在境内公开发行且上市流通的待偿期0.5至3年（包含0.5年和3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在履行适当程序后变更本基金的标的指数。其中，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三、投资标的指数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中债-1-3年期农发行债券指数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中债-1-3年农发行债券指数隶属于中债总指数族分类，该指数成分券包括中国农业发展银行在境内公开发行且上市流通的待偿期0.5至3年（包含0.5年和3年）的政策性银行债，可作为投资该类债券的业绩基准和标的指数。</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未来若出现标的指数不符合要求（因成份券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自指数编制机构停止标的指数的编制及发布至解决方案确定期间，基金管理人应按照指数编制机构提供的最近一个交易日的指数信息遵循基金份额持有人利益优先原则维持基金投资运作。</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四、投资策略</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1、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在正常市场情况下，本基金力争追求日均跟踪偏离度的绝对值不超过0.5%，将年化跟踪误差控制在2%以内。如因标的指数编制规则调整等其他原因，导致基金跟踪偏离度和跟踪误差超过了上述范围，基金管理人应采取合理措施，避免跟踪误差进一步扩大。</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四、投资策略</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1、本基金为指数基金，主要采用抽样复制和动态最优化的方法，投资于标的指数中具有代表性和流动性的成份券和备选成份券，或选择非成份券作为替代，构造与标的指数风险收益特征相似的资产组合，以实现对标的指数的有效跟踪。</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在正常市场情况下，本基金力争追求日均跟踪偏离度的绝对值不超过0.5%，将年化跟踪误差控制在2%以内。如因标的指数编制规则调整等其他原因，导致基金跟踪偏离度和跟踪误差超过了上述范围，基金管理人应采取合理措施，避免跟踪误差进一步扩大。</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指数成份券发生明显负面事件面临退市或违约风险，且指数编制机构暂未作出调整的，基金管理人应当按照基金份额持有人利益优先的原则，综合考虑成份券的退市或违约风险、其在指数中的权重以及对跟踪误差的影响，据此制定成份券替代策略，并对投资组合进行相应调整。</w:t>
            </w:r>
          </w:p>
        </w:tc>
      </w:tr>
      <w:tr w:rsidR="00AC5236">
        <w:trPr>
          <w:trHeight w:val="20"/>
          <w:jc w:val="center"/>
        </w:trPr>
        <w:tc>
          <w:tcPr>
            <w:tcW w:w="1271" w:type="dxa"/>
          </w:tcPr>
          <w:p w:rsidR="00AC5236" w:rsidRDefault="00351A1C">
            <w:pPr>
              <w:rPr>
                <w:rFonts w:ascii="宋体" w:hAnsi="宋体" w:cs="Arial"/>
                <w:b/>
                <w:color w:val="000000" w:themeColor="text1"/>
                <w:szCs w:val="21"/>
              </w:rPr>
            </w:pPr>
            <w:r>
              <w:rPr>
                <w:rFonts w:ascii="宋体" w:hAnsi="宋体" w:cs="Arial" w:hint="eastAsia"/>
                <w:b/>
                <w:color w:val="000000" w:themeColor="text1"/>
                <w:szCs w:val="21"/>
              </w:rPr>
              <w:t>第十二部分基金的投资</w:t>
            </w:r>
          </w:p>
        </w:tc>
        <w:tc>
          <w:tcPr>
            <w:tcW w:w="3365"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六、业绩比较基准</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本基金的业绩比较基准为：中债-1-3年农发行债券指数收益率*95%+银行活期存款利率(税后)*5%。</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若基金标的指数发生变更，基金业绩比较基准随之变更，基金管理人可依据维护基金份额持有人合法权益的原则，在按照监管部门要求履行适当程序后根据投资情况和市场惯例调整基金业绩比较基准，基金管理人应在调整实施前依照《信息披露办法》的有关规定在中国证监会指定媒介上刊登公告。</w:t>
            </w:r>
          </w:p>
        </w:tc>
        <w:tc>
          <w:tcPr>
            <w:tcW w:w="3660" w:type="dxa"/>
          </w:tcPr>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六、业绩比较基准</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本基金的业绩比较基准为：中债-1-3年农发行债券指数收益率*95%+银行活期存款利率(税后)*5%。</w:t>
            </w:r>
          </w:p>
          <w:p w:rsidR="00AC5236" w:rsidRDefault="00351A1C">
            <w:pPr>
              <w:rPr>
                <w:rFonts w:ascii="宋体" w:hAnsi="宋体" w:cs="Arial"/>
                <w:bCs/>
                <w:color w:val="000000" w:themeColor="text1"/>
                <w:szCs w:val="21"/>
              </w:rPr>
            </w:pPr>
            <w:r>
              <w:rPr>
                <w:rFonts w:ascii="宋体" w:hAnsi="宋体" w:cs="Arial" w:hint="eastAsia"/>
                <w:bCs/>
                <w:color w:val="000000" w:themeColor="text1"/>
                <w:szCs w:val="21"/>
              </w:rPr>
              <w:t>若基金标的指数发生变更，基金业绩比较基准随之变更，由基金管理人根据标的指数变更情形履行适当程序。</w:t>
            </w:r>
          </w:p>
          <w:p w:rsidR="00AC5236" w:rsidRDefault="00AC5236">
            <w:pPr>
              <w:rPr>
                <w:rFonts w:ascii="宋体" w:hAnsi="宋体" w:cs="Arial"/>
                <w:bCs/>
                <w:color w:val="000000" w:themeColor="text1"/>
                <w:szCs w:val="21"/>
              </w:rPr>
            </w:pPr>
          </w:p>
        </w:tc>
      </w:tr>
    </w:tbl>
    <w:p w:rsidR="00AC5236" w:rsidRDefault="00AC5236">
      <w:pPr>
        <w:widowControl/>
        <w:jc w:val="left"/>
        <w:rPr>
          <w:rFonts w:ascii="宋体" w:hAnsi="宋体"/>
          <w:color w:val="000000"/>
          <w:sz w:val="24"/>
          <w:szCs w:val="24"/>
        </w:rPr>
      </w:pPr>
    </w:p>
    <w:p w:rsidR="00AC5236" w:rsidRDefault="00AC5236">
      <w:pPr>
        <w:spacing w:line="360" w:lineRule="auto"/>
        <w:rPr>
          <w:rFonts w:ascii="宋体" w:hAnsi="宋体" w:cs="仿宋_GB2312"/>
          <w:sz w:val="30"/>
          <w:szCs w:val="30"/>
        </w:rPr>
      </w:pPr>
    </w:p>
    <w:p w:rsidR="00AC5236" w:rsidRDefault="00AC5236">
      <w:pPr>
        <w:spacing w:line="360" w:lineRule="auto"/>
        <w:jc w:val="center"/>
        <w:outlineLvl w:val="0"/>
        <w:rPr>
          <w:rFonts w:ascii="宋体" w:hAnsi="宋体"/>
          <w:b/>
          <w:color w:val="000000" w:themeColor="text1"/>
          <w:sz w:val="30"/>
          <w:szCs w:val="30"/>
        </w:rPr>
        <w:sectPr w:rsidR="00AC5236">
          <w:pgSz w:w="11906" w:h="16838"/>
          <w:pgMar w:top="1440" w:right="1800" w:bottom="1440" w:left="1800" w:header="851" w:footer="992" w:gutter="0"/>
          <w:cols w:space="425"/>
          <w:docGrid w:type="lines" w:linePitch="312"/>
        </w:sectPr>
      </w:pPr>
    </w:p>
    <w:p w:rsidR="00AC5236" w:rsidRDefault="00351A1C">
      <w:pPr>
        <w:spacing w:line="360" w:lineRule="auto"/>
        <w:jc w:val="center"/>
        <w:outlineLvl w:val="0"/>
        <w:rPr>
          <w:rFonts w:ascii="宋体" w:hAnsi="宋体"/>
          <w:b/>
          <w:color w:val="000000" w:themeColor="text1"/>
          <w:sz w:val="28"/>
          <w:szCs w:val="28"/>
        </w:rPr>
      </w:pPr>
      <w:r>
        <w:rPr>
          <w:rFonts w:ascii="宋体" w:hAnsi="宋体" w:hint="eastAsia"/>
          <w:b/>
          <w:color w:val="000000" w:themeColor="text1"/>
          <w:sz w:val="30"/>
          <w:szCs w:val="30"/>
        </w:rPr>
        <w:t>《民生加银中证港股通高股息精选指数证券投资基金基金合同》修改前后文对照表</w:t>
      </w:r>
    </w:p>
    <w:tbl>
      <w:tblPr>
        <w:tblStyle w:val="a9"/>
        <w:tblW w:w="8296" w:type="dxa"/>
        <w:tblLayout w:type="fixed"/>
        <w:tblLook w:val="04A0"/>
      </w:tblPr>
      <w:tblGrid>
        <w:gridCol w:w="1271"/>
        <w:gridCol w:w="3402"/>
        <w:gridCol w:w="3623"/>
      </w:tblGrid>
      <w:tr w:rsidR="00AC5236" w:rsidTr="00F7100A">
        <w:tc>
          <w:tcPr>
            <w:tcW w:w="1271" w:type="dxa"/>
          </w:tcPr>
          <w:p w:rsidR="00AC5236" w:rsidRDefault="00351A1C">
            <w:pPr>
              <w:jc w:val="center"/>
              <w:rPr>
                <w:rFonts w:ascii="宋体" w:hAnsi="宋体"/>
                <w:b/>
              </w:rPr>
            </w:pPr>
            <w:r>
              <w:rPr>
                <w:rFonts w:ascii="宋体" w:hAnsi="宋体" w:hint="eastAsia"/>
                <w:b/>
              </w:rPr>
              <w:t>章节</w:t>
            </w:r>
          </w:p>
        </w:tc>
        <w:tc>
          <w:tcPr>
            <w:tcW w:w="3402" w:type="dxa"/>
          </w:tcPr>
          <w:p w:rsidR="00AC5236" w:rsidRDefault="00351A1C">
            <w:pPr>
              <w:jc w:val="center"/>
              <w:rPr>
                <w:rFonts w:ascii="宋体" w:hAnsi="宋体"/>
                <w:b/>
              </w:rPr>
            </w:pPr>
            <w:r>
              <w:rPr>
                <w:rFonts w:ascii="宋体" w:hAnsi="宋体" w:hint="eastAsia"/>
                <w:b/>
              </w:rPr>
              <w:t>修订前</w:t>
            </w:r>
          </w:p>
        </w:tc>
        <w:tc>
          <w:tcPr>
            <w:tcW w:w="3623" w:type="dxa"/>
          </w:tcPr>
          <w:p w:rsidR="00AC5236" w:rsidRDefault="00351A1C">
            <w:pPr>
              <w:jc w:val="center"/>
              <w:rPr>
                <w:rFonts w:ascii="宋体" w:hAnsi="宋体"/>
                <w:b/>
              </w:rPr>
            </w:pPr>
            <w:r>
              <w:rPr>
                <w:rFonts w:ascii="宋体" w:hAnsi="宋体" w:hint="eastAsia"/>
                <w:b/>
              </w:rPr>
              <w:t>修订后</w:t>
            </w:r>
          </w:p>
        </w:tc>
      </w:tr>
      <w:tr w:rsidR="00AC5236" w:rsidTr="00F7100A">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一、订立本基金合同的目的、依据和原则</w:t>
            </w:r>
          </w:p>
        </w:tc>
        <w:tc>
          <w:tcPr>
            <w:tcW w:w="3402"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内地与香港股票市场交易互联互通机制若干规定》、《证券基金经营机构参与内地与香港股票市场交易互联互通指引》、《上海证券交易所沪港通试点办法》、《深圳证券交易所深港通业务实施办法》和其他有关法律法规。</w:t>
            </w:r>
          </w:p>
        </w:tc>
        <w:tc>
          <w:tcPr>
            <w:tcW w:w="3623"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内地与香港股票市场交易互联互通机制若干规定》、《证券基金经营机构参与内地与香港股票市场交易互联互通指引》、《上海证券交易所沪港通试点办法》、《深圳证券交易所深港通业务实施办法》、《公开募集证券投资基金运作指引第3号——指数基金指引》（以下简称“《指数基金指引》”）和其他有关法律法规。</w:t>
            </w:r>
          </w:p>
        </w:tc>
      </w:tr>
      <w:tr w:rsidR="00AC5236" w:rsidTr="00F7100A">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第三条</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本基金为指数基金，投资者投资于本基金面临跟踪误差控制未达约定目标、指数编制机构停止服务、成份股停牌等潜在风险，详见本基金招募说明书。</w:t>
            </w:r>
          </w:p>
        </w:tc>
      </w:tr>
      <w:tr w:rsidR="00AC5236" w:rsidTr="00F7100A">
        <w:tc>
          <w:tcPr>
            <w:tcW w:w="1271" w:type="dxa"/>
          </w:tcPr>
          <w:p w:rsidR="00AC5236" w:rsidRDefault="00351A1C">
            <w:pPr>
              <w:rPr>
                <w:rFonts w:ascii="宋体" w:hAnsi="宋体"/>
                <w:b/>
              </w:rPr>
            </w:pPr>
            <w:r>
              <w:rPr>
                <w:rFonts w:ascii="宋体" w:hAnsi="宋体" w:hint="eastAsia"/>
                <w:b/>
              </w:rPr>
              <w:t>第二部分 释义</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1</w:t>
            </w:r>
            <w:r>
              <w:rPr>
                <w:rFonts w:ascii="宋体" w:hAnsi="宋体"/>
              </w:rPr>
              <w:t>5</w:t>
            </w:r>
            <w:r>
              <w:rPr>
                <w:rFonts w:ascii="宋体" w:hAnsi="宋体" w:hint="eastAsia"/>
              </w:rPr>
              <w:t>、《指数基金指引》：指中国证监会2021年1月1</w:t>
            </w:r>
            <w:r>
              <w:rPr>
                <w:rFonts w:ascii="宋体" w:hAnsi="宋体"/>
              </w:rPr>
              <w:t>8</w:t>
            </w:r>
            <w:r>
              <w:rPr>
                <w:rFonts w:ascii="宋体" w:hAnsi="宋体" w:hint="eastAsia"/>
              </w:rPr>
              <w:t>日颁布、同年2月1日实施的《公开募集证券投资基金运作指引第3号——指数基金指引》及颁布机关对其不时做出的修订</w:t>
            </w:r>
          </w:p>
        </w:tc>
      </w:tr>
      <w:tr w:rsidR="00AC5236" w:rsidTr="00F7100A">
        <w:tc>
          <w:tcPr>
            <w:tcW w:w="1271" w:type="dxa"/>
          </w:tcPr>
          <w:p w:rsidR="00AC5236" w:rsidRDefault="00351A1C">
            <w:pPr>
              <w:rPr>
                <w:rFonts w:ascii="宋体" w:hAnsi="宋体"/>
                <w:b/>
              </w:rPr>
            </w:pPr>
            <w:r>
              <w:rPr>
                <w:rFonts w:ascii="宋体" w:hAnsi="宋体" w:hint="eastAsia"/>
                <w:b/>
              </w:rPr>
              <w:t>第三部分 基金的基本情况</w:t>
            </w:r>
          </w:p>
        </w:tc>
        <w:tc>
          <w:tcPr>
            <w:tcW w:w="3402" w:type="dxa"/>
          </w:tcPr>
          <w:p w:rsidR="00AC5236" w:rsidRDefault="00351A1C">
            <w:pPr>
              <w:rPr>
                <w:rFonts w:ascii="宋体" w:hAnsi="宋体"/>
              </w:rPr>
            </w:pPr>
            <w:r>
              <w:rPr>
                <w:rFonts w:ascii="宋体" w:hAnsi="宋体" w:hint="eastAsia"/>
              </w:rPr>
              <w:t>如果指数发布机构变更或停止该指数的编制及发布、或由于指数编制方法等重大变更导致该指数不宜继续作为标的指数，或证券市场有其他代表性更强、更适合投资的指数推出时，本基金管理人可以依据维护投资者合法权益的原则，变更本基金的标的指数。</w:t>
            </w:r>
          </w:p>
        </w:tc>
        <w:tc>
          <w:tcPr>
            <w:tcW w:w="3623" w:type="dxa"/>
          </w:tcPr>
          <w:p w:rsidR="00AC5236" w:rsidRDefault="00351A1C">
            <w:pPr>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 。</w:t>
            </w:r>
          </w:p>
          <w:p w:rsidR="00AC5236" w:rsidRDefault="00351A1C">
            <w:pPr>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tc>
      </w:tr>
      <w:tr w:rsidR="00AC5236" w:rsidTr="00F7100A">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rPr>
            </w:pPr>
            <w:r>
              <w:rPr>
                <w:rFonts w:ascii="宋体" w:hAnsi="宋体" w:hint="eastAsia"/>
              </w:rPr>
              <w:t xml:space="preserve">三、投资策略 </w:t>
            </w:r>
          </w:p>
          <w:p w:rsidR="00AC5236" w:rsidRDefault="00351A1C">
            <w:pPr>
              <w:rPr>
                <w:rFonts w:ascii="宋体" w:hAnsi="宋体"/>
                <w:b/>
              </w:rPr>
            </w:pPr>
            <w:r>
              <w:rPr>
                <w:rFonts w:ascii="宋体" w:hAnsi="宋体"/>
              </w:rPr>
              <w:t>1</w:t>
            </w:r>
            <w:r>
              <w:rPr>
                <w:rFonts w:ascii="宋体" w:hAnsi="宋体" w:hint="eastAsia"/>
              </w:rPr>
              <w:t>、资产配置策略</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tc>
      </w:tr>
      <w:tr w:rsidR="00AC5236" w:rsidTr="00F7100A">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rPr>
            </w:pPr>
            <w:r>
              <w:rPr>
                <w:rFonts w:ascii="宋体" w:hAnsi="宋体" w:hint="eastAsia"/>
              </w:rPr>
              <w:t>五、业绩比较基准</w:t>
            </w:r>
          </w:p>
        </w:tc>
        <w:tc>
          <w:tcPr>
            <w:tcW w:w="3402" w:type="dxa"/>
          </w:tcPr>
          <w:p w:rsidR="00AC5236" w:rsidRDefault="00351A1C">
            <w:pPr>
              <w:rPr>
                <w:rFonts w:ascii="宋体" w:hAnsi="宋体"/>
              </w:rPr>
            </w:pPr>
            <w:r>
              <w:rPr>
                <w:rFonts w:ascii="宋体" w:hAnsi="宋体" w:hint="eastAsia"/>
              </w:rPr>
              <w:t>中证港股通高股息精选指数收益率（使用估值汇率折算）×95%＋银行活期存款利率（税后）×5%。</w:t>
            </w:r>
          </w:p>
          <w:p w:rsidR="00AC5236" w:rsidRDefault="00351A1C">
            <w:pPr>
              <w:rPr>
                <w:rFonts w:ascii="宋体" w:hAnsi="宋体"/>
              </w:rPr>
            </w:pPr>
            <w:r>
              <w:rPr>
                <w:rFonts w:ascii="宋体" w:hAnsi="宋体" w:hint="eastAsia"/>
              </w:rPr>
              <w:t>中证港股通高股息精选指数从符合港股通条件的港股中选取30只流动性好、连续分红、股息率高、盈利持续且具有成长性的股票作为指数样本股，采用股息率加权，以反映香港市场股息率高、盈利持续且具有成长性的股票的整体表现。</w:t>
            </w:r>
          </w:p>
          <w:p w:rsidR="00AC5236" w:rsidRDefault="00351A1C">
            <w:pPr>
              <w:rPr>
                <w:rFonts w:ascii="宋体" w:hAnsi="宋体"/>
              </w:rPr>
            </w:pPr>
            <w:r>
              <w:rPr>
                <w:rFonts w:ascii="宋体" w:hAnsi="宋体" w:hint="eastAsia"/>
              </w:rPr>
              <w:t>若基金标的指数发生变更，基金业绩比较基准随之变更，本基金管理人可以依据维护基金份额持有人合法权益的原则，根据实际情况对业绩比较基准进行相应调整。调整业绩比较基准应经基金托管人同意，并报中国证监会备案。若业绩比较基准变更对基金投资无实质性影响，基金管理人应在调整实施前2个工作日在指定媒介上予以公告，而无需召开基金份额持有人大会审议。</w:t>
            </w:r>
          </w:p>
        </w:tc>
        <w:tc>
          <w:tcPr>
            <w:tcW w:w="3623" w:type="dxa"/>
          </w:tcPr>
          <w:p w:rsidR="00AC5236" w:rsidRDefault="00351A1C">
            <w:pPr>
              <w:rPr>
                <w:rFonts w:ascii="宋体" w:hAnsi="宋体"/>
              </w:rPr>
            </w:pPr>
            <w:r>
              <w:rPr>
                <w:rFonts w:ascii="宋体" w:hAnsi="宋体" w:hint="eastAsia"/>
              </w:rPr>
              <w:t>中证港股通高股息精选指数收益率（使用估值汇率折算）×95%＋银行活期存款利率（税后）×5%。</w:t>
            </w:r>
          </w:p>
          <w:p w:rsidR="00AC5236" w:rsidRDefault="00351A1C">
            <w:pPr>
              <w:rPr>
                <w:rFonts w:ascii="宋体" w:hAnsi="宋体"/>
              </w:rPr>
            </w:pPr>
            <w:r>
              <w:rPr>
                <w:rFonts w:ascii="宋体" w:hAnsi="宋体" w:hint="eastAsia"/>
              </w:rPr>
              <w:t>中证港股通高股息精选指数从符合港股通条件的港股中选取30只流动性好、连续分红、股息率高、盈利持续且具有成长性的股票作为指数样本股，采用股息率加权，以反映香港市场股息率高、盈利持续且具有成长性的股票的整体表现。</w:t>
            </w:r>
          </w:p>
          <w:p w:rsidR="00AC5236" w:rsidRDefault="00351A1C">
            <w:pPr>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AC5236" w:rsidRDefault="00351A1C">
            <w:pPr>
              <w:rPr>
                <w:rFonts w:ascii="宋体" w:hAnsi="宋体"/>
              </w:rPr>
            </w:pPr>
            <w:r>
              <w:rPr>
                <w:rFonts w:ascii="宋体" w:hAnsi="宋体" w:hint="eastAsia"/>
              </w:rPr>
              <w:t>若基金标的指数发生变更，基金业绩比较基准随之变更，由基金管理人根据标的指数变更情形履行适当程序。</w:t>
            </w:r>
          </w:p>
        </w:tc>
      </w:tr>
    </w:tbl>
    <w:p w:rsidR="00AC5236" w:rsidRDefault="00AC5236">
      <w:pPr>
        <w:spacing w:line="360" w:lineRule="auto"/>
        <w:rPr>
          <w:rFonts w:ascii="宋体" w:hAnsi="宋体"/>
          <w:sz w:val="24"/>
          <w:szCs w:val="24"/>
        </w:rPr>
      </w:pPr>
    </w:p>
    <w:p w:rsidR="00AC5236" w:rsidRDefault="00AC5236">
      <w:pPr>
        <w:spacing w:line="360" w:lineRule="auto"/>
        <w:jc w:val="center"/>
        <w:outlineLvl w:val="0"/>
        <w:rPr>
          <w:rFonts w:ascii="宋体" w:hAnsi="宋体"/>
          <w:b/>
          <w:color w:val="000000" w:themeColor="text1"/>
          <w:sz w:val="30"/>
          <w:szCs w:val="30"/>
        </w:rPr>
        <w:sectPr w:rsidR="00AC5236">
          <w:pgSz w:w="11906" w:h="16838"/>
          <w:pgMar w:top="1440" w:right="1800" w:bottom="1440" w:left="1800" w:header="851" w:footer="992" w:gutter="0"/>
          <w:cols w:space="425"/>
          <w:docGrid w:type="lines" w:linePitch="312"/>
        </w:sectPr>
      </w:pPr>
    </w:p>
    <w:p w:rsidR="00AC5236" w:rsidRDefault="00351A1C">
      <w:pPr>
        <w:spacing w:line="360" w:lineRule="auto"/>
        <w:jc w:val="center"/>
        <w:outlineLvl w:val="0"/>
        <w:rPr>
          <w:rFonts w:ascii="宋体" w:hAnsi="宋体"/>
          <w:b/>
          <w:color w:val="000000" w:themeColor="text1"/>
          <w:sz w:val="28"/>
          <w:szCs w:val="28"/>
        </w:rPr>
      </w:pPr>
      <w:r>
        <w:rPr>
          <w:rFonts w:ascii="宋体" w:hAnsi="宋体" w:hint="eastAsia"/>
          <w:b/>
          <w:color w:val="000000" w:themeColor="text1"/>
          <w:sz w:val="30"/>
          <w:szCs w:val="30"/>
        </w:rPr>
        <w:t>《民生加银沪深300交易型开放式指数证券投资基金基金合同》修改前后文对照表</w:t>
      </w:r>
    </w:p>
    <w:tbl>
      <w:tblPr>
        <w:tblStyle w:val="a9"/>
        <w:tblW w:w="8296" w:type="dxa"/>
        <w:tblLayout w:type="fixed"/>
        <w:tblLook w:val="04A0"/>
      </w:tblPr>
      <w:tblGrid>
        <w:gridCol w:w="1271"/>
        <w:gridCol w:w="3402"/>
        <w:gridCol w:w="3623"/>
      </w:tblGrid>
      <w:tr w:rsidR="00AC5236">
        <w:tc>
          <w:tcPr>
            <w:tcW w:w="1271" w:type="dxa"/>
          </w:tcPr>
          <w:p w:rsidR="00AC5236" w:rsidRDefault="00351A1C">
            <w:pPr>
              <w:jc w:val="center"/>
              <w:rPr>
                <w:rFonts w:ascii="宋体" w:hAnsi="宋体"/>
                <w:b/>
              </w:rPr>
            </w:pPr>
            <w:r>
              <w:rPr>
                <w:rFonts w:ascii="宋体" w:hAnsi="宋体" w:hint="eastAsia"/>
                <w:b/>
              </w:rPr>
              <w:t>章节</w:t>
            </w:r>
          </w:p>
        </w:tc>
        <w:tc>
          <w:tcPr>
            <w:tcW w:w="3402" w:type="dxa"/>
          </w:tcPr>
          <w:p w:rsidR="00AC5236" w:rsidRDefault="00351A1C">
            <w:pPr>
              <w:jc w:val="center"/>
              <w:rPr>
                <w:rFonts w:ascii="宋体" w:hAnsi="宋体"/>
                <w:b/>
              </w:rPr>
            </w:pPr>
            <w:r>
              <w:rPr>
                <w:rFonts w:ascii="宋体" w:hAnsi="宋体" w:hint="eastAsia"/>
                <w:b/>
              </w:rPr>
              <w:t>修订前</w:t>
            </w:r>
          </w:p>
        </w:tc>
        <w:tc>
          <w:tcPr>
            <w:tcW w:w="3623" w:type="dxa"/>
          </w:tcPr>
          <w:p w:rsidR="00AC5236" w:rsidRDefault="00351A1C">
            <w:pPr>
              <w:jc w:val="center"/>
              <w:rPr>
                <w:rFonts w:ascii="宋体" w:hAnsi="宋体"/>
                <w:b/>
              </w:rPr>
            </w:pPr>
            <w:r>
              <w:rPr>
                <w:rFonts w:ascii="宋体" w:hAnsi="宋体" w:hint="eastAsia"/>
                <w:b/>
              </w:rPr>
              <w:t>修订后</w:t>
            </w:r>
          </w:p>
        </w:tc>
      </w:tr>
      <w:tr w:rsidR="00AC5236">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一、订立本基金合同的目的、依据和原则</w:t>
            </w:r>
          </w:p>
        </w:tc>
        <w:tc>
          <w:tcPr>
            <w:tcW w:w="3402"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3623"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w:t>
            </w:r>
          </w:p>
        </w:tc>
      </w:tr>
      <w:tr w:rsidR="00AC5236">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第三条</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rPr>
              <w:t>增加</w:t>
            </w:r>
            <w:r>
              <w:rPr>
                <w:rFonts w:ascii="宋体" w:hAnsi="宋体" w:hint="eastAsia"/>
              </w:rPr>
              <w:t>：</w:t>
            </w:r>
          </w:p>
          <w:p w:rsidR="00AC5236" w:rsidRDefault="00351A1C">
            <w:pPr>
              <w:rPr>
                <w:rFonts w:ascii="宋体" w:hAnsi="宋体"/>
              </w:rPr>
            </w:pPr>
            <w:r>
              <w:rPr>
                <w:rFonts w:ascii="宋体" w:hAnsi="宋体" w:hint="eastAsia"/>
              </w:rPr>
              <w:t>本基金为指数基金，投资者投资于本基金面临跟踪误差控制未达约定目标、指数编制机构停止服务、成份股停牌等潜在风险，详见本基金招募说明书。</w:t>
            </w:r>
          </w:p>
        </w:tc>
      </w:tr>
      <w:tr w:rsidR="00AC5236">
        <w:tc>
          <w:tcPr>
            <w:tcW w:w="1271" w:type="dxa"/>
          </w:tcPr>
          <w:p w:rsidR="00AC5236" w:rsidRDefault="00351A1C">
            <w:pPr>
              <w:rPr>
                <w:rFonts w:ascii="宋体" w:hAnsi="宋体"/>
                <w:b/>
              </w:rPr>
            </w:pPr>
            <w:r>
              <w:rPr>
                <w:rFonts w:ascii="宋体" w:hAnsi="宋体" w:hint="eastAsia"/>
                <w:b/>
              </w:rPr>
              <w:t>第二部分 释义</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rPr>
              <w:t>16</w:t>
            </w:r>
            <w:r>
              <w:rPr>
                <w:rFonts w:ascii="宋体" w:hAnsi="宋体" w:hint="eastAsia"/>
              </w:rPr>
              <w:t>、《指数基金指引》：指中国证监会2021年1月1</w:t>
            </w:r>
            <w:r>
              <w:rPr>
                <w:rFonts w:ascii="宋体" w:hAnsi="宋体"/>
              </w:rPr>
              <w:t>8</w:t>
            </w:r>
            <w:r>
              <w:rPr>
                <w:rFonts w:ascii="宋体" w:hAnsi="宋体" w:hint="eastAsia"/>
              </w:rPr>
              <w:t>日颁布、同年2月1日实施的《公开募集证券投资基金运作指引第3号——指数基金指引》及颁布机关对其不时做出的修订</w:t>
            </w:r>
          </w:p>
        </w:tc>
      </w:tr>
      <w:tr w:rsidR="00AC5236">
        <w:tc>
          <w:tcPr>
            <w:tcW w:w="1271" w:type="dxa"/>
          </w:tcPr>
          <w:p w:rsidR="00AC5236" w:rsidRDefault="00351A1C">
            <w:pPr>
              <w:rPr>
                <w:rFonts w:ascii="宋体" w:hAnsi="宋体"/>
              </w:rPr>
            </w:pPr>
            <w:r>
              <w:rPr>
                <w:rFonts w:ascii="宋体" w:hAnsi="宋体" w:hint="eastAsia"/>
                <w:b/>
              </w:rPr>
              <w:t>第十四部分 基金的投资</w:t>
            </w:r>
          </w:p>
          <w:p w:rsidR="00AC5236" w:rsidRDefault="00351A1C">
            <w:pPr>
              <w:rPr>
                <w:rFonts w:ascii="宋体" w:hAnsi="宋体"/>
              </w:rPr>
            </w:pPr>
            <w:r>
              <w:rPr>
                <w:rFonts w:ascii="宋体" w:hAnsi="宋体" w:hint="eastAsia"/>
              </w:rPr>
              <w:t xml:space="preserve">三、投资策略 </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tc>
      </w:tr>
      <w:tr w:rsidR="00AC5236">
        <w:tc>
          <w:tcPr>
            <w:tcW w:w="1271" w:type="dxa"/>
          </w:tcPr>
          <w:p w:rsidR="00AC5236" w:rsidRDefault="00351A1C">
            <w:pPr>
              <w:rPr>
                <w:rFonts w:ascii="宋体" w:hAnsi="宋体"/>
              </w:rPr>
            </w:pPr>
            <w:r>
              <w:rPr>
                <w:rFonts w:ascii="宋体" w:hAnsi="宋体" w:hint="eastAsia"/>
                <w:b/>
              </w:rPr>
              <w:t>第十四部分 基金的投资</w:t>
            </w:r>
          </w:p>
          <w:p w:rsidR="00AC5236" w:rsidRDefault="00351A1C">
            <w:pPr>
              <w:rPr>
                <w:rFonts w:ascii="宋体" w:hAnsi="宋体"/>
              </w:rPr>
            </w:pPr>
            <w:r>
              <w:rPr>
                <w:rFonts w:ascii="宋体" w:hAnsi="宋体" w:hint="eastAsia"/>
              </w:rPr>
              <w:t>六、标的指数和业绩比较基准</w:t>
            </w:r>
          </w:p>
        </w:tc>
        <w:tc>
          <w:tcPr>
            <w:tcW w:w="3402" w:type="dxa"/>
          </w:tcPr>
          <w:p w:rsidR="00AC5236" w:rsidRDefault="00351A1C">
            <w:pPr>
              <w:ind w:firstLineChars="200" w:firstLine="420"/>
              <w:rPr>
                <w:rFonts w:ascii="宋体" w:hAnsi="宋体"/>
                <w:bCs/>
              </w:rPr>
            </w:pPr>
            <w:r>
              <w:rPr>
                <w:rFonts w:ascii="宋体" w:hAnsi="宋体" w:hint="eastAsia"/>
                <w:bCs/>
              </w:rPr>
              <w:t>1、标的指数</w:t>
            </w:r>
          </w:p>
          <w:p w:rsidR="00AC5236" w:rsidRDefault="00351A1C">
            <w:pPr>
              <w:ind w:firstLineChars="200" w:firstLine="420"/>
              <w:rPr>
                <w:rFonts w:ascii="宋体" w:hAnsi="宋体"/>
                <w:bCs/>
              </w:rPr>
            </w:pPr>
            <w:r>
              <w:rPr>
                <w:rFonts w:ascii="宋体" w:hAnsi="宋体" w:hint="eastAsia"/>
                <w:bCs/>
              </w:rPr>
              <w:t>本基金标的指数为沪深300指数。</w:t>
            </w:r>
          </w:p>
          <w:p w:rsidR="00AC5236" w:rsidRDefault="00351A1C">
            <w:pPr>
              <w:ind w:firstLineChars="200" w:firstLine="420"/>
              <w:rPr>
                <w:rFonts w:ascii="宋体" w:hAnsi="宋体"/>
              </w:rPr>
            </w:pPr>
            <w:r>
              <w:rPr>
                <w:rFonts w:ascii="宋体" w:hAnsi="宋体" w:hint="eastAsia"/>
                <w:bCs/>
              </w:rPr>
              <w:t>如果标的指数被停止编制及发布，或标的指数由其他指数替代（单纯更名除外），或由于指数编制方法等重大变更导致标的指数不宜继续作为标的指数，或证券市场上有代表性更强、更适合投资的指数推出，本基金管理人可以依据审慎性原则和维护基金份额持有人合法权益的原则，经与基金托管人协商一致，在履行适当程序后，依法变更本基金的标的指数和投资对象，并依据市场代表性、流动性、与原指数的相关性等诸多因素选择确定新的标的指数。</w:t>
            </w:r>
          </w:p>
          <w:p w:rsidR="00AC5236" w:rsidRDefault="00351A1C">
            <w:pPr>
              <w:ind w:firstLineChars="200" w:firstLine="420"/>
              <w:rPr>
                <w:rFonts w:ascii="宋体" w:hAnsi="宋体"/>
              </w:rPr>
            </w:pPr>
            <w:r>
              <w:rPr>
                <w:rFonts w:ascii="宋体" w:hAnsi="宋体" w:hint="eastAsia"/>
                <w:bCs/>
              </w:rPr>
              <w:t>由于上述原因变更标的指数，若标的指数变更涉及本系列基金投资范围或投资策略的实质性变更，则基金管理人应就变更标的指数召开基金份额持有人大会，报中国证监会备案，并在指定媒介上公告。若标的指数变更对基金投资无实质性影响（包括但不限于编制机构变更、指数更名等），则无需召开基金份额持有人大会，基金管理人应与基金托管人协商一致后，在按照监管部门要求履行适当程序后变更并及时公告。</w:t>
            </w:r>
          </w:p>
          <w:p w:rsidR="00AC5236" w:rsidRDefault="00351A1C">
            <w:pPr>
              <w:ind w:firstLineChars="200" w:firstLine="420"/>
              <w:rPr>
                <w:rFonts w:ascii="宋体" w:hAnsi="宋体"/>
              </w:rPr>
            </w:pPr>
            <w:r>
              <w:rPr>
                <w:rFonts w:ascii="宋体" w:hAnsi="宋体"/>
              </w:rPr>
              <w:t>2</w:t>
            </w:r>
            <w:r>
              <w:rPr>
                <w:rFonts w:ascii="宋体" w:hAnsi="宋体" w:hint="eastAsia"/>
              </w:rPr>
              <w:t>、业绩比较基准</w:t>
            </w:r>
          </w:p>
          <w:p w:rsidR="00AC5236" w:rsidRDefault="00351A1C">
            <w:pPr>
              <w:ind w:firstLineChars="200" w:firstLine="420"/>
              <w:rPr>
                <w:rFonts w:ascii="宋体" w:hAnsi="宋体"/>
              </w:rPr>
            </w:pPr>
            <w:r>
              <w:rPr>
                <w:rFonts w:ascii="宋体" w:hAnsi="宋体" w:hint="eastAsia"/>
              </w:rPr>
              <w:t>本基金的业绩比较基准为标的指数收益率。</w:t>
            </w:r>
          </w:p>
          <w:p w:rsidR="00AC5236" w:rsidRDefault="00351A1C">
            <w:pPr>
              <w:ind w:firstLineChars="200" w:firstLine="420"/>
              <w:rPr>
                <w:rFonts w:ascii="宋体" w:hAnsi="宋体"/>
              </w:rPr>
            </w:pPr>
            <w:r>
              <w:rPr>
                <w:rFonts w:ascii="宋体" w:hAnsi="宋体" w:hint="eastAsia"/>
              </w:rPr>
              <w:t>若基金标的指数发生变更，基金业绩比较基准随之变更，在基金管理人取得基金托管人同意后，可依据维护基金份额持有人合法权益的原则，根据投资情况和市场惯例在按照监管部门要求履行适当程序后调整基金业绩比较基准的组成和权重并及时公告，且无需召开基金份额持有人大会。</w:t>
            </w:r>
          </w:p>
        </w:tc>
        <w:tc>
          <w:tcPr>
            <w:tcW w:w="3623" w:type="dxa"/>
          </w:tcPr>
          <w:p w:rsidR="00AC5236" w:rsidRDefault="00351A1C">
            <w:pPr>
              <w:rPr>
                <w:rFonts w:ascii="宋体" w:hAnsi="宋体"/>
              </w:rPr>
            </w:pPr>
            <w:r>
              <w:rPr>
                <w:rFonts w:ascii="宋体" w:hAnsi="宋体" w:hint="eastAsia"/>
              </w:rPr>
              <w:t>1、标的指数</w:t>
            </w:r>
          </w:p>
          <w:p w:rsidR="00AC5236" w:rsidRDefault="00351A1C">
            <w:pPr>
              <w:ind w:firstLineChars="200" w:firstLine="420"/>
              <w:rPr>
                <w:rFonts w:ascii="宋体" w:hAnsi="宋体"/>
              </w:rPr>
            </w:pPr>
            <w:r>
              <w:rPr>
                <w:rFonts w:ascii="宋体" w:hAnsi="宋体" w:hint="eastAsia"/>
              </w:rPr>
              <w:t>本基金标的指数为沪深300指数。</w:t>
            </w:r>
          </w:p>
          <w:p w:rsidR="00AC5236" w:rsidRDefault="00351A1C">
            <w:pPr>
              <w:ind w:firstLineChars="200" w:firstLine="420"/>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AC5236" w:rsidRDefault="00351A1C">
            <w:pPr>
              <w:ind w:firstLineChars="200" w:firstLine="420"/>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AC5236" w:rsidRDefault="00351A1C">
            <w:pPr>
              <w:ind w:firstLineChars="200" w:firstLine="420"/>
              <w:rPr>
                <w:rFonts w:ascii="宋体" w:hAnsi="宋体"/>
              </w:rPr>
            </w:pPr>
            <w:r>
              <w:rPr>
                <w:rFonts w:ascii="宋体" w:hAnsi="宋体"/>
              </w:rPr>
              <w:t>2</w:t>
            </w:r>
            <w:r>
              <w:rPr>
                <w:rFonts w:ascii="宋体" w:hAnsi="宋体" w:hint="eastAsia"/>
              </w:rPr>
              <w:t>、业绩比较基准</w:t>
            </w:r>
          </w:p>
          <w:p w:rsidR="00AC5236" w:rsidRDefault="00351A1C">
            <w:pPr>
              <w:ind w:firstLineChars="200" w:firstLine="420"/>
              <w:rPr>
                <w:rFonts w:ascii="宋体" w:hAnsi="宋体"/>
              </w:rPr>
            </w:pPr>
            <w:r>
              <w:rPr>
                <w:rFonts w:ascii="宋体" w:hAnsi="宋体" w:hint="eastAsia"/>
              </w:rPr>
              <w:t>本基金的业绩比较基准为标的指数收益率。</w:t>
            </w:r>
          </w:p>
          <w:p w:rsidR="00AC5236" w:rsidRDefault="00351A1C">
            <w:pPr>
              <w:ind w:firstLineChars="200" w:firstLine="420"/>
              <w:rPr>
                <w:rFonts w:ascii="宋体" w:hAnsi="宋体"/>
              </w:rPr>
            </w:pPr>
            <w:r>
              <w:rPr>
                <w:rFonts w:ascii="宋体" w:hAnsi="宋体" w:hint="eastAsia"/>
              </w:rPr>
              <w:t>若基金标的指数发生变更，基金业绩比较基准随之变更，由基金管理人根据标的指数变更情形履行适当程序。</w:t>
            </w:r>
          </w:p>
        </w:tc>
      </w:tr>
    </w:tbl>
    <w:p w:rsidR="00AC5236" w:rsidRDefault="00AC5236">
      <w:pPr>
        <w:jc w:val="center"/>
        <w:rPr>
          <w:rFonts w:ascii="宋体" w:hAnsi="宋体" w:cs="仿宋_GB2312"/>
          <w:b/>
          <w:sz w:val="30"/>
          <w:szCs w:val="30"/>
        </w:rPr>
      </w:pPr>
    </w:p>
    <w:p w:rsidR="00AC5236" w:rsidRDefault="00AC5236">
      <w:pPr>
        <w:spacing w:line="360" w:lineRule="auto"/>
        <w:rPr>
          <w:rFonts w:ascii="宋体" w:hAnsi="宋体"/>
          <w:sz w:val="24"/>
          <w:szCs w:val="24"/>
        </w:rPr>
      </w:pPr>
    </w:p>
    <w:p w:rsidR="00AC5236" w:rsidRDefault="00AC5236">
      <w:pPr>
        <w:spacing w:line="360" w:lineRule="auto"/>
        <w:jc w:val="center"/>
        <w:outlineLvl w:val="0"/>
        <w:rPr>
          <w:rFonts w:ascii="宋体" w:hAnsi="宋体"/>
          <w:b/>
          <w:color w:val="000000" w:themeColor="text1"/>
          <w:sz w:val="30"/>
          <w:szCs w:val="30"/>
        </w:rPr>
        <w:sectPr w:rsidR="00AC5236">
          <w:pgSz w:w="11906" w:h="16838"/>
          <w:pgMar w:top="1440" w:right="1800" w:bottom="1440" w:left="1800" w:header="851" w:footer="992" w:gutter="0"/>
          <w:cols w:space="425"/>
          <w:docGrid w:type="lines" w:linePitch="312"/>
        </w:sectPr>
      </w:pPr>
    </w:p>
    <w:p w:rsidR="00AC5236" w:rsidRDefault="00351A1C">
      <w:pPr>
        <w:spacing w:line="360" w:lineRule="auto"/>
        <w:jc w:val="center"/>
        <w:outlineLvl w:val="0"/>
        <w:rPr>
          <w:rFonts w:ascii="宋体" w:hAnsi="宋体"/>
          <w:b/>
          <w:color w:val="000000" w:themeColor="text1"/>
          <w:sz w:val="28"/>
          <w:szCs w:val="28"/>
        </w:rPr>
      </w:pPr>
      <w:r>
        <w:rPr>
          <w:rFonts w:ascii="宋体" w:hAnsi="宋体" w:hint="eastAsia"/>
          <w:b/>
          <w:color w:val="000000" w:themeColor="text1"/>
          <w:sz w:val="30"/>
          <w:szCs w:val="30"/>
        </w:rPr>
        <w:t>《民生加银沪深300交易型开放式指数证券投资基金联接基金基金合同》修改前后文对照表</w:t>
      </w:r>
    </w:p>
    <w:tbl>
      <w:tblPr>
        <w:tblStyle w:val="a9"/>
        <w:tblW w:w="8296" w:type="dxa"/>
        <w:tblLayout w:type="fixed"/>
        <w:tblLook w:val="04A0"/>
      </w:tblPr>
      <w:tblGrid>
        <w:gridCol w:w="1271"/>
        <w:gridCol w:w="3402"/>
        <w:gridCol w:w="3623"/>
      </w:tblGrid>
      <w:tr w:rsidR="00AC5236">
        <w:tc>
          <w:tcPr>
            <w:tcW w:w="1271" w:type="dxa"/>
          </w:tcPr>
          <w:p w:rsidR="00AC5236" w:rsidRDefault="00351A1C">
            <w:pPr>
              <w:jc w:val="center"/>
              <w:rPr>
                <w:rFonts w:ascii="宋体" w:hAnsi="宋体"/>
                <w:b/>
              </w:rPr>
            </w:pPr>
            <w:r>
              <w:rPr>
                <w:rFonts w:ascii="宋体" w:hAnsi="宋体" w:hint="eastAsia"/>
                <w:b/>
              </w:rPr>
              <w:t>章节</w:t>
            </w:r>
          </w:p>
        </w:tc>
        <w:tc>
          <w:tcPr>
            <w:tcW w:w="3402" w:type="dxa"/>
          </w:tcPr>
          <w:p w:rsidR="00AC5236" w:rsidRDefault="00351A1C">
            <w:pPr>
              <w:jc w:val="center"/>
              <w:rPr>
                <w:rFonts w:ascii="宋体" w:hAnsi="宋体"/>
                <w:b/>
              </w:rPr>
            </w:pPr>
            <w:r>
              <w:rPr>
                <w:rFonts w:ascii="宋体" w:hAnsi="宋体" w:hint="eastAsia"/>
                <w:b/>
              </w:rPr>
              <w:t>修订前</w:t>
            </w:r>
          </w:p>
        </w:tc>
        <w:tc>
          <w:tcPr>
            <w:tcW w:w="3623" w:type="dxa"/>
          </w:tcPr>
          <w:p w:rsidR="00AC5236" w:rsidRDefault="00351A1C">
            <w:pPr>
              <w:jc w:val="center"/>
              <w:rPr>
                <w:rFonts w:ascii="宋体" w:hAnsi="宋体"/>
                <w:b/>
              </w:rPr>
            </w:pPr>
            <w:r>
              <w:rPr>
                <w:rFonts w:ascii="宋体" w:hAnsi="宋体" w:hint="eastAsia"/>
                <w:b/>
              </w:rPr>
              <w:t>修订后</w:t>
            </w:r>
          </w:p>
        </w:tc>
      </w:tr>
      <w:tr w:rsidR="00AC5236">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一、 订立本基金合同的目的、依据和原则</w:t>
            </w:r>
          </w:p>
        </w:tc>
        <w:tc>
          <w:tcPr>
            <w:tcW w:w="3402"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和其他有关法律法规。</w:t>
            </w:r>
          </w:p>
        </w:tc>
        <w:tc>
          <w:tcPr>
            <w:tcW w:w="3623" w:type="dxa"/>
          </w:tcPr>
          <w:p w:rsidR="00AC5236" w:rsidRDefault="00351A1C">
            <w:pPr>
              <w:rPr>
                <w:rFonts w:ascii="宋体" w:hAnsi="宋体"/>
              </w:rPr>
            </w:pPr>
            <w:r>
              <w:rPr>
                <w:rFonts w:ascii="宋体" w:hAnsi="宋体" w:hint="eastAsia"/>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公开募集证券投资基金运作指引第2号——基金中基金指引》、《公开募集证券投资基金运作指引第3号——指数基金指引》（以下简称“《指数基金指引》”）和其他有关法律法规。</w:t>
            </w:r>
          </w:p>
        </w:tc>
      </w:tr>
      <w:tr w:rsidR="00AC5236">
        <w:tc>
          <w:tcPr>
            <w:tcW w:w="1271" w:type="dxa"/>
          </w:tcPr>
          <w:p w:rsidR="00AC5236" w:rsidRDefault="00351A1C">
            <w:pPr>
              <w:rPr>
                <w:rFonts w:ascii="宋体" w:hAnsi="宋体"/>
                <w:b/>
              </w:rPr>
            </w:pPr>
            <w:r>
              <w:rPr>
                <w:rFonts w:ascii="宋体" w:hAnsi="宋体" w:hint="eastAsia"/>
                <w:b/>
              </w:rPr>
              <w:t>第一部分 前言</w:t>
            </w:r>
          </w:p>
          <w:p w:rsidR="00AC5236" w:rsidRDefault="00351A1C">
            <w:pPr>
              <w:rPr>
                <w:rFonts w:ascii="宋体" w:hAnsi="宋体"/>
                <w:b/>
              </w:rPr>
            </w:pPr>
            <w:r>
              <w:rPr>
                <w:rFonts w:ascii="宋体" w:hAnsi="宋体" w:hint="eastAsia"/>
              </w:rPr>
              <w:t>第三条</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本基金为指数基金，投资者投资于本基金面临跟踪误差控制未达约定目标、指数编制机构停止服务、成份股停牌等潜在风险，详见本基金招募说明书。</w:t>
            </w:r>
          </w:p>
        </w:tc>
      </w:tr>
      <w:tr w:rsidR="00AC5236">
        <w:tc>
          <w:tcPr>
            <w:tcW w:w="1271" w:type="dxa"/>
          </w:tcPr>
          <w:p w:rsidR="00AC5236" w:rsidRDefault="00351A1C">
            <w:pPr>
              <w:rPr>
                <w:rFonts w:ascii="宋体" w:hAnsi="宋体"/>
                <w:b/>
              </w:rPr>
            </w:pPr>
            <w:r>
              <w:rPr>
                <w:rFonts w:ascii="宋体" w:hAnsi="宋体" w:hint="eastAsia"/>
                <w:b/>
              </w:rPr>
              <w:t>第二部分</w:t>
            </w:r>
            <w:r>
              <w:rPr>
                <w:rFonts w:ascii="宋体" w:hAnsi="宋体"/>
                <w:b/>
              </w:rPr>
              <w:t xml:space="preserve"> </w:t>
            </w:r>
            <w:r>
              <w:rPr>
                <w:rFonts w:ascii="宋体" w:hAnsi="宋体" w:hint="eastAsia"/>
                <w:b/>
              </w:rPr>
              <w:t>释义</w:t>
            </w:r>
          </w:p>
          <w:p w:rsidR="00AC5236" w:rsidRDefault="00AC5236">
            <w:pPr>
              <w:rPr>
                <w:rFonts w:ascii="宋体" w:hAnsi="宋体"/>
                <w:b/>
              </w:rPr>
            </w:pP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1</w:t>
            </w:r>
            <w:r>
              <w:rPr>
                <w:rFonts w:ascii="宋体" w:hAnsi="宋体"/>
              </w:rPr>
              <w:t>5</w:t>
            </w:r>
            <w:r>
              <w:rPr>
                <w:rFonts w:ascii="宋体" w:hAnsi="宋体" w:hint="eastAsia"/>
              </w:rPr>
              <w:t>、《指数基金指引》：指中国证监会2021年1月1</w:t>
            </w:r>
            <w:r>
              <w:rPr>
                <w:rFonts w:ascii="宋体" w:hAnsi="宋体"/>
              </w:rPr>
              <w:t>8</w:t>
            </w:r>
            <w:r>
              <w:rPr>
                <w:rFonts w:ascii="宋体" w:hAnsi="宋体" w:hint="eastAsia"/>
              </w:rPr>
              <w:t>日颁布、同年2月1日实施的《公开募集证券投资基金运作指引第3号——指数基金指引》及颁布机关对其不时做出的修订</w:t>
            </w:r>
          </w:p>
        </w:tc>
      </w:tr>
      <w:tr w:rsidR="00AC5236">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rPr>
            </w:pPr>
            <w:r>
              <w:rPr>
                <w:rFonts w:ascii="宋体" w:hAnsi="宋体" w:hint="eastAsia"/>
              </w:rPr>
              <w:t xml:space="preserve">三、投资策略 </w:t>
            </w:r>
          </w:p>
          <w:p w:rsidR="00AC5236" w:rsidRDefault="00351A1C">
            <w:pPr>
              <w:rPr>
                <w:rFonts w:ascii="宋体" w:hAnsi="宋体"/>
                <w:b/>
              </w:rPr>
            </w:pPr>
            <w:r>
              <w:rPr>
                <w:rFonts w:ascii="宋体" w:hAnsi="宋体" w:hint="eastAsia"/>
              </w:rPr>
              <w:t>（一）资产配置策略</w:t>
            </w:r>
          </w:p>
        </w:tc>
        <w:tc>
          <w:tcPr>
            <w:tcW w:w="3402" w:type="dxa"/>
          </w:tcPr>
          <w:p w:rsidR="00AC5236" w:rsidRDefault="00AC5236">
            <w:pPr>
              <w:rPr>
                <w:rFonts w:ascii="宋体" w:hAnsi="宋体"/>
              </w:rPr>
            </w:pPr>
          </w:p>
        </w:tc>
        <w:tc>
          <w:tcPr>
            <w:tcW w:w="3623" w:type="dxa"/>
          </w:tcPr>
          <w:p w:rsidR="00AC5236" w:rsidRDefault="00351A1C">
            <w:pPr>
              <w:rPr>
                <w:rFonts w:ascii="宋体" w:hAnsi="宋体"/>
              </w:rPr>
            </w:pPr>
            <w:r>
              <w:rPr>
                <w:rFonts w:ascii="宋体" w:hAnsi="宋体" w:hint="eastAsia"/>
              </w:rPr>
              <w:t>增加：</w:t>
            </w:r>
          </w:p>
          <w:p w:rsidR="00AC5236" w:rsidRDefault="00351A1C">
            <w:pPr>
              <w:rPr>
                <w:rFonts w:ascii="宋体" w:hAnsi="宋体"/>
              </w:rPr>
            </w:pPr>
            <w:r>
              <w:rPr>
                <w:rFonts w:ascii="宋体" w:hAnsi="宋体" w:hint="eastAsia"/>
              </w:rPr>
              <w:t>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p>
        </w:tc>
      </w:tr>
      <w:tr w:rsidR="00AC5236">
        <w:tc>
          <w:tcPr>
            <w:tcW w:w="1271" w:type="dxa"/>
          </w:tcPr>
          <w:p w:rsidR="00AC5236" w:rsidRDefault="00351A1C">
            <w:pPr>
              <w:rPr>
                <w:rFonts w:ascii="宋体" w:hAnsi="宋体"/>
              </w:rPr>
            </w:pPr>
            <w:r>
              <w:rPr>
                <w:rFonts w:ascii="宋体" w:hAnsi="宋体" w:hint="eastAsia"/>
                <w:b/>
              </w:rPr>
              <w:t>第十二部分 基金的投资</w:t>
            </w:r>
          </w:p>
          <w:p w:rsidR="00AC5236" w:rsidRDefault="00351A1C">
            <w:pPr>
              <w:rPr>
                <w:rFonts w:ascii="宋体" w:hAnsi="宋体"/>
              </w:rPr>
            </w:pPr>
            <w:r>
              <w:rPr>
                <w:rFonts w:ascii="宋体" w:hAnsi="宋体" w:hint="eastAsia"/>
              </w:rPr>
              <w:t>五、标的指数和业绩比较基准</w:t>
            </w:r>
          </w:p>
        </w:tc>
        <w:tc>
          <w:tcPr>
            <w:tcW w:w="3402" w:type="dxa"/>
          </w:tcPr>
          <w:p w:rsidR="00AC5236" w:rsidRDefault="00351A1C">
            <w:pPr>
              <w:ind w:firstLineChars="200" w:firstLine="420"/>
              <w:rPr>
                <w:rFonts w:ascii="宋体" w:hAnsi="宋体"/>
              </w:rPr>
            </w:pPr>
            <w:r>
              <w:rPr>
                <w:rFonts w:ascii="宋体" w:hAnsi="宋体"/>
              </w:rPr>
              <w:t>本基金的标的指数为沪深300</w:t>
            </w:r>
            <w:r>
              <w:rPr>
                <w:rFonts w:ascii="宋体" w:hAnsi="宋体" w:hint="eastAsia"/>
              </w:rPr>
              <w:t>指数。</w:t>
            </w:r>
          </w:p>
          <w:p w:rsidR="00AC5236" w:rsidRDefault="00351A1C">
            <w:pPr>
              <w:ind w:firstLineChars="200" w:firstLine="420"/>
              <w:rPr>
                <w:rFonts w:ascii="宋体" w:hAnsi="宋体"/>
              </w:rPr>
            </w:pPr>
            <w:r>
              <w:rPr>
                <w:rFonts w:ascii="宋体" w:hAnsi="宋体" w:hint="eastAsia"/>
              </w:rPr>
              <w:t>本基金业绩比较基准为标的指数收益率×</w:t>
            </w:r>
            <w:r>
              <w:rPr>
                <w:rFonts w:ascii="宋体" w:hAnsi="宋体"/>
              </w:rPr>
              <w:t>95%+</w:t>
            </w:r>
            <w:r>
              <w:rPr>
                <w:rFonts w:ascii="宋体" w:hAnsi="宋体" w:hint="eastAsia"/>
              </w:rPr>
              <w:t>银行人民币活期存款利率（税后）×</w:t>
            </w:r>
            <w:r>
              <w:rPr>
                <w:rFonts w:ascii="宋体" w:hAnsi="宋体"/>
              </w:rPr>
              <w:t>5%</w:t>
            </w:r>
            <w:r>
              <w:rPr>
                <w:rFonts w:ascii="宋体" w:hAnsi="宋体" w:hint="eastAsia"/>
              </w:rPr>
              <w:t>。</w:t>
            </w:r>
          </w:p>
          <w:p w:rsidR="00AC5236" w:rsidRDefault="00351A1C">
            <w:pPr>
              <w:ind w:firstLineChars="200" w:firstLine="420"/>
              <w:rPr>
                <w:rFonts w:ascii="宋体" w:hAnsi="宋体"/>
              </w:rPr>
            </w:pPr>
            <w:r>
              <w:rPr>
                <w:rFonts w:ascii="宋体" w:hAnsi="宋体"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并及时公告。</w:t>
            </w:r>
          </w:p>
        </w:tc>
        <w:tc>
          <w:tcPr>
            <w:tcW w:w="3623" w:type="dxa"/>
          </w:tcPr>
          <w:p w:rsidR="00AC5236" w:rsidRDefault="00351A1C">
            <w:pPr>
              <w:ind w:firstLineChars="200" w:firstLine="420"/>
              <w:rPr>
                <w:rFonts w:ascii="宋体" w:hAnsi="宋体"/>
              </w:rPr>
            </w:pPr>
            <w:r>
              <w:rPr>
                <w:rFonts w:ascii="宋体" w:hAnsi="宋体"/>
              </w:rPr>
              <w:t>本基金的标的指数为沪深300</w:t>
            </w:r>
            <w:r>
              <w:rPr>
                <w:rFonts w:ascii="宋体" w:hAnsi="宋体" w:hint="eastAsia"/>
              </w:rPr>
              <w:t>指数。</w:t>
            </w:r>
          </w:p>
          <w:p w:rsidR="00AC5236" w:rsidRDefault="00351A1C">
            <w:pPr>
              <w:rPr>
                <w:rFonts w:ascii="宋体" w:hAnsi="宋体"/>
              </w:rPr>
            </w:pPr>
            <w:r>
              <w:rPr>
                <w:rFonts w:ascii="宋体" w:hAnsi="宋体" w:hint="eastAsia"/>
              </w:rPr>
              <w:t>本基金业绩比较基准为标的指数收益率×</w:t>
            </w:r>
            <w:r>
              <w:rPr>
                <w:rFonts w:ascii="宋体" w:hAnsi="宋体"/>
              </w:rPr>
              <w:t>95%+</w:t>
            </w:r>
            <w:r>
              <w:rPr>
                <w:rFonts w:ascii="宋体" w:hAnsi="宋体" w:hint="eastAsia"/>
              </w:rPr>
              <w:t>银行人民币活期存款利率（税后）×</w:t>
            </w:r>
            <w:r>
              <w:rPr>
                <w:rFonts w:ascii="宋体" w:hAnsi="宋体"/>
              </w:rPr>
              <w:t>5%</w:t>
            </w:r>
            <w:r>
              <w:rPr>
                <w:rFonts w:ascii="宋体" w:hAnsi="宋体" w:hint="eastAsia"/>
              </w:rPr>
              <w:t>。</w:t>
            </w:r>
          </w:p>
          <w:p w:rsidR="00AC5236" w:rsidRDefault="00351A1C">
            <w:pPr>
              <w:ind w:firstLineChars="200" w:firstLine="420"/>
              <w:rPr>
                <w:rFonts w:ascii="宋体" w:hAnsi="宋体"/>
              </w:rPr>
            </w:pPr>
            <w:r>
              <w:rPr>
                <w:rFonts w:ascii="宋体" w:hAnsi="宋体"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但下文“目标ETF发生相关变更情形时的处理”另有约定的除外。</w:t>
            </w:r>
          </w:p>
          <w:p w:rsidR="00AC5236" w:rsidRDefault="00351A1C">
            <w:pPr>
              <w:ind w:firstLineChars="200" w:firstLine="420"/>
              <w:rPr>
                <w:rFonts w:ascii="宋体" w:hAnsi="宋体"/>
              </w:rPr>
            </w:pPr>
            <w:r>
              <w:rPr>
                <w:rFonts w:ascii="宋体" w:hAnsi="宋体"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AC5236" w:rsidRDefault="00351A1C">
            <w:pPr>
              <w:ind w:firstLineChars="200" w:firstLine="420"/>
              <w:rPr>
                <w:rFonts w:ascii="宋体" w:hAnsi="宋体"/>
              </w:rPr>
            </w:pPr>
            <w:r>
              <w:rPr>
                <w:rFonts w:ascii="宋体" w:hAnsi="宋体" w:hint="eastAsia"/>
              </w:rPr>
              <w:t>若基金标的指数发生变更，基金业绩比较基准随之变更，由基金管理人根据标的指数变更情形履行适当程序。</w:t>
            </w:r>
          </w:p>
        </w:tc>
      </w:tr>
    </w:tbl>
    <w:p w:rsidR="00AC5236" w:rsidRDefault="00AC5236">
      <w:pPr>
        <w:jc w:val="center"/>
        <w:rPr>
          <w:rFonts w:ascii="宋体" w:hAnsi="宋体" w:cs="仿宋_GB2312"/>
          <w:b/>
          <w:sz w:val="30"/>
          <w:szCs w:val="30"/>
        </w:rPr>
      </w:pPr>
    </w:p>
    <w:p w:rsidR="00AC5236" w:rsidRDefault="00AC5236">
      <w:pPr>
        <w:jc w:val="center"/>
        <w:rPr>
          <w:rFonts w:ascii="宋体" w:hAnsi="宋体" w:cs="仿宋_GB2312"/>
          <w:b/>
          <w:sz w:val="30"/>
          <w:szCs w:val="30"/>
        </w:rPr>
      </w:pPr>
    </w:p>
    <w:p w:rsidR="00AC5236" w:rsidRDefault="00AC5236">
      <w:pPr>
        <w:spacing w:line="360" w:lineRule="auto"/>
        <w:rPr>
          <w:rFonts w:ascii="宋体" w:hAnsi="宋体"/>
          <w:sz w:val="24"/>
          <w:szCs w:val="24"/>
        </w:rPr>
      </w:pPr>
    </w:p>
    <w:p w:rsidR="00AC5236" w:rsidRDefault="00AC5236">
      <w:pPr>
        <w:spacing w:line="360" w:lineRule="auto"/>
        <w:rPr>
          <w:rFonts w:ascii="宋体" w:hAnsi="宋体"/>
          <w:sz w:val="24"/>
          <w:szCs w:val="24"/>
        </w:rPr>
      </w:pPr>
    </w:p>
    <w:p w:rsidR="00AC5236" w:rsidRDefault="00AC5236">
      <w:pPr>
        <w:spacing w:line="360" w:lineRule="auto"/>
        <w:rPr>
          <w:rFonts w:ascii="宋体" w:hAnsi="宋体"/>
          <w:sz w:val="24"/>
          <w:szCs w:val="24"/>
        </w:rPr>
      </w:pPr>
    </w:p>
    <w:sectPr w:rsidR="00AC5236" w:rsidSect="00BD02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1C" w:rsidRDefault="00351A1C">
      <w:r>
        <w:separator/>
      </w:r>
    </w:p>
  </w:endnote>
  <w:endnote w:type="continuationSeparator" w:id="0">
    <w:p w:rsidR="00351A1C" w:rsidRDefault="00351A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36" w:rsidRDefault="00BD02D8">
    <w:pPr>
      <w:pStyle w:val="a6"/>
      <w:jc w:val="center"/>
    </w:pPr>
    <w:r>
      <w:fldChar w:fldCharType="begin"/>
    </w:r>
    <w:r w:rsidR="00351A1C">
      <w:instrText>PAGE   \* MERGEFORMAT</w:instrText>
    </w:r>
    <w:r>
      <w:fldChar w:fldCharType="separate"/>
    </w:r>
    <w:r w:rsidR="00C02FD6" w:rsidRPr="00C02FD6">
      <w:rPr>
        <w:noProof/>
        <w:lang w:val="zh-CN"/>
      </w:rPr>
      <w:t>1</w:t>
    </w:r>
    <w:r>
      <w:fldChar w:fldCharType="end"/>
    </w:r>
  </w:p>
  <w:p w:rsidR="00AC5236" w:rsidRDefault="00AC52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1C" w:rsidRDefault="00351A1C">
      <w:r>
        <w:separator/>
      </w:r>
    </w:p>
  </w:footnote>
  <w:footnote w:type="continuationSeparator" w:id="0">
    <w:p w:rsidR="00351A1C" w:rsidRDefault="00351A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236"/>
    <w:rsid w:val="000B32C3"/>
    <w:rsid w:val="00351A1C"/>
    <w:rsid w:val="007F35B1"/>
    <w:rsid w:val="00AC5236"/>
    <w:rsid w:val="00BD02D8"/>
    <w:rsid w:val="00C02FD6"/>
    <w:rsid w:val="00F71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2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D02D8"/>
    <w:rPr>
      <w:b/>
      <w:bCs/>
    </w:rPr>
  </w:style>
  <w:style w:type="paragraph" w:styleId="a4">
    <w:name w:val="annotation text"/>
    <w:basedOn w:val="a"/>
    <w:link w:val="Char0"/>
    <w:uiPriority w:val="99"/>
    <w:unhideWhenUsed/>
    <w:qFormat/>
    <w:rsid w:val="00BD02D8"/>
    <w:pPr>
      <w:jc w:val="left"/>
    </w:pPr>
  </w:style>
  <w:style w:type="paragraph" w:styleId="a5">
    <w:name w:val="Balloon Text"/>
    <w:basedOn w:val="a"/>
    <w:link w:val="Char1"/>
    <w:uiPriority w:val="99"/>
    <w:unhideWhenUsed/>
    <w:qFormat/>
    <w:rsid w:val="00BD02D8"/>
    <w:rPr>
      <w:sz w:val="18"/>
      <w:szCs w:val="18"/>
    </w:rPr>
  </w:style>
  <w:style w:type="paragraph" w:styleId="a6">
    <w:name w:val="footer"/>
    <w:basedOn w:val="a"/>
    <w:link w:val="Char2"/>
    <w:uiPriority w:val="99"/>
    <w:unhideWhenUsed/>
    <w:rsid w:val="00BD02D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D02D8"/>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rsid w:val="00BD02D8"/>
    <w:rPr>
      <w:sz w:val="21"/>
      <w:szCs w:val="21"/>
    </w:rPr>
  </w:style>
  <w:style w:type="table" w:styleId="a9">
    <w:name w:val="Table Grid"/>
    <w:basedOn w:val="a1"/>
    <w:uiPriority w:val="39"/>
    <w:rsid w:val="00BD02D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link w:val="a7"/>
    <w:uiPriority w:val="99"/>
    <w:qFormat/>
    <w:rsid w:val="00BD02D8"/>
    <w:rPr>
      <w:kern w:val="2"/>
      <w:sz w:val="18"/>
      <w:szCs w:val="18"/>
    </w:rPr>
  </w:style>
  <w:style w:type="character" w:customStyle="1" w:styleId="Char2">
    <w:name w:val="页脚 Char"/>
    <w:link w:val="a6"/>
    <w:uiPriority w:val="99"/>
    <w:qFormat/>
    <w:rsid w:val="00BD02D8"/>
    <w:rPr>
      <w:kern w:val="2"/>
      <w:sz w:val="18"/>
      <w:szCs w:val="18"/>
    </w:rPr>
  </w:style>
  <w:style w:type="character" w:customStyle="1" w:styleId="Char1">
    <w:name w:val="批注框文本 Char"/>
    <w:link w:val="a5"/>
    <w:uiPriority w:val="99"/>
    <w:semiHidden/>
    <w:qFormat/>
    <w:rsid w:val="00BD02D8"/>
    <w:rPr>
      <w:kern w:val="2"/>
      <w:sz w:val="18"/>
      <w:szCs w:val="18"/>
    </w:rPr>
  </w:style>
  <w:style w:type="paragraph" w:customStyle="1" w:styleId="Default">
    <w:name w:val="Default"/>
    <w:qFormat/>
    <w:rsid w:val="00BD02D8"/>
    <w:pPr>
      <w:widowControl w:val="0"/>
      <w:autoSpaceDE w:val="0"/>
      <w:autoSpaceDN w:val="0"/>
      <w:adjustRightInd w:val="0"/>
    </w:pPr>
    <w:rPr>
      <w:rFonts w:ascii="宋体" w:cs="宋体"/>
      <w:color w:val="000000"/>
      <w:sz w:val="24"/>
      <w:szCs w:val="24"/>
    </w:rPr>
  </w:style>
  <w:style w:type="character" w:customStyle="1" w:styleId="Char0">
    <w:name w:val="批注文字 Char"/>
    <w:link w:val="a4"/>
    <w:uiPriority w:val="99"/>
    <w:semiHidden/>
    <w:rsid w:val="00BD02D8"/>
    <w:rPr>
      <w:kern w:val="2"/>
      <w:sz w:val="21"/>
      <w:szCs w:val="22"/>
    </w:rPr>
  </w:style>
  <w:style w:type="character" w:customStyle="1" w:styleId="Char">
    <w:name w:val="批注主题 Char"/>
    <w:link w:val="a3"/>
    <w:uiPriority w:val="99"/>
    <w:semiHidden/>
    <w:qFormat/>
    <w:rsid w:val="00BD02D8"/>
    <w:rPr>
      <w:b/>
      <w:bCs/>
      <w:kern w:val="2"/>
      <w:sz w:val="21"/>
      <w:szCs w:val="22"/>
    </w:rPr>
  </w:style>
  <w:style w:type="paragraph" w:customStyle="1" w:styleId="1">
    <w:name w:val="修订1"/>
    <w:hidden/>
    <w:uiPriority w:val="99"/>
    <w:semiHidden/>
    <w:qFormat/>
    <w:rsid w:val="00BD02D8"/>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2480</Words>
  <Characters>14138</Characters>
  <Application>Microsoft Office Word</Application>
  <DocSecurity>4</DocSecurity>
  <Lines>117</Lines>
  <Paragraphs>33</Paragraphs>
  <ScaleCrop>false</ScaleCrop>
  <Company>Microsoft</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逯阳洋</dc:creator>
  <cp:lastModifiedBy>ZHONGM</cp:lastModifiedBy>
  <cp:revision>2</cp:revision>
  <dcterms:created xsi:type="dcterms:W3CDTF">2021-03-30T16:02:00Z</dcterms:created>
  <dcterms:modified xsi:type="dcterms:W3CDTF">2021-03-30T16:02:00Z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