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C3" w:rsidRDefault="003E1733" w:rsidP="00AF36B9">
      <w:pPr>
        <w:widowControl/>
        <w:spacing w:after="240" w:line="360" w:lineRule="auto"/>
        <w:jc w:val="center"/>
        <w:rPr>
          <w:rFonts w:ascii="宋体" w:eastAsia="宋体" w:hAnsi="宋体" w:cs="宋体"/>
          <w:b/>
          <w:kern w:val="0"/>
          <w:sz w:val="28"/>
          <w:szCs w:val="28"/>
        </w:rPr>
      </w:pPr>
      <w:r w:rsidRPr="003E1733">
        <w:rPr>
          <w:rFonts w:ascii="宋体" w:eastAsia="宋体" w:hAnsi="宋体" w:cs="宋体" w:hint="eastAsia"/>
          <w:b/>
          <w:kern w:val="0"/>
          <w:sz w:val="28"/>
          <w:szCs w:val="28"/>
        </w:rPr>
        <w:t>华宝基金管理有限公司</w:t>
      </w:r>
      <w:r w:rsidR="00723402">
        <w:rPr>
          <w:rFonts w:ascii="宋体" w:eastAsia="宋体" w:hAnsi="宋体" w:cs="宋体" w:hint="eastAsia"/>
          <w:b/>
          <w:kern w:val="0"/>
          <w:sz w:val="28"/>
          <w:szCs w:val="28"/>
        </w:rPr>
        <w:t>关于</w:t>
      </w:r>
      <w:r w:rsidR="00AF36B9" w:rsidRPr="00AF36B9">
        <w:rPr>
          <w:rFonts w:ascii="宋体" w:eastAsia="宋体" w:hAnsi="宋体" w:cs="宋体" w:hint="eastAsia"/>
          <w:b/>
          <w:kern w:val="0"/>
          <w:sz w:val="28"/>
          <w:szCs w:val="28"/>
        </w:rPr>
        <w:t>旗下部分基金</w:t>
      </w:r>
      <w:r w:rsidR="005A687F">
        <w:rPr>
          <w:rFonts w:ascii="宋体" w:eastAsia="宋体" w:hAnsi="宋体" w:cs="宋体" w:hint="eastAsia"/>
          <w:b/>
          <w:kern w:val="0"/>
          <w:sz w:val="28"/>
          <w:szCs w:val="28"/>
        </w:rPr>
        <w:t>根据</w:t>
      </w:r>
      <w:r w:rsidR="00C27E54">
        <w:rPr>
          <w:rFonts w:ascii="宋体" w:eastAsia="宋体" w:hAnsi="宋体" w:cs="宋体" w:hint="eastAsia"/>
          <w:b/>
          <w:kern w:val="0"/>
          <w:sz w:val="28"/>
          <w:szCs w:val="28"/>
        </w:rPr>
        <w:t>《公开募集证券投资基金运作指引第3号-指数基金指引》</w:t>
      </w:r>
      <w:r w:rsidR="007E705A">
        <w:rPr>
          <w:rFonts w:ascii="宋体" w:eastAsia="宋体" w:hAnsi="宋体" w:cs="宋体" w:hint="eastAsia"/>
          <w:b/>
          <w:kern w:val="0"/>
          <w:sz w:val="28"/>
          <w:szCs w:val="28"/>
        </w:rPr>
        <w:t>、</w:t>
      </w:r>
      <w:r w:rsidR="007E705A" w:rsidRPr="007E705A">
        <w:rPr>
          <w:rFonts w:ascii="宋体" w:eastAsia="宋体" w:hAnsi="宋体" w:cs="宋体" w:hint="eastAsia"/>
          <w:b/>
          <w:kern w:val="0"/>
          <w:sz w:val="28"/>
          <w:szCs w:val="28"/>
        </w:rPr>
        <w:t>《存托凭证发行与交易管理办法（试行）》</w:t>
      </w:r>
      <w:r w:rsidR="00C27E54">
        <w:rPr>
          <w:rFonts w:ascii="宋体" w:eastAsia="宋体" w:hAnsi="宋体" w:cs="宋体" w:hint="eastAsia"/>
          <w:b/>
          <w:kern w:val="0"/>
          <w:sz w:val="28"/>
          <w:szCs w:val="28"/>
        </w:rPr>
        <w:t>修改基金合同部分条款的公告</w:t>
      </w:r>
    </w:p>
    <w:p w:rsidR="00665EF0" w:rsidRPr="002960E3" w:rsidRDefault="007E705A" w:rsidP="007E705A">
      <w:pPr>
        <w:widowControl/>
        <w:spacing w:line="360" w:lineRule="auto"/>
        <w:ind w:firstLine="420"/>
        <w:rPr>
          <w:rFonts w:ascii="宋体" w:eastAsia="宋体" w:hAnsi="宋体"/>
          <w:sz w:val="24"/>
          <w:szCs w:val="24"/>
        </w:rPr>
      </w:pPr>
      <w:r>
        <w:rPr>
          <w:rFonts w:ascii="宋体" w:eastAsia="宋体" w:hAnsi="宋体" w:hint="eastAsia"/>
          <w:sz w:val="24"/>
          <w:szCs w:val="24"/>
        </w:rPr>
        <w:t>一、</w:t>
      </w:r>
      <w:r w:rsidR="00723402" w:rsidRPr="00723402">
        <w:rPr>
          <w:rFonts w:ascii="宋体" w:eastAsia="宋体" w:hAnsi="宋体" w:hint="eastAsia"/>
          <w:sz w:val="24"/>
          <w:szCs w:val="24"/>
        </w:rPr>
        <w:t>根据《中华人民共和国证券投资基金法》、《公开募集证券投资基金运作管理办法》</w:t>
      </w:r>
      <w:r w:rsidR="00FD0AAB" w:rsidRPr="00723402">
        <w:rPr>
          <w:rFonts w:ascii="宋体" w:eastAsia="宋体" w:hAnsi="宋体" w:hint="eastAsia"/>
          <w:sz w:val="24"/>
          <w:szCs w:val="24"/>
        </w:rPr>
        <w:t>、</w:t>
      </w:r>
      <w:r w:rsidR="00783ED5" w:rsidRPr="00783ED5">
        <w:rPr>
          <w:rFonts w:ascii="宋体" w:eastAsia="宋体" w:hAnsi="宋体" w:hint="eastAsia"/>
          <w:sz w:val="24"/>
          <w:szCs w:val="24"/>
        </w:rPr>
        <w:t>《公开募集证券投资基金运作指引第</w:t>
      </w:r>
      <w:r w:rsidR="00783ED5" w:rsidRPr="00783ED5">
        <w:rPr>
          <w:rFonts w:ascii="宋体" w:eastAsia="宋体" w:hAnsi="宋体"/>
          <w:sz w:val="24"/>
          <w:szCs w:val="24"/>
        </w:rPr>
        <w:t>3号-指数基金指引》</w:t>
      </w:r>
      <w:r w:rsidR="00723402" w:rsidRPr="00723402">
        <w:rPr>
          <w:rFonts w:ascii="宋体" w:eastAsia="宋体" w:hAnsi="宋体" w:hint="eastAsia"/>
          <w:sz w:val="24"/>
          <w:szCs w:val="24"/>
        </w:rPr>
        <w:t>等法律法规</w:t>
      </w:r>
      <w:r w:rsidR="001F75E9">
        <w:rPr>
          <w:rFonts w:ascii="宋体" w:eastAsia="宋体" w:hAnsi="宋体" w:hint="eastAsia"/>
          <w:sz w:val="24"/>
          <w:szCs w:val="24"/>
        </w:rPr>
        <w:t>、</w:t>
      </w:r>
      <w:r w:rsidR="00723402" w:rsidRPr="00723402">
        <w:rPr>
          <w:rFonts w:ascii="宋体" w:eastAsia="宋体" w:hAnsi="宋体" w:hint="eastAsia"/>
          <w:sz w:val="24"/>
          <w:szCs w:val="24"/>
        </w:rPr>
        <w:t>各基金基金合同、招募说明书及其更新等规定，经与</w:t>
      </w:r>
      <w:r w:rsidR="00E96F70">
        <w:rPr>
          <w:rFonts w:ascii="宋体" w:eastAsia="宋体" w:hAnsi="宋体" w:hint="eastAsia"/>
          <w:sz w:val="24"/>
          <w:szCs w:val="24"/>
        </w:rPr>
        <w:t>各</w:t>
      </w:r>
      <w:r w:rsidR="00723402" w:rsidRPr="00723402">
        <w:rPr>
          <w:rFonts w:ascii="宋体" w:eastAsia="宋体" w:hAnsi="宋体" w:hint="eastAsia"/>
          <w:sz w:val="24"/>
          <w:szCs w:val="24"/>
        </w:rPr>
        <w:t>基金托管人协商一致，</w:t>
      </w:r>
      <w:r w:rsidR="00E96F70">
        <w:rPr>
          <w:rFonts w:ascii="宋体" w:eastAsia="宋体" w:hAnsi="宋体" w:hint="eastAsia"/>
          <w:sz w:val="24"/>
          <w:szCs w:val="24"/>
        </w:rPr>
        <w:t>并向中国证监会备案，</w:t>
      </w:r>
      <w:r w:rsidR="003E1733" w:rsidRPr="003E1733">
        <w:rPr>
          <w:rFonts w:ascii="宋体" w:eastAsia="宋体" w:hAnsi="宋体" w:hint="eastAsia"/>
          <w:sz w:val="24"/>
          <w:szCs w:val="24"/>
        </w:rPr>
        <w:t>华宝基金管理有限公司</w:t>
      </w:r>
      <w:r w:rsidR="00E96F70" w:rsidRPr="00723402">
        <w:rPr>
          <w:rFonts w:ascii="宋体" w:eastAsia="宋体" w:hAnsi="宋体" w:hint="eastAsia"/>
          <w:sz w:val="24"/>
          <w:szCs w:val="24"/>
        </w:rPr>
        <w:t>（以下简称“本公司”）</w:t>
      </w:r>
      <w:r w:rsidR="00723402" w:rsidRPr="00723402">
        <w:rPr>
          <w:rFonts w:ascii="宋体" w:eastAsia="宋体" w:hAnsi="宋体" w:hint="eastAsia"/>
          <w:sz w:val="24"/>
          <w:szCs w:val="24"/>
        </w:rPr>
        <w:t>对旗下</w:t>
      </w:r>
      <w:r w:rsidR="003E1733">
        <w:rPr>
          <w:rFonts w:ascii="宋体" w:eastAsia="宋体" w:hAnsi="宋体" w:hint="eastAsia"/>
          <w:sz w:val="24"/>
          <w:szCs w:val="24"/>
        </w:rPr>
        <w:t>34</w:t>
      </w:r>
      <w:r w:rsidR="00723402" w:rsidRPr="00723402">
        <w:rPr>
          <w:rFonts w:ascii="宋体" w:eastAsia="宋体" w:hAnsi="宋体"/>
          <w:sz w:val="24"/>
          <w:szCs w:val="24"/>
        </w:rPr>
        <w:t>只基金</w:t>
      </w:r>
      <w:r w:rsidR="00783ED5">
        <w:rPr>
          <w:rFonts w:ascii="宋体" w:eastAsia="宋体" w:hAnsi="宋体" w:hint="eastAsia"/>
          <w:sz w:val="24"/>
          <w:szCs w:val="24"/>
        </w:rPr>
        <w:t>的</w:t>
      </w:r>
      <w:r w:rsidR="00723402" w:rsidRPr="00723402">
        <w:rPr>
          <w:rFonts w:ascii="宋体" w:eastAsia="宋体" w:hAnsi="宋体"/>
          <w:sz w:val="24"/>
          <w:szCs w:val="24"/>
        </w:rPr>
        <w:t>基金合同</w:t>
      </w:r>
      <w:r w:rsidR="00665EF0">
        <w:rPr>
          <w:rFonts w:ascii="宋体" w:eastAsia="宋体" w:hAnsi="宋体" w:hint="eastAsia"/>
          <w:sz w:val="24"/>
          <w:szCs w:val="24"/>
        </w:rPr>
        <w:t>进行修改</w:t>
      </w:r>
      <w:r w:rsidR="00723402" w:rsidRPr="00723402">
        <w:rPr>
          <w:rFonts w:ascii="宋体" w:eastAsia="宋体" w:hAnsi="宋体"/>
          <w:sz w:val="24"/>
          <w:szCs w:val="24"/>
        </w:rPr>
        <w:t>（</w:t>
      </w:r>
      <w:r w:rsidR="005A5AFB">
        <w:rPr>
          <w:rFonts w:ascii="宋体" w:eastAsia="宋体" w:hAnsi="宋体" w:hint="eastAsia"/>
          <w:sz w:val="24"/>
          <w:szCs w:val="24"/>
        </w:rPr>
        <w:t>基金</w:t>
      </w:r>
      <w:r w:rsidR="00723402" w:rsidRPr="00723402">
        <w:rPr>
          <w:rFonts w:ascii="宋体" w:eastAsia="宋体" w:hAnsi="宋体"/>
          <w:sz w:val="24"/>
          <w:szCs w:val="24"/>
        </w:rPr>
        <w:t>明细详见附件）</w:t>
      </w:r>
      <w:r w:rsidR="004914F4">
        <w:rPr>
          <w:rFonts w:ascii="宋体" w:eastAsia="宋体" w:hAnsi="宋体" w:hint="eastAsia"/>
          <w:sz w:val="24"/>
          <w:szCs w:val="24"/>
        </w:rPr>
        <w:t>，</w:t>
      </w:r>
      <w:r w:rsidR="00665EF0">
        <w:rPr>
          <w:rFonts w:ascii="宋体" w:eastAsia="宋体" w:hAnsi="宋体" w:hint="eastAsia"/>
          <w:sz w:val="24"/>
          <w:szCs w:val="24"/>
        </w:rPr>
        <w:t>现将相关事项公告如下：</w:t>
      </w:r>
    </w:p>
    <w:p w:rsidR="00D042A8" w:rsidRPr="00D042A8" w:rsidRDefault="007E705A" w:rsidP="00C1301E">
      <w:pPr>
        <w:widowControl/>
        <w:spacing w:line="360" w:lineRule="auto"/>
        <w:ind w:firstLine="420"/>
        <w:rPr>
          <w:rFonts w:ascii="宋体" w:eastAsia="宋体" w:hAnsi="宋体"/>
          <w:sz w:val="24"/>
          <w:szCs w:val="24"/>
        </w:rPr>
      </w:pPr>
      <w:r>
        <w:rPr>
          <w:rFonts w:ascii="宋体" w:eastAsia="宋体" w:hAnsi="宋体" w:hint="eastAsia"/>
          <w:sz w:val="24"/>
          <w:szCs w:val="24"/>
        </w:rPr>
        <w:t>（一）</w:t>
      </w:r>
      <w:r w:rsidR="00D042A8" w:rsidRPr="00D042A8">
        <w:rPr>
          <w:rFonts w:ascii="宋体" w:eastAsia="宋体" w:hAnsi="宋体" w:hint="eastAsia"/>
          <w:sz w:val="24"/>
          <w:szCs w:val="24"/>
        </w:rPr>
        <w:t>基金合同修改的</w:t>
      </w:r>
      <w:r w:rsidR="00944227">
        <w:rPr>
          <w:rFonts w:ascii="宋体" w:eastAsia="宋体" w:hAnsi="宋体" w:hint="eastAsia"/>
          <w:sz w:val="24"/>
          <w:szCs w:val="24"/>
        </w:rPr>
        <w:t>主要</w:t>
      </w:r>
      <w:r w:rsidR="00D042A8" w:rsidRPr="00D042A8">
        <w:rPr>
          <w:rFonts w:ascii="宋体" w:eastAsia="宋体" w:hAnsi="宋体" w:hint="eastAsia"/>
          <w:sz w:val="24"/>
          <w:szCs w:val="24"/>
        </w:rPr>
        <w:t>内容</w:t>
      </w:r>
    </w:p>
    <w:p w:rsidR="00D042A8" w:rsidRPr="00D042A8" w:rsidRDefault="00D042A8" w:rsidP="00D042A8">
      <w:pPr>
        <w:widowControl/>
        <w:spacing w:line="360" w:lineRule="auto"/>
        <w:ind w:firstLine="420"/>
        <w:rPr>
          <w:rFonts w:ascii="宋体" w:eastAsia="宋体" w:hAnsi="宋体"/>
          <w:sz w:val="24"/>
          <w:szCs w:val="24"/>
        </w:rPr>
      </w:pPr>
      <w:r w:rsidRPr="00D042A8">
        <w:rPr>
          <w:rFonts w:ascii="宋体" w:eastAsia="宋体" w:hAnsi="宋体"/>
          <w:sz w:val="24"/>
          <w:szCs w:val="24"/>
        </w:rPr>
        <w:t>1、“前言”章节</w:t>
      </w:r>
    </w:p>
    <w:p w:rsidR="002222E2" w:rsidRDefault="0017662C" w:rsidP="00944227">
      <w:pPr>
        <w:widowControl/>
        <w:spacing w:line="360" w:lineRule="auto"/>
        <w:ind w:firstLine="420"/>
        <w:rPr>
          <w:rFonts w:ascii="宋体" w:eastAsia="宋体" w:hAnsi="宋体"/>
          <w:sz w:val="24"/>
          <w:szCs w:val="24"/>
        </w:rPr>
      </w:pPr>
      <w:r w:rsidRPr="00D042A8">
        <w:rPr>
          <w:rFonts w:ascii="宋体" w:eastAsia="宋体" w:hAnsi="宋体"/>
          <w:sz w:val="24"/>
          <w:szCs w:val="24"/>
        </w:rPr>
        <w:t>“前言”章节</w:t>
      </w:r>
      <w:r w:rsidR="00501C5B">
        <w:rPr>
          <w:rFonts w:ascii="宋体" w:eastAsia="宋体" w:hAnsi="宋体" w:hint="eastAsia"/>
          <w:sz w:val="24"/>
          <w:szCs w:val="24"/>
        </w:rPr>
        <w:t>第一条第2款</w:t>
      </w:r>
      <w:r w:rsidR="002222E2">
        <w:rPr>
          <w:rFonts w:ascii="宋体" w:eastAsia="宋体" w:hAnsi="宋体" w:hint="eastAsia"/>
          <w:sz w:val="24"/>
          <w:szCs w:val="24"/>
        </w:rPr>
        <w:t>中增加</w:t>
      </w:r>
      <w:r w:rsidR="001B75B1">
        <w:rPr>
          <w:rFonts w:ascii="宋体" w:eastAsia="宋体" w:hAnsi="宋体" w:hint="eastAsia"/>
          <w:sz w:val="24"/>
          <w:szCs w:val="24"/>
        </w:rPr>
        <w:t>：</w:t>
      </w:r>
      <w:r w:rsidR="002222E2" w:rsidRPr="002222E2">
        <w:rPr>
          <w:rFonts w:ascii="宋体" w:eastAsia="宋体" w:hAnsi="宋体" w:hint="eastAsia"/>
          <w:sz w:val="24"/>
          <w:szCs w:val="24"/>
        </w:rPr>
        <w:t>《公开募集证券投资基金运作指引第</w:t>
      </w:r>
      <w:r w:rsidR="002222E2" w:rsidRPr="002222E2">
        <w:rPr>
          <w:rFonts w:ascii="宋体" w:eastAsia="宋体" w:hAnsi="宋体"/>
          <w:sz w:val="24"/>
          <w:szCs w:val="24"/>
        </w:rPr>
        <w:t>3号——指数基金指引》（以下简称“《指数基金指引》”）</w:t>
      </w:r>
      <w:r w:rsidR="001B75B1">
        <w:rPr>
          <w:rFonts w:ascii="宋体" w:eastAsia="宋体" w:hAnsi="宋体" w:hint="eastAsia"/>
          <w:sz w:val="24"/>
          <w:szCs w:val="24"/>
        </w:rPr>
        <w:t>。</w:t>
      </w:r>
    </w:p>
    <w:p w:rsidR="00D042A8" w:rsidRPr="00D042A8" w:rsidRDefault="0017662C" w:rsidP="00944227">
      <w:pPr>
        <w:widowControl/>
        <w:spacing w:line="360" w:lineRule="auto"/>
        <w:ind w:firstLine="420"/>
        <w:rPr>
          <w:rFonts w:ascii="宋体" w:eastAsia="宋体" w:hAnsi="宋体"/>
          <w:sz w:val="24"/>
          <w:szCs w:val="24"/>
        </w:rPr>
      </w:pPr>
      <w:r w:rsidRPr="00D042A8">
        <w:rPr>
          <w:rFonts w:ascii="宋体" w:eastAsia="宋体" w:hAnsi="宋体"/>
          <w:sz w:val="24"/>
          <w:szCs w:val="24"/>
        </w:rPr>
        <w:t>“前言”章节</w:t>
      </w:r>
      <w:r w:rsidR="00501C5B">
        <w:rPr>
          <w:rFonts w:ascii="宋体" w:eastAsia="宋体" w:hAnsi="宋体" w:hint="eastAsia"/>
          <w:sz w:val="24"/>
          <w:szCs w:val="24"/>
        </w:rPr>
        <w:t>第三条中</w:t>
      </w:r>
      <w:r w:rsidR="00D042A8" w:rsidRPr="00D042A8">
        <w:rPr>
          <w:rFonts w:ascii="宋体" w:eastAsia="宋体" w:hAnsi="宋体" w:hint="eastAsia"/>
          <w:sz w:val="24"/>
          <w:szCs w:val="24"/>
        </w:rPr>
        <w:t>增加：</w:t>
      </w:r>
      <w:r w:rsidR="00944227" w:rsidRPr="00944227">
        <w:rPr>
          <w:rFonts w:ascii="宋体" w:eastAsia="宋体" w:hAnsi="宋体" w:hint="eastAsia"/>
          <w:sz w:val="24"/>
          <w:szCs w:val="24"/>
        </w:rPr>
        <w:t>本基金为指数基金</w:t>
      </w:r>
      <w:r w:rsidR="00392302" w:rsidRPr="00684F8F">
        <w:rPr>
          <w:rFonts w:ascii="宋体" w:eastAsia="宋体" w:hAnsi="宋体" w:hint="eastAsia"/>
          <w:sz w:val="24"/>
          <w:szCs w:val="24"/>
        </w:rPr>
        <w:t>(</w:t>
      </w:r>
      <w:r w:rsidR="00392302" w:rsidRPr="00684F8F">
        <w:rPr>
          <w:rFonts w:ascii="宋体" w:eastAsia="宋体" w:hAnsi="宋体" w:hint="eastAsia"/>
          <w:bCs/>
          <w:sz w:val="24"/>
          <w:szCs w:val="24"/>
        </w:rPr>
        <w:t>主要投资于目标E</w:t>
      </w:r>
      <w:r w:rsidR="00392302" w:rsidRPr="00684F8F">
        <w:rPr>
          <w:rFonts w:ascii="宋体" w:eastAsia="宋体" w:hAnsi="宋体"/>
          <w:bCs/>
          <w:sz w:val="24"/>
          <w:szCs w:val="24"/>
        </w:rPr>
        <w:t>TF</w:t>
      </w:r>
      <w:r w:rsidR="00392302" w:rsidRPr="00684F8F">
        <w:rPr>
          <w:rFonts w:ascii="宋体" w:eastAsia="宋体" w:hAnsi="宋体"/>
          <w:sz w:val="24"/>
          <w:szCs w:val="24"/>
        </w:rPr>
        <w:t>)</w:t>
      </w:r>
      <w:r w:rsidR="00944227" w:rsidRPr="00944227">
        <w:rPr>
          <w:rFonts w:ascii="宋体" w:eastAsia="宋体" w:hAnsi="宋体" w:hint="eastAsia"/>
          <w:sz w:val="24"/>
          <w:szCs w:val="24"/>
        </w:rPr>
        <w:t>，投资者投资于本基金面临跟踪误差控制未达约定目标、指数编制机构停止服务、成份券停牌</w:t>
      </w:r>
      <w:r w:rsidR="001E6FDF">
        <w:rPr>
          <w:rFonts w:ascii="宋体" w:eastAsia="宋体" w:hAnsi="宋体" w:hint="eastAsia"/>
          <w:sz w:val="24"/>
          <w:szCs w:val="24"/>
        </w:rPr>
        <w:t>（或违约）</w:t>
      </w:r>
      <w:r w:rsidR="00944227" w:rsidRPr="00944227">
        <w:rPr>
          <w:rFonts w:ascii="宋体" w:eastAsia="宋体" w:hAnsi="宋体" w:hint="eastAsia"/>
          <w:sz w:val="24"/>
          <w:szCs w:val="24"/>
        </w:rPr>
        <w:t>等潜在风险，详见本基金招募说明书</w:t>
      </w:r>
      <w:r w:rsidR="00D042A8" w:rsidRPr="00D042A8">
        <w:rPr>
          <w:rFonts w:ascii="宋体" w:eastAsia="宋体" w:hAnsi="宋体" w:hint="eastAsia"/>
          <w:sz w:val="24"/>
          <w:szCs w:val="24"/>
        </w:rPr>
        <w:t>。</w:t>
      </w:r>
    </w:p>
    <w:p w:rsidR="00D042A8" w:rsidRPr="00D042A8" w:rsidRDefault="00D042A8" w:rsidP="00D042A8">
      <w:pPr>
        <w:widowControl/>
        <w:spacing w:line="360" w:lineRule="auto"/>
        <w:ind w:firstLine="420"/>
        <w:rPr>
          <w:rFonts w:ascii="宋体" w:eastAsia="宋体" w:hAnsi="宋体"/>
          <w:sz w:val="24"/>
          <w:szCs w:val="24"/>
        </w:rPr>
      </w:pPr>
      <w:r w:rsidRPr="00D042A8">
        <w:rPr>
          <w:rFonts w:ascii="宋体" w:eastAsia="宋体" w:hAnsi="宋体"/>
          <w:sz w:val="24"/>
          <w:szCs w:val="24"/>
        </w:rPr>
        <w:t>2、“释义”章节</w:t>
      </w:r>
    </w:p>
    <w:p w:rsidR="00D042A8" w:rsidRDefault="00D042A8" w:rsidP="00D042A8">
      <w:pPr>
        <w:widowControl/>
        <w:spacing w:line="360" w:lineRule="auto"/>
        <w:ind w:firstLine="420"/>
        <w:rPr>
          <w:rFonts w:ascii="宋体" w:eastAsia="宋体" w:hAnsi="宋体"/>
          <w:sz w:val="24"/>
          <w:szCs w:val="24"/>
        </w:rPr>
      </w:pPr>
      <w:r w:rsidRPr="00D042A8">
        <w:rPr>
          <w:rFonts w:ascii="宋体" w:eastAsia="宋体" w:hAnsi="宋体" w:hint="eastAsia"/>
          <w:sz w:val="24"/>
          <w:szCs w:val="24"/>
        </w:rPr>
        <w:t>“释义”章节</w:t>
      </w:r>
      <w:r w:rsidR="00BE2D41">
        <w:rPr>
          <w:rFonts w:ascii="宋体" w:eastAsia="宋体" w:hAnsi="宋体" w:hint="eastAsia"/>
          <w:sz w:val="24"/>
          <w:szCs w:val="24"/>
        </w:rPr>
        <w:t>中</w:t>
      </w:r>
      <w:r w:rsidRPr="00D042A8">
        <w:rPr>
          <w:rFonts w:ascii="宋体" w:eastAsia="宋体" w:hAnsi="宋体" w:hint="eastAsia"/>
          <w:sz w:val="24"/>
          <w:szCs w:val="24"/>
        </w:rPr>
        <w:t>增加：</w:t>
      </w:r>
      <w:r w:rsidR="0017662C" w:rsidRPr="0017662C">
        <w:rPr>
          <w:rFonts w:ascii="宋体" w:eastAsia="宋体" w:hAnsi="宋体" w:hint="eastAsia"/>
          <w:sz w:val="24"/>
          <w:szCs w:val="24"/>
        </w:rPr>
        <w:t>《指数基金指引》：指中国证监会</w:t>
      </w:r>
      <w:r w:rsidR="0017662C" w:rsidRPr="0017662C">
        <w:rPr>
          <w:rFonts w:ascii="宋体" w:eastAsia="宋体" w:hAnsi="宋体"/>
          <w:sz w:val="24"/>
          <w:szCs w:val="24"/>
        </w:rPr>
        <w:t>2021年1月22日颁布、同年2月1日实施的《公开募集证券投资基金运作指引第3号——指数基金指引》及颁布机关对其不时做出的修订</w:t>
      </w:r>
      <w:r w:rsidRPr="00D042A8">
        <w:rPr>
          <w:rFonts w:ascii="宋体" w:eastAsia="宋体" w:hAnsi="宋体" w:hint="eastAsia"/>
          <w:sz w:val="24"/>
          <w:szCs w:val="24"/>
        </w:rPr>
        <w:t>。</w:t>
      </w:r>
    </w:p>
    <w:p w:rsidR="00392302" w:rsidRPr="00684F8F" w:rsidRDefault="0017662C" w:rsidP="00392302">
      <w:pPr>
        <w:widowControl/>
        <w:spacing w:line="360" w:lineRule="auto"/>
        <w:ind w:firstLine="420"/>
        <w:rPr>
          <w:rFonts w:ascii="宋体" w:eastAsia="宋体" w:hAnsi="宋体"/>
          <w:sz w:val="24"/>
          <w:szCs w:val="24"/>
        </w:rPr>
      </w:pPr>
      <w:r>
        <w:rPr>
          <w:rFonts w:ascii="宋体" w:eastAsia="宋体" w:hAnsi="宋体" w:hint="eastAsia"/>
          <w:sz w:val="24"/>
          <w:szCs w:val="24"/>
        </w:rPr>
        <w:t>3</w:t>
      </w:r>
      <w:r w:rsidR="00392302">
        <w:rPr>
          <w:rFonts w:ascii="宋体" w:eastAsia="宋体" w:hAnsi="宋体" w:hint="eastAsia"/>
          <w:sz w:val="24"/>
          <w:szCs w:val="24"/>
        </w:rPr>
        <w:t>、</w:t>
      </w:r>
      <w:r w:rsidR="00392302" w:rsidRPr="00684F8F">
        <w:rPr>
          <w:rFonts w:ascii="宋体" w:eastAsia="宋体" w:hAnsi="宋体" w:hint="eastAsia"/>
          <w:sz w:val="24"/>
          <w:szCs w:val="24"/>
        </w:rPr>
        <w:t>《华宝中债</w:t>
      </w:r>
      <w:r w:rsidR="00392302" w:rsidRPr="00684F8F">
        <w:rPr>
          <w:rFonts w:ascii="宋体" w:eastAsia="宋体" w:hAnsi="宋体"/>
          <w:sz w:val="24"/>
          <w:szCs w:val="24"/>
        </w:rPr>
        <w:t>1-3年国开行债券指数</w:t>
      </w:r>
      <w:r w:rsidR="00392302" w:rsidRPr="00684F8F">
        <w:rPr>
          <w:rFonts w:ascii="宋体" w:eastAsia="宋体" w:hAnsi="宋体" w:hint="eastAsia"/>
          <w:sz w:val="24"/>
          <w:szCs w:val="24"/>
        </w:rPr>
        <w:t>证券投资基金基金合同》“基金的基本情况”章节</w:t>
      </w:r>
    </w:p>
    <w:p w:rsidR="00392302" w:rsidRPr="00684F8F" w:rsidRDefault="00392302" w:rsidP="00DE5AF9">
      <w:pPr>
        <w:widowControl/>
        <w:spacing w:line="360" w:lineRule="auto"/>
        <w:ind w:firstLine="420"/>
        <w:rPr>
          <w:rFonts w:ascii="宋体" w:eastAsia="宋体" w:hAnsi="宋体"/>
          <w:sz w:val="24"/>
          <w:szCs w:val="24"/>
        </w:rPr>
      </w:pPr>
      <w:r w:rsidRPr="00684F8F">
        <w:rPr>
          <w:rFonts w:ascii="宋体" w:eastAsia="宋体" w:hAnsi="宋体" w:hint="eastAsia"/>
          <w:sz w:val="24"/>
          <w:szCs w:val="24"/>
        </w:rPr>
        <w:t>将“基金的基本情况”章节</w:t>
      </w:r>
      <w:r w:rsidR="00DE5AF9">
        <w:rPr>
          <w:rFonts w:ascii="宋体" w:eastAsia="宋体" w:hAnsi="宋体" w:hint="eastAsia"/>
          <w:sz w:val="24"/>
          <w:szCs w:val="24"/>
        </w:rPr>
        <w:t>删除如下内容</w:t>
      </w:r>
      <w:r w:rsidRPr="00684F8F">
        <w:rPr>
          <w:rFonts w:ascii="宋体" w:eastAsia="宋体" w:hAnsi="宋体" w:hint="eastAsia"/>
          <w:sz w:val="24"/>
          <w:szCs w:val="24"/>
        </w:rPr>
        <w:t>：</w:t>
      </w:r>
      <w:r w:rsidR="00DE5AF9" w:rsidRPr="00DE5AF9">
        <w:rPr>
          <w:rFonts w:ascii="宋体" w:eastAsia="宋体" w:hAnsi="宋体"/>
          <w:bCs/>
          <w:sz w:val="24"/>
          <w:szCs w:val="24"/>
        </w:rPr>
        <w:t>如果指数发布机构变更或停止该指数的编制及发布、或由于指数编制方法等重大变更导致该指数不宜继续作为标的指数，或证券市场有其他代表性更强、更适合投资的指数推出时</w:t>
      </w:r>
      <w:r w:rsidR="00DE5AF9">
        <w:rPr>
          <w:rFonts w:ascii="宋体" w:eastAsia="宋体" w:hAnsi="宋体" w:hint="eastAsia"/>
          <w:bCs/>
          <w:sz w:val="24"/>
          <w:szCs w:val="24"/>
        </w:rPr>
        <w:t>，</w:t>
      </w:r>
      <w:r w:rsidR="00DE5AF9" w:rsidRPr="00DE5AF9">
        <w:rPr>
          <w:rFonts w:ascii="宋体" w:eastAsia="宋体" w:hAnsi="宋体"/>
          <w:bCs/>
          <w:sz w:val="24"/>
          <w:szCs w:val="24"/>
        </w:rPr>
        <w:t>本基金管理人可以依据维护投资者合法权益的原则</w:t>
      </w:r>
      <w:r w:rsidR="00DE5AF9">
        <w:rPr>
          <w:rFonts w:ascii="宋体" w:eastAsia="宋体" w:hAnsi="宋体" w:hint="eastAsia"/>
          <w:bCs/>
          <w:sz w:val="24"/>
          <w:szCs w:val="24"/>
        </w:rPr>
        <w:t>，</w:t>
      </w:r>
      <w:r w:rsidR="00DE5AF9" w:rsidRPr="00DE5AF9">
        <w:rPr>
          <w:rFonts w:ascii="宋体" w:eastAsia="宋体" w:hAnsi="宋体"/>
          <w:bCs/>
          <w:sz w:val="24"/>
          <w:szCs w:val="24"/>
        </w:rPr>
        <w:t>在履行适当程序后变更本基金的标的指数。其中</w:t>
      </w:r>
      <w:r w:rsidR="00DE5AF9">
        <w:rPr>
          <w:rFonts w:ascii="宋体" w:eastAsia="宋体" w:hAnsi="宋体" w:hint="eastAsia"/>
          <w:bCs/>
          <w:sz w:val="24"/>
          <w:szCs w:val="24"/>
        </w:rPr>
        <w:t>，</w:t>
      </w:r>
      <w:r w:rsidR="00DE5AF9" w:rsidRPr="00DE5AF9">
        <w:rPr>
          <w:rFonts w:ascii="宋体" w:eastAsia="宋体" w:hAnsi="宋体"/>
          <w:bCs/>
          <w:sz w:val="24"/>
          <w:szCs w:val="24"/>
        </w:rPr>
        <w:t>若变更标的指数对基金投资范围和投资策略无实质性影响</w:t>
      </w:r>
      <w:r w:rsidR="00DE5AF9" w:rsidRPr="00DE5AF9">
        <w:rPr>
          <w:rFonts w:ascii="宋体" w:eastAsia="宋体" w:hAnsi="宋体" w:hint="eastAsia"/>
          <w:bCs/>
          <w:sz w:val="24"/>
          <w:szCs w:val="24"/>
        </w:rPr>
        <w:t>(</w:t>
      </w:r>
      <w:r w:rsidR="00DE5AF9" w:rsidRPr="00DE5AF9">
        <w:rPr>
          <w:rFonts w:ascii="宋体" w:eastAsia="宋体" w:hAnsi="宋体"/>
          <w:bCs/>
          <w:sz w:val="24"/>
          <w:szCs w:val="24"/>
        </w:rPr>
        <w:t>包括但不限于指数编制单位变更、指数更名等事项</w:t>
      </w:r>
      <w:r w:rsidR="00DE5AF9" w:rsidRPr="00DE5AF9">
        <w:rPr>
          <w:rFonts w:ascii="宋体" w:eastAsia="宋体" w:hAnsi="宋体" w:hint="eastAsia"/>
          <w:bCs/>
          <w:sz w:val="24"/>
          <w:szCs w:val="24"/>
        </w:rPr>
        <w:t>)</w:t>
      </w:r>
      <w:r w:rsidR="00DE5AF9">
        <w:rPr>
          <w:rFonts w:ascii="宋体" w:eastAsia="宋体" w:hAnsi="宋体" w:hint="eastAsia"/>
          <w:bCs/>
          <w:sz w:val="24"/>
          <w:szCs w:val="24"/>
        </w:rPr>
        <w:t>，</w:t>
      </w:r>
      <w:r w:rsidR="00DE5AF9" w:rsidRPr="00DE5AF9">
        <w:rPr>
          <w:rFonts w:ascii="宋体" w:eastAsia="宋体" w:hAnsi="宋体"/>
          <w:bCs/>
          <w:sz w:val="24"/>
          <w:szCs w:val="24"/>
        </w:rPr>
        <w:t>则无需召开基金份额持有人大会</w:t>
      </w:r>
      <w:r w:rsidR="00DE5AF9">
        <w:rPr>
          <w:rFonts w:ascii="宋体" w:eastAsia="宋体" w:hAnsi="宋体" w:hint="eastAsia"/>
          <w:bCs/>
          <w:sz w:val="24"/>
          <w:szCs w:val="24"/>
        </w:rPr>
        <w:t>，</w:t>
      </w:r>
      <w:r w:rsidR="00DE5AF9" w:rsidRPr="00DE5AF9">
        <w:rPr>
          <w:rFonts w:ascii="宋体" w:eastAsia="宋体" w:hAnsi="宋体"/>
          <w:bCs/>
          <w:sz w:val="24"/>
          <w:szCs w:val="24"/>
        </w:rPr>
        <w:t>基金管理人应与基金托管人协商一致后</w:t>
      </w:r>
      <w:r w:rsidR="00DE5AF9">
        <w:rPr>
          <w:rFonts w:ascii="宋体" w:eastAsia="宋体" w:hAnsi="宋体" w:hint="eastAsia"/>
          <w:bCs/>
          <w:sz w:val="24"/>
          <w:szCs w:val="24"/>
        </w:rPr>
        <w:t>，</w:t>
      </w:r>
      <w:r w:rsidR="00DE5AF9" w:rsidRPr="00DE5AF9">
        <w:rPr>
          <w:rFonts w:ascii="宋体" w:eastAsia="宋体" w:hAnsi="宋体"/>
          <w:bCs/>
          <w:sz w:val="24"/>
          <w:szCs w:val="24"/>
        </w:rPr>
        <w:t>报中国证监会备案并及时公告。</w:t>
      </w:r>
    </w:p>
    <w:p w:rsidR="00D042A8" w:rsidRPr="00D042A8" w:rsidRDefault="00392302" w:rsidP="00392302">
      <w:pPr>
        <w:widowControl/>
        <w:spacing w:line="360" w:lineRule="auto"/>
        <w:ind w:firstLine="420"/>
        <w:rPr>
          <w:rFonts w:ascii="宋体" w:eastAsia="宋体" w:hAnsi="宋体"/>
          <w:sz w:val="24"/>
          <w:szCs w:val="24"/>
        </w:rPr>
      </w:pPr>
      <w:r w:rsidRPr="00684F8F">
        <w:rPr>
          <w:rFonts w:ascii="宋体" w:eastAsia="宋体" w:hAnsi="宋体"/>
          <w:sz w:val="24"/>
          <w:szCs w:val="24"/>
        </w:rPr>
        <w:lastRenderedPageBreak/>
        <w:t>4</w:t>
      </w:r>
      <w:r w:rsidR="0017662C">
        <w:rPr>
          <w:rFonts w:ascii="宋体" w:eastAsia="宋体" w:hAnsi="宋体" w:hint="eastAsia"/>
          <w:sz w:val="24"/>
          <w:szCs w:val="24"/>
        </w:rPr>
        <w:t>、</w:t>
      </w:r>
      <w:r w:rsidR="00D042A8" w:rsidRPr="00D042A8">
        <w:rPr>
          <w:rFonts w:ascii="宋体" w:eastAsia="宋体" w:hAnsi="宋体"/>
          <w:sz w:val="24"/>
          <w:szCs w:val="24"/>
        </w:rPr>
        <w:t>“基金的投资”章节</w:t>
      </w:r>
    </w:p>
    <w:p w:rsidR="002512B2" w:rsidRPr="00D042A8" w:rsidRDefault="002512B2" w:rsidP="002512B2">
      <w:pPr>
        <w:widowControl/>
        <w:spacing w:line="360" w:lineRule="auto"/>
        <w:ind w:firstLine="420"/>
        <w:rPr>
          <w:rFonts w:ascii="宋体" w:eastAsia="宋体" w:hAnsi="宋体"/>
          <w:sz w:val="24"/>
          <w:szCs w:val="24"/>
        </w:rPr>
      </w:pPr>
      <w:r w:rsidRPr="00684F8F">
        <w:rPr>
          <w:rFonts w:ascii="宋体" w:eastAsia="宋体" w:hAnsi="宋体" w:hint="eastAsia"/>
          <w:sz w:val="24"/>
          <w:szCs w:val="24"/>
        </w:rPr>
        <w:t>在“基金的投资”章节中“投资策略”部分增加：</w:t>
      </w:r>
      <w:r w:rsidRPr="00684F8F">
        <w:rPr>
          <w:rFonts w:ascii="宋体" w:eastAsia="宋体" w:hAnsi="宋体" w:hint="eastAsia"/>
          <w:bCs/>
          <w:sz w:val="24"/>
          <w:szCs w:val="24"/>
          <w:lang/>
        </w:rPr>
        <w:t>本基金运作过程中，当标的指数成份股(券</w:t>
      </w:r>
      <w:r w:rsidRPr="00684F8F">
        <w:rPr>
          <w:rFonts w:ascii="宋体" w:eastAsia="宋体" w:hAnsi="宋体"/>
          <w:bCs/>
          <w:sz w:val="24"/>
          <w:szCs w:val="24"/>
          <w:lang/>
        </w:rPr>
        <w:t>)</w:t>
      </w:r>
      <w:r w:rsidRPr="00684F8F">
        <w:rPr>
          <w:rFonts w:ascii="宋体" w:eastAsia="宋体" w:hAnsi="宋体" w:hint="eastAsia"/>
          <w:bCs/>
          <w:sz w:val="24"/>
          <w:szCs w:val="24"/>
          <w:lang/>
        </w:rPr>
        <w:t>发生明显负面事件面临退市(违约风险</w:t>
      </w:r>
      <w:r w:rsidRPr="00684F8F">
        <w:rPr>
          <w:rFonts w:ascii="宋体" w:eastAsia="宋体" w:hAnsi="宋体"/>
          <w:bCs/>
          <w:sz w:val="24"/>
          <w:szCs w:val="24"/>
          <w:lang/>
        </w:rPr>
        <w:t>)</w:t>
      </w:r>
      <w:r w:rsidRPr="00684F8F">
        <w:rPr>
          <w:rFonts w:ascii="宋体" w:eastAsia="宋体" w:hAnsi="宋体" w:hint="eastAsia"/>
          <w:bCs/>
          <w:sz w:val="24"/>
          <w:szCs w:val="24"/>
          <w:lang/>
        </w:rPr>
        <w:t>，且指数编制机构暂未作出调整的，基金管理人应当按照持有人利益优先的原则，履行内部决策程序后及时对相关成份股(券</w:t>
      </w:r>
      <w:r w:rsidRPr="00684F8F">
        <w:rPr>
          <w:rFonts w:ascii="宋体" w:eastAsia="宋体" w:hAnsi="宋体"/>
          <w:bCs/>
          <w:sz w:val="24"/>
          <w:szCs w:val="24"/>
          <w:lang/>
        </w:rPr>
        <w:t>)</w:t>
      </w:r>
      <w:r w:rsidRPr="00684F8F">
        <w:rPr>
          <w:rFonts w:ascii="宋体" w:eastAsia="宋体" w:hAnsi="宋体" w:hint="eastAsia"/>
          <w:bCs/>
          <w:sz w:val="24"/>
          <w:szCs w:val="24"/>
          <w:lang/>
        </w:rPr>
        <w:t>进行调整。</w:t>
      </w:r>
    </w:p>
    <w:p w:rsidR="00AB64D5" w:rsidRPr="00BE2D41" w:rsidRDefault="008F0E3F" w:rsidP="00AB64D5">
      <w:pPr>
        <w:widowControl/>
        <w:spacing w:line="360" w:lineRule="auto"/>
        <w:ind w:firstLine="420"/>
        <w:rPr>
          <w:rFonts w:ascii="宋体" w:eastAsia="宋体" w:hAnsi="宋体"/>
          <w:sz w:val="24"/>
          <w:szCs w:val="24"/>
        </w:rPr>
      </w:pPr>
      <w:r>
        <w:rPr>
          <w:rFonts w:ascii="宋体" w:eastAsia="宋体" w:hAnsi="宋体" w:hint="eastAsia"/>
          <w:sz w:val="24"/>
          <w:szCs w:val="24"/>
        </w:rPr>
        <w:t>将</w:t>
      </w:r>
      <w:r w:rsidR="00D042A8" w:rsidRPr="00D042A8">
        <w:rPr>
          <w:rFonts w:ascii="宋体" w:eastAsia="宋体" w:hAnsi="宋体" w:hint="eastAsia"/>
          <w:sz w:val="24"/>
          <w:szCs w:val="24"/>
        </w:rPr>
        <w:t>“基金的投资”章节</w:t>
      </w:r>
      <w:r w:rsidR="00392302" w:rsidRPr="00684F8F">
        <w:rPr>
          <w:rFonts w:ascii="宋体" w:eastAsia="宋体" w:hAnsi="宋体"/>
          <w:sz w:val="24"/>
          <w:szCs w:val="24"/>
        </w:rPr>
        <w:t>中标的指数</w:t>
      </w:r>
      <w:r w:rsidR="00392302" w:rsidRPr="00684F8F">
        <w:rPr>
          <w:rFonts w:ascii="宋体" w:eastAsia="宋体" w:hAnsi="宋体" w:hint="eastAsia"/>
          <w:sz w:val="24"/>
          <w:szCs w:val="24"/>
        </w:rPr>
        <w:t>、业绩比较基准部分</w:t>
      </w:r>
      <w:bookmarkStart w:id="0" w:name="_Hlk64902912"/>
      <w:r>
        <w:rPr>
          <w:rFonts w:ascii="宋体" w:eastAsia="宋体" w:hAnsi="宋体" w:hint="eastAsia"/>
          <w:sz w:val="24"/>
          <w:szCs w:val="24"/>
        </w:rPr>
        <w:t>调整为</w:t>
      </w:r>
      <w:bookmarkEnd w:id="0"/>
      <w:r w:rsidR="001B75B1">
        <w:rPr>
          <w:rFonts w:ascii="宋体" w:eastAsia="宋体" w:hAnsi="宋体" w:hint="eastAsia"/>
          <w:sz w:val="24"/>
          <w:szCs w:val="24"/>
        </w:rPr>
        <w:t>：</w:t>
      </w:r>
      <w:r w:rsidR="00AB64D5" w:rsidRPr="00BE2D41">
        <w:rPr>
          <w:rFonts w:ascii="宋体" w:eastAsia="宋体" w:hAnsi="宋体" w:hint="eastAsia"/>
          <w:sz w:val="24"/>
          <w:szCs w:val="24"/>
        </w:rPr>
        <w:t>未来若</w:t>
      </w:r>
      <w:r w:rsidR="00392302" w:rsidRPr="00684F8F">
        <w:rPr>
          <w:rFonts w:ascii="宋体" w:eastAsia="宋体" w:hAnsi="宋体" w:hint="eastAsia"/>
          <w:bCs/>
          <w:sz w:val="24"/>
          <w:szCs w:val="24"/>
        </w:rPr>
        <w:t>(如果目标E</w:t>
      </w:r>
      <w:r w:rsidR="00392302" w:rsidRPr="00684F8F">
        <w:rPr>
          <w:rFonts w:ascii="宋体" w:eastAsia="宋体" w:hAnsi="宋体"/>
          <w:bCs/>
          <w:sz w:val="24"/>
          <w:szCs w:val="24"/>
        </w:rPr>
        <w:t>TF)</w:t>
      </w:r>
      <w:r w:rsidR="00AB64D5" w:rsidRPr="00BE2D41">
        <w:rPr>
          <w:rFonts w:ascii="宋体" w:eastAsia="宋体" w:hAnsi="宋体" w:hint="eastAsia"/>
          <w:sz w:val="24"/>
          <w:szCs w:val="24"/>
        </w:rPr>
        <w:t>出现标的指数不符合要求（</w:t>
      </w:r>
      <w:r w:rsidR="001A53E5" w:rsidRPr="001A53E5">
        <w:rPr>
          <w:rFonts w:ascii="宋体" w:eastAsia="宋体" w:hAnsi="宋体" w:hint="eastAsia"/>
          <w:sz w:val="24"/>
          <w:szCs w:val="24"/>
        </w:rPr>
        <w:t>不包括</w:t>
      </w:r>
      <w:r w:rsidR="00AB64D5" w:rsidRPr="00BE2D41">
        <w:rPr>
          <w:rFonts w:ascii="宋体" w:eastAsia="宋体" w:hAnsi="宋体" w:hint="eastAsia"/>
          <w:sz w:val="24"/>
          <w:szCs w:val="24"/>
        </w:rPr>
        <w:t>因成份股</w:t>
      </w:r>
      <w:r w:rsidR="006B5529">
        <w:rPr>
          <w:rFonts w:ascii="宋体" w:eastAsia="宋体" w:hAnsi="宋体" w:hint="eastAsia"/>
          <w:sz w:val="24"/>
          <w:szCs w:val="24"/>
        </w:rPr>
        <w:t>（券）</w:t>
      </w:r>
      <w:r w:rsidR="00AB64D5" w:rsidRPr="00BE2D41">
        <w:rPr>
          <w:rFonts w:ascii="宋体" w:eastAsia="宋体" w:hAnsi="宋体" w:hint="eastAsia"/>
          <w:sz w:val="24"/>
          <w:szCs w:val="24"/>
        </w:rPr>
        <w:t>价格波动等指数编制方法变动之外的因素致使标的指数不符合要求的情形）、指数编制机构退出等情形，基金管理人应当自该情形发生之日起十个工作日</w:t>
      </w:r>
      <w:r w:rsidR="001A53E5" w:rsidRPr="001A53E5">
        <w:rPr>
          <w:rFonts w:ascii="宋体" w:eastAsia="宋体" w:hAnsi="宋体" w:hint="eastAsia"/>
          <w:bCs/>
          <w:sz w:val="24"/>
          <w:szCs w:val="24"/>
        </w:rPr>
        <w:t>内向</w:t>
      </w:r>
      <w:r w:rsidR="001A53E5" w:rsidRPr="001A53E5">
        <w:rPr>
          <w:rFonts w:ascii="宋体" w:eastAsia="宋体" w:hAnsi="宋体" w:hint="eastAsia"/>
          <w:sz w:val="24"/>
          <w:szCs w:val="24"/>
        </w:rPr>
        <w:t>中国证监会报告并提出解决方案，如</w:t>
      </w:r>
      <w:r w:rsidR="001A53E5" w:rsidRPr="001A53E5">
        <w:rPr>
          <w:rFonts w:ascii="宋体" w:eastAsia="宋体" w:hAnsi="宋体" w:hint="eastAsia"/>
          <w:bCs/>
          <w:sz w:val="24"/>
          <w:szCs w:val="24"/>
        </w:rPr>
        <w:t>对</w:t>
      </w:r>
      <w:r w:rsidR="001A53E5" w:rsidRPr="001A53E5">
        <w:rPr>
          <w:rFonts w:ascii="宋体" w:eastAsia="宋体" w:hAnsi="宋体" w:hint="eastAsia"/>
          <w:sz w:val="24"/>
          <w:szCs w:val="24"/>
        </w:rPr>
        <w:t>基金</w:t>
      </w:r>
      <w:r w:rsidR="001A53E5" w:rsidRPr="001A53E5">
        <w:rPr>
          <w:rFonts w:ascii="宋体" w:eastAsia="宋体" w:hAnsi="宋体" w:hint="eastAsia"/>
          <w:bCs/>
          <w:sz w:val="24"/>
          <w:szCs w:val="24"/>
        </w:rPr>
        <w:t>份额持有人利益有实质性影响，则</w:t>
      </w:r>
      <w:r w:rsidR="001A53E5" w:rsidRPr="001A53E5">
        <w:rPr>
          <w:rFonts w:ascii="宋体" w:eastAsia="宋体" w:hAnsi="宋体" w:hint="eastAsia"/>
          <w:sz w:val="24"/>
          <w:szCs w:val="24"/>
        </w:rPr>
        <w:t>在6个月内召集基金份额持有人大会进行表决</w:t>
      </w:r>
      <w:r w:rsidR="00AB64D5" w:rsidRPr="00BE2D41">
        <w:rPr>
          <w:rFonts w:ascii="宋体" w:eastAsia="宋体" w:hAnsi="宋体"/>
          <w:sz w:val="24"/>
          <w:szCs w:val="24"/>
        </w:rPr>
        <w:t>。</w:t>
      </w:r>
    </w:p>
    <w:p w:rsidR="00D042A8" w:rsidRPr="00D042A8" w:rsidRDefault="00AB64D5">
      <w:pPr>
        <w:widowControl/>
        <w:spacing w:line="360" w:lineRule="auto"/>
        <w:ind w:firstLine="420"/>
        <w:rPr>
          <w:rFonts w:ascii="宋体" w:eastAsia="宋体" w:hAnsi="宋体"/>
          <w:sz w:val="24"/>
          <w:szCs w:val="24"/>
        </w:rPr>
      </w:pPr>
      <w:r w:rsidRPr="00BE2D41">
        <w:rPr>
          <w:rFonts w:ascii="宋体" w:eastAsia="宋体" w:hAnsi="宋体" w:hint="eastAsia"/>
          <w:sz w:val="24"/>
          <w:szCs w:val="24"/>
        </w:rPr>
        <w:t>自指数编制机构停止标的指数的编制及发布至解决方案确定期间，基金管理人应按照指数编制机构提供的最近一个交易日的指数信息遵循基金份额持有人利益优先原则维持基金投资运作</w:t>
      </w:r>
      <w:r w:rsidR="00847D74">
        <w:rPr>
          <w:rFonts w:ascii="宋体" w:eastAsia="宋体" w:hAnsi="宋体" w:hint="eastAsia"/>
          <w:sz w:val="24"/>
          <w:szCs w:val="24"/>
        </w:rPr>
        <w:t>。</w:t>
      </w:r>
    </w:p>
    <w:p w:rsidR="00C04C35" w:rsidRDefault="007E705A" w:rsidP="00DB4F83">
      <w:pPr>
        <w:widowControl/>
        <w:spacing w:line="360" w:lineRule="auto"/>
        <w:ind w:firstLine="420"/>
        <w:rPr>
          <w:rFonts w:ascii="宋体" w:eastAsia="宋体" w:hAnsi="宋体"/>
          <w:sz w:val="24"/>
          <w:szCs w:val="24"/>
        </w:rPr>
      </w:pPr>
      <w:r>
        <w:rPr>
          <w:rFonts w:ascii="宋体" w:eastAsia="宋体" w:hAnsi="宋体" w:hint="eastAsia"/>
          <w:sz w:val="24"/>
          <w:szCs w:val="24"/>
        </w:rPr>
        <w:t>（二）</w:t>
      </w:r>
      <w:r w:rsidR="00D44212">
        <w:rPr>
          <w:rFonts w:ascii="宋体" w:eastAsia="宋体" w:hAnsi="宋体" w:hint="eastAsia"/>
          <w:sz w:val="24"/>
          <w:szCs w:val="24"/>
        </w:rPr>
        <w:t>招募说明书、产品资料概要涉及到上述相关内容也已进行相应修订，并在基金招募说明书（更新）、产品资料概要（更新）中增加</w:t>
      </w:r>
      <w:r w:rsidR="00271CAB">
        <w:rPr>
          <w:rFonts w:ascii="宋体" w:eastAsia="宋体" w:hAnsi="宋体" w:hint="eastAsia"/>
          <w:sz w:val="24"/>
          <w:szCs w:val="24"/>
        </w:rPr>
        <w:t>指数基金相关的风险揭示内容。</w:t>
      </w:r>
    </w:p>
    <w:p w:rsidR="00B24812" w:rsidRPr="00B24812" w:rsidRDefault="007E705A" w:rsidP="00B24812">
      <w:pPr>
        <w:widowControl/>
        <w:spacing w:line="360" w:lineRule="auto"/>
        <w:ind w:firstLine="420"/>
        <w:rPr>
          <w:rFonts w:ascii="宋体" w:eastAsia="宋体" w:hAnsi="宋体"/>
          <w:sz w:val="24"/>
          <w:szCs w:val="24"/>
        </w:rPr>
      </w:pPr>
      <w:r>
        <w:rPr>
          <w:rFonts w:ascii="宋体" w:eastAsia="宋体" w:hAnsi="宋体" w:hint="eastAsia"/>
          <w:sz w:val="24"/>
          <w:szCs w:val="24"/>
        </w:rPr>
        <w:t>二、</w:t>
      </w:r>
      <w:r w:rsidR="00B24812" w:rsidRPr="00B24812">
        <w:rPr>
          <w:rFonts w:ascii="宋体" w:eastAsia="宋体" w:hAnsi="宋体" w:hint="eastAsia"/>
          <w:sz w:val="24"/>
          <w:szCs w:val="24"/>
        </w:rPr>
        <w:t>根据《中华人民共和国证券法》、《公开募集证券投资基金信息披露管理办法》、《存托凭证发行与交易管理办法（试行）》等法律法规及</w:t>
      </w:r>
      <w:r w:rsidR="00392302" w:rsidRPr="00BB0E6D">
        <w:rPr>
          <w:rFonts w:ascii="宋体" w:eastAsia="宋体" w:hAnsi="宋体" w:hint="eastAsia"/>
          <w:sz w:val="24"/>
          <w:szCs w:val="24"/>
        </w:rPr>
        <w:t>各基金基金合同</w:t>
      </w:r>
      <w:r w:rsidR="00B24812" w:rsidRPr="00B24812">
        <w:rPr>
          <w:rFonts w:ascii="宋体" w:eastAsia="宋体" w:hAnsi="宋体" w:hint="eastAsia"/>
          <w:sz w:val="24"/>
          <w:szCs w:val="24"/>
        </w:rPr>
        <w:t>的相关规定，</w:t>
      </w:r>
      <w:r w:rsidR="00B24812">
        <w:rPr>
          <w:rFonts w:ascii="宋体" w:eastAsia="宋体" w:hAnsi="宋体" w:hint="eastAsia"/>
          <w:sz w:val="24"/>
          <w:szCs w:val="24"/>
        </w:rPr>
        <w:t>本公司</w:t>
      </w:r>
      <w:r w:rsidR="00B24812" w:rsidRPr="00B24812">
        <w:rPr>
          <w:rFonts w:ascii="宋体" w:eastAsia="宋体" w:hAnsi="宋体" w:hint="eastAsia"/>
          <w:sz w:val="24"/>
          <w:szCs w:val="24"/>
        </w:rPr>
        <w:t>经与</w:t>
      </w:r>
      <w:r w:rsidR="00ED33C1">
        <w:rPr>
          <w:rFonts w:ascii="宋体" w:eastAsia="宋体" w:hAnsi="宋体" w:hint="eastAsia"/>
          <w:sz w:val="24"/>
          <w:szCs w:val="24"/>
        </w:rPr>
        <w:t>各</w:t>
      </w:r>
      <w:r w:rsidR="00B24812" w:rsidRPr="00B24812">
        <w:rPr>
          <w:rFonts w:ascii="宋体" w:eastAsia="宋体" w:hAnsi="宋体" w:hint="eastAsia"/>
          <w:sz w:val="24"/>
          <w:szCs w:val="24"/>
        </w:rPr>
        <w:t>基金托管人协商一致，并向中国证监会备案，对华宝中证智能制造主题交易型开放式指数证券投资基金、华宝中证沪港深</w:t>
      </w:r>
      <w:r w:rsidR="00B24812" w:rsidRPr="00B24812">
        <w:rPr>
          <w:rFonts w:ascii="宋体" w:eastAsia="宋体" w:hAnsi="宋体"/>
          <w:sz w:val="24"/>
          <w:szCs w:val="24"/>
        </w:rPr>
        <w:t>500交易型开放式指数证券投资基金、华宝中证有色金属交易型开放式指数证券投资基金</w:t>
      </w:r>
      <w:r w:rsidR="00B24812" w:rsidRPr="00B24812">
        <w:rPr>
          <w:rFonts w:ascii="宋体" w:eastAsia="宋体" w:hAnsi="宋体" w:hint="eastAsia"/>
          <w:sz w:val="24"/>
          <w:szCs w:val="24"/>
        </w:rPr>
        <w:t>参与存托凭证投资修订基金合同等法律文件，包括明确投资范围包含存托凭证、增加存托凭证的投资策略、投资比例限制、估值方法等内容，并将在更新的招募说明书、基金产品资料概要中进行相应更新及增加投资存托凭证的风险揭示。</w:t>
      </w:r>
    </w:p>
    <w:p w:rsidR="00B24812" w:rsidRPr="00B24812" w:rsidRDefault="00392302" w:rsidP="00B24812">
      <w:pPr>
        <w:widowControl/>
        <w:spacing w:line="360" w:lineRule="auto"/>
        <w:ind w:firstLine="420"/>
        <w:rPr>
          <w:rFonts w:ascii="宋体" w:eastAsia="宋体" w:hAnsi="宋体"/>
          <w:sz w:val="24"/>
          <w:szCs w:val="24"/>
        </w:rPr>
      </w:pPr>
      <w:r>
        <w:rPr>
          <w:rFonts w:ascii="宋体" w:eastAsia="宋体" w:hAnsi="宋体" w:hint="eastAsia"/>
          <w:sz w:val="24"/>
          <w:szCs w:val="24"/>
        </w:rPr>
        <w:t>各基金</w:t>
      </w:r>
      <w:r w:rsidR="00B24812" w:rsidRPr="00B24812">
        <w:rPr>
          <w:rFonts w:ascii="宋体" w:eastAsia="宋体" w:hAnsi="宋体" w:hint="eastAsia"/>
          <w:sz w:val="24"/>
          <w:szCs w:val="24"/>
        </w:rPr>
        <w:t>基金合同和托管协议修订内容如下：</w:t>
      </w:r>
    </w:p>
    <w:p w:rsidR="00B24812" w:rsidRPr="00B24812" w:rsidRDefault="00B24812" w:rsidP="00B24812">
      <w:pPr>
        <w:widowControl/>
        <w:spacing w:line="360" w:lineRule="auto"/>
        <w:ind w:firstLine="420"/>
        <w:rPr>
          <w:rFonts w:ascii="宋体" w:eastAsia="宋体" w:hAnsi="宋体"/>
          <w:sz w:val="24"/>
          <w:szCs w:val="24"/>
        </w:rPr>
      </w:pPr>
      <w:r w:rsidRPr="00B24812">
        <w:rPr>
          <w:rFonts w:ascii="宋体" w:eastAsia="宋体" w:hAnsi="宋体" w:hint="eastAsia"/>
          <w:sz w:val="24"/>
          <w:szCs w:val="24"/>
        </w:rPr>
        <w:t>（一）基金合同具体修订内容</w:t>
      </w:r>
    </w:p>
    <w:p w:rsidR="00B24812" w:rsidRPr="00B24812" w:rsidRDefault="00B24812" w:rsidP="00B24812">
      <w:pPr>
        <w:widowControl/>
        <w:spacing w:line="360" w:lineRule="auto"/>
        <w:ind w:firstLine="420"/>
        <w:rPr>
          <w:rFonts w:ascii="宋体" w:eastAsia="宋体" w:hAnsi="宋体"/>
          <w:sz w:val="24"/>
          <w:szCs w:val="24"/>
        </w:rPr>
      </w:pPr>
      <w:r w:rsidRPr="00B24812">
        <w:rPr>
          <w:rFonts w:ascii="宋体" w:eastAsia="宋体" w:hAnsi="宋体"/>
          <w:sz w:val="24"/>
          <w:szCs w:val="24"/>
        </w:rPr>
        <w:t>1、明确“投资范围”中“股票”包含存托凭证</w:t>
      </w:r>
    </w:p>
    <w:p w:rsidR="00B24812" w:rsidRPr="00B24812" w:rsidRDefault="00B24812" w:rsidP="00B24812">
      <w:pPr>
        <w:widowControl/>
        <w:spacing w:line="360" w:lineRule="auto"/>
        <w:ind w:firstLine="420"/>
        <w:rPr>
          <w:rFonts w:ascii="宋体" w:eastAsia="宋体" w:hAnsi="宋体"/>
          <w:sz w:val="24"/>
          <w:szCs w:val="24"/>
        </w:rPr>
      </w:pPr>
      <w:r w:rsidRPr="00B24812">
        <w:rPr>
          <w:rFonts w:ascii="宋体" w:eastAsia="宋体" w:hAnsi="宋体"/>
          <w:sz w:val="24"/>
          <w:szCs w:val="24"/>
        </w:rPr>
        <w:lastRenderedPageBreak/>
        <w:t>2、在股票投资策略部分增加存托凭证投资策略描述如下：</w:t>
      </w:r>
      <w:r w:rsidRPr="00B24812">
        <w:rPr>
          <w:rFonts w:ascii="宋体" w:eastAsia="宋体" w:hAnsi="宋体" w:hint="eastAsia"/>
          <w:sz w:val="24"/>
          <w:szCs w:val="24"/>
        </w:rPr>
        <w:t>对于存托凭证投资，本基金将在深入研究的基础上，通过定性分析和定量分析相结合的方式，精选出具有比较优势的存托凭证。</w:t>
      </w:r>
    </w:p>
    <w:p w:rsidR="00B24812" w:rsidRPr="00B24812" w:rsidRDefault="00B24812" w:rsidP="00B24812">
      <w:pPr>
        <w:widowControl/>
        <w:spacing w:line="360" w:lineRule="auto"/>
        <w:ind w:firstLine="420"/>
        <w:rPr>
          <w:rFonts w:ascii="宋体" w:eastAsia="宋体" w:hAnsi="宋体"/>
          <w:sz w:val="24"/>
          <w:szCs w:val="24"/>
        </w:rPr>
      </w:pPr>
      <w:r w:rsidRPr="00B24812">
        <w:rPr>
          <w:rFonts w:ascii="宋体" w:eastAsia="宋体" w:hAnsi="宋体"/>
          <w:sz w:val="24"/>
          <w:szCs w:val="24"/>
        </w:rPr>
        <w:t>3、在“投资限制”中增加存托凭证投资限制描述如下：</w:t>
      </w:r>
      <w:r w:rsidRPr="00B24812">
        <w:rPr>
          <w:rFonts w:ascii="宋体" w:eastAsia="宋体" w:hAnsi="宋体" w:hint="eastAsia"/>
          <w:sz w:val="24"/>
          <w:szCs w:val="24"/>
        </w:rPr>
        <w:t>本基金投资存托凭证的比例限制依照境内上市交易的股票执行，与境内上市交易的股票合并计算</w:t>
      </w:r>
      <w:r w:rsidR="00260929">
        <w:rPr>
          <w:rFonts w:ascii="宋体" w:eastAsia="宋体" w:hAnsi="宋体" w:hint="eastAsia"/>
          <w:sz w:val="24"/>
          <w:szCs w:val="24"/>
        </w:rPr>
        <w:t>。</w:t>
      </w:r>
    </w:p>
    <w:p w:rsidR="00B24812" w:rsidRPr="00B24812" w:rsidRDefault="00B24812" w:rsidP="00B24812">
      <w:pPr>
        <w:widowControl/>
        <w:spacing w:line="360" w:lineRule="auto"/>
        <w:ind w:firstLine="420"/>
        <w:rPr>
          <w:rFonts w:ascii="宋体" w:eastAsia="宋体" w:hAnsi="宋体"/>
          <w:sz w:val="24"/>
          <w:szCs w:val="24"/>
        </w:rPr>
      </w:pPr>
      <w:r w:rsidRPr="00B24812">
        <w:rPr>
          <w:rFonts w:ascii="宋体" w:eastAsia="宋体" w:hAnsi="宋体"/>
          <w:sz w:val="24"/>
          <w:szCs w:val="24"/>
        </w:rPr>
        <w:t>4、在“基金资产估值”部分的“估值方法”中增加存托凭证估值方法描述如下：</w:t>
      </w:r>
      <w:r w:rsidRPr="00B24812">
        <w:rPr>
          <w:rFonts w:ascii="宋体" w:eastAsia="宋体" w:hAnsi="宋体" w:hint="eastAsia"/>
          <w:sz w:val="24"/>
          <w:szCs w:val="24"/>
        </w:rPr>
        <w:t>本基金投资存托凭证的估值核算，依照境内上市交易的股票执行。</w:t>
      </w:r>
    </w:p>
    <w:p w:rsidR="007E705A" w:rsidRDefault="00B24812" w:rsidP="00B24812">
      <w:pPr>
        <w:widowControl/>
        <w:spacing w:line="360" w:lineRule="auto"/>
        <w:ind w:firstLine="420"/>
        <w:rPr>
          <w:rFonts w:ascii="宋体" w:eastAsia="宋体" w:hAnsi="宋体"/>
          <w:sz w:val="24"/>
          <w:szCs w:val="24"/>
        </w:rPr>
      </w:pPr>
      <w:r w:rsidRPr="00B24812">
        <w:rPr>
          <w:rFonts w:ascii="宋体" w:eastAsia="宋体" w:hAnsi="宋体" w:hint="eastAsia"/>
          <w:sz w:val="24"/>
          <w:szCs w:val="24"/>
        </w:rPr>
        <w:t>（二）托管协议涉及上述内容的条款一并调整。</w:t>
      </w:r>
    </w:p>
    <w:p w:rsidR="002960E3" w:rsidRDefault="00226D82" w:rsidP="00C1301E">
      <w:pPr>
        <w:widowControl/>
        <w:spacing w:line="360" w:lineRule="auto"/>
        <w:ind w:firstLine="420"/>
        <w:rPr>
          <w:rFonts w:ascii="宋体" w:eastAsia="宋体" w:hAnsi="宋体"/>
          <w:sz w:val="24"/>
          <w:szCs w:val="24"/>
        </w:rPr>
      </w:pPr>
      <w:r>
        <w:rPr>
          <w:rFonts w:ascii="宋体" w:eastAsia="宋体" w:hAnsi="宋体" w:hint="eastAsia"/>
          <w:sz w:val="24"/>
          <w:szCs w:val="24"/>
        </w:rPr>
        <w:t>三</w:t>
      </w:r>
      <w:r w:rsidR="002960E3" w:rsidRPr="002960E3">
        <w:rPr>
          <w:rFonts w:ascii="宋体" w:eastAsia="宋体" w:hAnsi="宋体" w:hint="eastAsia"/>
          <w:sz w:val="24"/>
          <w:szCs w:val="24"/>
        </w:rPr>
        <w:t>、重要提示</w:t>
      </w:r>
    </w:p>
    <w:p w:rsidR="007E705A" w:rsidRDefault="007E705A" w:rsidP="00C1301E">
      <w:pPr>
        <w:widowControl/>
        <w:spacing w:line="360" w:lineRule="auto"/>
        <w:ind w:firstLine="420"/>
        <w:rPr>
          <w:rFonts w:ascii="宋体" w:eastAsia="宋体" w:hAnsi="宋体"/>
          <w:sz w:val="24"/>
          <w:szCs w:val="24"/>
        </w:rPr>
      </w:pPr>
      <w:r>
        <w:rPr>
          <w:rFonts w:ascii="宋体" w:eastAsia="宋体" w:hAnsi="宋体" w:hint="eastAsia"/>
          <w:sz w:val="24"/>
          <w:szCs w:val="24"/>
        </w:rPr>
        <w:t>1、</w:t>
      </w:r>
      <w:r w:rsidRPr="007E705A">
        <w:rPr>
          <w:rFonts w:ascii="宋体" w:eastAsia="宋体" w:hAnsi="宋体" w:hint="eastAsia"/>
          <w:sz w:val="24"/>
          <w:szCs w:val="24"/>
        </w:rPr>
        <w:t>本次修订系因相应的法律法规发生变动而进行的修改，对基金份额持有人利益无实质性不利影响，无需召开份额持有人大会，修订将自</w:t>
      </w:r>
      <w:r w:rsidRPr="007E705A">
        <w:rPr>
          <w:rFonts w:ascii="宋体" w:eastAsia="宋体" w:hAnsi="宋体"/>
          <w:sz w:val="24"/>
          <w:szCs w:val="24"/>
        </w:rPr>
        <w:t>2021年3月</w:t>
      </w:r>
      <w:r w:rsidR="00260929">
        <w:rPr>
          <w:rFonts w:ascii="宋体" w:eastAsia="宋体" w:hAnsi="宋体" w:hint="eastAsia"/>
          <w:sz w:val="24"/>
          <w:szCs w:val="24"/>
        </w:rPr>
        <w:t>31</w:t>
      </w:r>
      <w:r w:rsidRPr="007E705A">
        <w:rPr>
          <w:rFonts w:ascii="宋体" w:eastAsia="宋体" w:hAnsi="宋体"/>
          <w:sz w:val="24"/>
          <w:szCs w:val="24"/>
        </w:rPr>
        <w:t>日起正式生效。</w:t>
      </w:r>
    </w:p>
    <w:p w:rsidR="00FA17D9" w:rsidRPr="00322435" w:rsidRDefault="00B24812" w:rsidP="004B77A8">
      <w:pPr>
        <w:widowControl/>
        <w:spacing w:line="360" w:lineRule="auto"/>
        <w:ind w:firstLine="420"/>
        <w:rPr>
          <w:rFonts w:ascii="宋体" w:eastAsia="宋体" w:hAnsi="宋体"/>
          <w:sz w:val="24"/>
          <w:szCs w:val="24"/>
        </w:rPr>
      </w:pPr>
      <w:r>
        <w:rPr>
          <w:rFonts w:ascii="宋体" w:eastAsia="宋体" w:hAnsi="宋体" w:hint="eastAsia"/>
          <w:sz w:val="24"/>
          <w:szCs w:val="24"/>
        </w:rPr>
        <w:t>2</w:t>
      </w:r>
      <w:r w:rsidR="00D7178C">
        <w:rPr>
          <w:rFonts w:ascii="宋体" w:eastAsia="宋体" w:hAnsi="宋体" w:hint="eastAsia"/>
          <w:sz w:val="24"/>
          <w:szCs w:val="24"/>
        </w:rPr>
        <w:t>、</w:t>
      </w:r>
      <w:r w:rsidR="004B77A8" w:rsidRPr="004B77A8">
        <w:rPr>
          <w:rFonts w:ascii="宋体" w:eastAsia="宋体" w:hAnsi="宋体"/>
          <w:sz w:val="24"/>
          <w:szCs w:val="24"/>
        </w:rPr>
        <w:t>基金管理人已履行了规定程</w:t>
      </w:r>
      <w:r w:rsidR="004B77A8" w:rsidRPr="004B77A8">
        <w:rPr>
          <w:rFonts w:ascii="宋体" w:eastAsia="宋体" w:hAnsi="宋体" w:hint="eastAsia"/>
          <w:sz w:val="24"/>
          <w:szCs w:val="24"/>
        </w:rPr>
        <w:t>序，符合相关法律法规的规定及</w:t>
      </w:r>
      <w:r w:rsidR="00226D82">
        <w:rPr>
          <w:rFonts w:ascii="宋体" w:eastAsia="宋体" w:hAnsi="宋体" w:hint="eastAsia"/>
          <w:sz w:val="24"/>
          <w:szCs w:val="24"/>
        </w:rPr>
        <w:t>各</w:t>
      </w:r>
      <w:r w:rsidR="004B77A8" w:rsidRPr="004B77A8">
        <w:rPr>
          <w:rFonts w:ascii="宋体" w:eastAsia="宋体" w:hAnsi="宋体" w:hint="eastAsia"/>
          <w:sz w:val="24"/>
          <w:szCs w:val="24"/>
        </w:rPr>
        <w:t>基金基金合同的约定。修改后的</w:t>
      </w:r>
      <w:r w:rsidR="00226D82">
        <w:rPr>
          <w:rFonts w:ascii="宋体" w:eastAsia="宋体" w:hAnsi="宋体" w:hint="eastAsia"/>
          <w:sz w:val="24"/>
          <w:szCs w:val="24"/>
        </w:rPr>
        <w:t>各</w:t>
      </w:r>
      <w:r w:rsidR="00E66CB8">
        <w:rPr>
          <w:rFonts w:ascii="宋体" w:eastAsia="宋体" w:hAnsi="宋体" w:hint="eastAsia"/>
          <w:sz w:val="24"/>
          <w:szCs w:val="24"/>
        </w:rPr>
        <w:t>基金基金合同全文将与本公告同日登载于基金管理人网站</w:t>
      </w:r>
      <w:r w:rsidR="003E1733">
        <w:rPr>
          <w:rFonts w:ascii="宋体" w:eastAsia="宋体" w:hAnsi="宋体" w:hint="eastAsia"/>
          <w:sz w:val="24"/>
          <w:szCs w:val="24"/>
        </w:rPr>
        <w:t>（www.fsfund.com）</w:t>
      </w:r>
      <w:r w:rsidR="004B77A8" w:rsidRPr="004B77A8">
        <w:rPr>
          <w:rFonts w:ascii="宋体" w:eastAsia="宋体" w:hAnsi="宋体"/>
          <w:sz w:val="24"/>
          <w:szCs w:val="24"/>
        </w:rPr>
        <w:t>及中国证监会</w:t>
      </w:r>
      <w:r w:rsidR="004B77A8" w:rsidRPr="004B77A8">
        <w:rPr>
          <w:rFonts w:ascii="宋体" w:eastAsia="宋体" w:hAnsi="宋体" w:hint="eastAsia"/>
          <w:sz w:val="24"/>
          <w:szCs w:val="24"/>
        </w:rPr>
        <w:t>基金电子披露网站（</w:t>
      </w:r>
      <w:r w:rsidR="004B77A8" w:rsidRPr="004B77A8">
        <w:rPr>
          <w:rFonts w:ascii="宋体" w:eastAsia="宋体" w:hAnsi="宋体"/>
          <w:sz w:val="24"/>
          <w:szCs w:val="24"/>
        </w:rPr>
        <w:t>http://eid.csrc.gov.cn/fund）</w:t>
      </w:r>
      <w:r w:rsidR="00226D82">
        <w:rPr>
          <w:rFonts w:ascii="宋体" w:eastAsia="宋体" w:hAnsi="宋体" w:hint="eastAsia"/>
          <w:sz w:val="24"/>
          <w:szCs w:val="24"/>
        </w:rPr>
        <w:t>。</w:t>
      </w:r>
      <w:r w:rsidR="008E77E4">
        <w:rPr>
          <w:rFonts w:ascii="宋体" w:eastAsia="宋体" w:hAnsi="宋体" w:hint="eastAsia"/>
          <w:sz w:val="24"/>
          <w:szCs w:val="24"/>
        </w:rPr>
        <w:t>本次修订后的招募说明书（更新）和产品资料概要（更新）将在本公司网站发布</w:t>
      </w:r>
      <w:r w:rsidR="00D7178C">
        <w:rPr>
          <w:rFonts w:ascii="宋体" w:eastAsia="宋体" w:hAnsi="宋体" w:hint="eastAsia"/>
          <w:sz w:val="24"/>
          <w:szCs w:val="24"/>
        </w:rPr>
        <w:t>，供投资者查阅。</w:t>
      </w:r>
    </w:p>
    <w:p w:rsidR="003E1733" w:rsidRDefault="00B24812" w:rsidP="003E1733">
      <w:pPr>
        <w:widowControl/>
        <w:spacing w:line="360" w:lineRule="auto"/>
        <w:ind w:firstLine="420"/>
        <w:rPr>
          <w:rFonts w:ascii="宋体" w:eastAsia="宋体" w:hAnsi="宋体"/>
          <w:sz w:val="24"/>
          <w:szCs w:val="24"/>
        </w:rPr>
      </w:pPr>
      <w:r>
        <w:rPr>
          <w:rFonts w:ascii="宋体" w:eastAsia="宋体" w:hAnsi="宋体" w:hint="eastAsia"/>
          <w:sz w:val="24"/>
          <w:szCs w:val="24"/>
        </w:rPr>
        <w:t>3</w:t>
      </w:r>
      <w:r w:rsidR="000775A2" w:rsidRPr="000775A2">
        <w:rPr>
          <w:rFonts w:ascii="宋体" w:eastAsia="宋体" w:hAnsi="宋体"/>
          <w:sz w:val="24"/>
          <w:szCs w:val="24"/>
        </w:rPr>
        <w:t>、</w:t>
      </w:r>
      <w:r w:rsidR="003E1733" w:rsidRPr="003E1733">
        <w:rPr>
          <w:rFonts w:ascii="宋体" w:eastAsia="宋体" w:hAnsi="宋体" w:hint="eastAsia"/>
          <w:sz w:val="24"/>
          <w:szCs w:val="24"/>
        </w:rPr>
        <w:t>投资者可登陆本公司网站（</w:t>
      </w:r>
      <w:r w:rsidR="003E1733" w:rsidRPr="003E1733">
        <w:rPr>
          <w:rFonts w:ascii="宋体" w:eastAsia="宋体" w:hAnsi="宋体"/>
          <w:sz w:val="24"/>
          <w:szCs w:val="24"/>
        </w:rPr>
        <w:t>www.fsfund.com）查询相关信息或拨打客户服务电话（400-700-5588、400-820-5050、021-38924558）咨询相关事宜。</w:t>
      </w:r>
    </w:p>
    <w:p w:rsidR="002960E3" w:rsidRPr="002960E3" w:rsidRDefault="00DA586C" w:rsidP="003E1733">
      <w:pPr>
        <w:widowControl/>
        <w:spacing w:line="360" w:lineRule="auto"/>
        <w:ind w:firstLine="420"/>
        <w:rPr>
          <w:rFonts w:ascii="宋体" w:eastAsia="宋体" w:hAnsi="宋体"/>
          <w:sz w:val="24"/>
          <w:szCs w:val="24"/>
        </w:rPr>
      </w:pPr>
      <w:r>
        <w:rPr>
          <w:rFonts w:ascii="宋体" w:eastAsia="宋体" w:hAnsi="宋体" w:hint="eastAsia"/>
          <w:sz w:val="24"/>
          <w:szCs w:val="24"/>
        </w:rPr>
        <w:t>四</w:t>
      </w:r>
      <w:r w:rsidR="002960E3" w:rsidRPr="002960E3">
        <w:rPr>
          <w:rFonts w:ascii="宋体" w:eastAsia="宋体" w:hAnsi="宋体" w:hint="eastAsia"/>
          <w:sz w:val="24"/>
          <w:szCs w:val="24"/>
        </w:rPr>
        <w:t>、风险提示：</w:t>
      </w:r>
    </w:p>
    <w:p w:rsidR="006B0472" w:rsidRPr="002960E3" w:rsidRDefault="002960E3" w:rsidP="00D9746C">
      <w:pPr>
        <w:widowControl/>
        <w:spacing w:line="360" w:lineRule="auto"/>
        <w:ind w:firstLine="420"/>
        <w:rPr>
          <w:rFonts w:ascii="宋体" w:eastAsia="宋体" w:hAnsi="宋体"/>
          <w:sz w:val="24"/>
          <w:szCs w:val="24"/>
        </w:rPr>
      </w:pPr>
      <w:r w:rsidRPr="002960E3">
        <w:rPr>
          <w:rFonts w:ascii="宋体" w:eastAsia="宋体" w:hAnsi="宋体" w:hint="eastAsia"/>
          <w:sz w:val="24"/>
          <w:szCs w:val="24"/>
        </w:rPr>
        <w:t>本</w:t>
      </w:r>
      <w:r w:rsidR="007D3654">
        <w:rPr>
          <w:rFonts w:ascii="宋体" w:eastAsia="宋体" w:hAnsi="宋体" w:hint="eastAsia"/>
          <w:sz w:val="24"/>
          <w:szCs w:val="24"/>
        </w:rPr>
        <w:t>基金管理人</w:t>
      </w:r>
      <w:r w:rsidRPr="002960E3">
        <w:rPr>
          <w:rFonts w:ascii="宋体" w:eastAsia="宋体" w:hAnsi="宋体" w:hint="eastAsia"/>
          <w:sz w:val="24"/>
          <w:szCs w:val="24"/>
        </w:rPr>
        <w:t>承诺以诚实信用、勤勉尽责的原则管理和运用基金资产，但不保证基金一定盈利，也不保证最低收益。</w:t>
      </w:r>
      <w:r w:rsidR="006B0472" w:rsidRPr="006B0472">
        <w:rPr>
          <w:rFonts w:ascii="宋体" w:eastAsia="宋体" w:hAnsi="宋体" w:hint="eastAsia"/>
          <w:sz w:val="24"/>
          <w:szCs w:val="24"/>
        </w:rPr>
        <w:t>投资人投资基金时应认真阅读</w:t>
      </w:r>
      <w:r w:rsidR="00371805">
        <w:rPr>
          <w:rFonts w:ascii="宋体" w:eastAsia="宋体" w:hAnsi="宋体" w:hint="eastAsia"/>
          <w:sz w:val="24"/>
          <w:szCs w:val="24"/>
        </w:rPr>
        <w:t>相关</w:t>
      </w:r>
      <w:r w:rsidR="006B0472" w:rsidRPr="006B0472">
        <w:rPr>
          <w:rFonts w:ascii="宋体" w:eastAsia="宋体" w:hAnsi="宋体" w:hint="eastAsia"/>
          <w:sz w:val="24"/>
          <w:szCs w:val="24"/>
        </w:rPr>
        <w:t>基金的基金合同、招募说明书</w:t>
      </w:r>
      <w:r w:rsidR="00226D82" w:rsidRPr="00226D82">
        <w:rPr>
          <w:rFonts w:ascii="宋体" w:eastAsia="宋体" w:hAnsi="宋体" w:hint="eastAsia"/>
          <w:sz w:val="24"/>
          <w:szCs w:val="24"/>
        </w:rPr>
        <w:t>（更新）</w:t>
      </w:r>
      <w:r w:rsidR="00D7178C">
        <w:rPr>
          <w:rFonts w:ascii="宋体" w:eastAsia="宋体" w:hAnsi="宋体" w:hint="eastAsia"/>
          <w:sz w:val="24"/>
          <w:szCs w:val="24"/>
        </w:rPr>
        <w:t>、产品资料概要</w:t>
      </w:r>
      <w:r w:rsidR="00226D82" w:rsidRPr="00226D82">
        <w:rPr>
          <w:rFonts w:ascii="宋体" w:eastAsia="宋体" w:hAnsi="宋体" w:hint="eastAsia"/>
          <w:sz w:val="24"/>
          <w:szCs w:val="24"/>
        </w:rPr>
        <w:t>（更新）</w:t>
      </w:r>
      <w:r w:rsidR="006B0472" w:rsidRPr="006B0472">
        <w:rPr>
          <w:rFonts w:ascii="宋体" w:eastAsia="宋体" w:hAnsi="宋体" w:hint="eastAsia"/>
          <w:sz w:val="24"/>
          <w:szCs w:val="24"/>
        </w:rPr>
        <w:t>等文件。投资有风险，敬请投资人选择适合自身风险承受能力的投资品种进行投资。</w:t>
      </w:r>
    </w:p>
    <w:p w:rsidR="002960E3" w:rsidRDefault="002960E3" w:rsidP="004810DF">
      <w:pPr>
        <w:widowControl/>
        <w:spacing w:line="360" w:lineRule="auto"/>
        <w:ind w:firstLine="420"/>
        <w:rPr>
          <w:rFonts w:ascii="宋体" w:eastAsia="宋体" w:hAnsi="宋体"/>
          <w:sz w:val="24"/>
          <w:szCs w:val="24"/>
        </w:rPr>
      </w:pPr>
      <w:r w:rsidRPr="002960E3">
        <w:rPr>
          <w:rFonts w:ascii="宋体" w:eastAsia="宋体" w:hAnsi="宋体" w:hint="eastAsia"/>
          <w:sz w:val="24"/>
          <w:szCs w:val="24"/>
        </w:rPr>
        <w:t>特此公告。</w:t>
      </w:r>
    </w:p>
    <w:p w:rsidR="00210CC3" w:rsidRPr="00995F54" w:rsidRDefault="00210CC3" w:rsidP="00210CC3">
      <w:pPr>
        <w:widowControl/>
        <w:spacing w:line="360" w:lineRule="auto"/>
        <w:rPr>
          <w:rFonts w:ascii="宋体" w:eastAsia="宋体" w:hAnsi="宋体" w:cs="宋体"/>
          <w:kern w:val="0"/>
          <w:sz w:val="24"/>
          <w:szCs w:val="24"/>
        </w:rPr>
      </w:pPr>
    </w:p>
    <w:p w:rsidR="00210CC3" w:rsidRPr="00995F54" w:rsidRDefault="003E1733" w:rsidP="00210CC3">
      <w:pPr>
        <w:widowControl/>
        <w:spacing w:line="360" w:lineRule="auto"/>
        <w:ind w:firstLine="420"/>
        <w:jc w:val="right"/>
        <w:rPr>
          <w:rFonts w:ascii="宋体" w:eastAsia="宋体" w:hAnsi="宋体" w:cs="宋体"/>
          <w:kern w:val="0"/>
          <w:sz w:val="24"/>
          <w:szCs w:val="24"/>
        </w:rPr>
      </w:pPr>
      <w:r>
        <w:rPr>
          <w:rFonts w:ascii="宋体" w:eastAsia="宋体" w:hAnsi="宋体" w:cs="宋体" w:hint="eastAsia"/>
          <w:kern w:val="0"/>
          <w:sz w:val="24"/>
          <w:szCs w:val="24"/>
        </w:rPr>
        <w:t>华宝基金管理有限</w:t>
      </w:r>
      <w:r w:rsidR="004069E0">
        <w:rPr>
          <w:rFonts w:ascii="宋体" w:eastAsia="宋体" w:hAnsi="宋体" w:cs="宋体" w:hint="eastAsia"/>
          <w:kern w:val="0"/>
          <w:sz w:val="24"/>
          <w:szCs w:val="24"/>
        </w:rPr>
        <w:t>公司</w:t>
      </w:r>
    </w:p>
    <w:p w:rsidR="00210CC3" w:rsidRPr="00995F54" w:rsidRDefault="004F01EF" w:rsidP="00210CC3">
      <w:pPr>
        <w:widowControl/>
        <w:spacing w:line="360" w:lineRule="auto"/>
        <w:jc w:val="right"/>
        <w:rPr>
          <w:rFonts w:ascii="宋体" w:eastAsia="宋体" w:hAnsi="宋体" w:cs="宋体"/>
          <w:kern w:val="0"/>
          <w:sz w:val="24"/>
          <w:szCs w:val="24"/>
        </w:rPr>
      </w:pPr>
      <w:r>
        <w:rPr>
          <w:rFonts w:ascii="宋体" w:eastAsia="宋体" w:hAnsi="宋体" w:cs="宋体"/>
          <w:kern w:val="0"/>
          <w:sz w:val="24"/>
          <w:szCs w:val="24"/>
        </w:rPr>
        <w:t>20</w:t>
      </w:r>
      <w:r w:rsidR="00FD3516">
        <w:rPr>
          <w:rFonts w:ascii="宋体" w:eastAsia="宋体" w:hAnsi="宋体" w:cs="宋体" w:hint="eastAsia"/>
          <w:kern w:val="0"/>
          <w:sz w:val="24"/>
          <w:szCs w:val="24"/>
        </w:rPr>
        <w:t>2</w:t>
      </w:r>
      <w:r w:rsidR="00EA5845" w:rsidRPr="0059175E">
        <w:rPr>
          <w:rFonts w:ascii="宋体" w:eastAsia="宋体" w:hAnsi="宋体" w:cs="宋体" w:hint="eastAsia"/>
          <w:kern w:val="0"/>
          <w:sz w:val="24"/>
          <w:szCs w:val="24"/>
        </w:rPr>
        <w:t>1</w:t>
      </w:r>
      <w:r w:rsidR="00D80EC8" w:rsidRPr="0059175E">
        <w:rPr>
          <w:rFonts w:ascii="宋体" w:eastAsia="宋体" w:hAnsi="宋体" w:cs="宋体" w:hint="eastAsia"/>
          <w:kern w:val="0"/>
          <w:sz w:val="24"/>
          <w:szCs w:val="24"/>
        </w:rPr>
        <w:t>年</w:t>
      </w:r>
      <w:r w:rsidR="006E6926" w:rsidRPr="0059175E">
        <w:rPr>
          <w:rFonts w:ascii="宋体" w:eastAsia="宋体" w:hAnsi="宋体" w:cs="宋体" w:hint="eastAsia"/>
          <w:kern w:val="0"/>
          <w:sz w:val="24"/>
          <w:szCs w:val="24"/>
        </w:rPr>
        <w:t>3</w:t>
      </w:r>
      <w:r w:rsidR="00D80EC8" w:rsidRPr="0059175E">
        <w:rPr>
          <w:rFonts w:ascii="宋体" w:eastAsia="宋体" w:hAnsi="宋体" w:cs="宋体" w:hint="eastAsia"/>
          <w:kern w:val="0"/>
          <w:sz w:val="24"/>
          <w:szCs w:val="24"/>
        </w:rPr>
        <w:t>月</w:t>
      </w:r>
      <w:r w:rsidR="00F85FF0">
        <w:rPr>
          <w:rFonts w:ascii="宋体" w:eastAsia="宋体" w:hAnsi="宋体" w:cs="宋体" w:hint="eastAsia"/>
          <w:kern w:val="0"/>
          <w:sz w:val="24"/>
          <w:szCs w:val="24"/>
        </w:rPr>
        <w:t>31</w:t>
      </w:r>
      <w:r w:rsidR="00210CC3" w:rsidRPr="0059175E">
        <w:rPr>
          <w:rFonts w:ascii="宋体" w:eastAsia="宋体" w:hAnsi="宋体" w:cs="宋体" w:hint="eastAsia"/>
          <w:kern w:val="0"/>
          <w:sz w:val="24"/>
          <w:szCs w:val="24"/>
        </w:rPr>
        <w:t>日</w:t>
      </w:r>
    </w:p>
    <w:p w:rsidR="00210CC3" w:rsidRPr="004B12B5" w:rsidRDefault="00210CC3" w:rsidP="00210CC3">
      <w:pPr>
        <w:widowControl/>
        <w:spacing w:line="360" w:lineRule="auto"/>
        <w:jc w:val="right"/>
        <w:rPr>
          <w:rFonts w:ascii="宋体" w:eastAsia="宋体" w:hAnsi="宋体" w:cs="宋体"/>
          <w:b/>
          <w:kern w:val="0"/>
          <w:sz w:val="24"/>
          <w:szCs w:val="24"/>
        </w:rPr>
      </w:pPr>
    </w:p>
    <w:p w:rsidR="00331B74" w:rsidRDefault="00331B74">
      <w:pPr>
        <w:widowControl/>
        <w:jc w:val="left"/>
      </w:pPr>
      <w:r>
        <w:lastRenderedPageBreak/>
        <w:br w:type="page"/>
      </w:r>
    </w:p>
    <w:p w:rsidR="00BA648D" w:rsidRDefault="00331B74" w:rsidP="00AD5583">
      <w:pPr>
        <w:spacing w:before="240" w:after="240"/>
        <w:rPr>
          <w:rFonts w:ascii="宋体" w:eastAsia="宋体" w:hAnsi="宋体"/>
          <w:sz w:val="24"/>
          <w:szCs w:val="24"/>
        </w:rPr>
      </w:pPr>
      <w:r w:rsidRPr="00AD5583">
        <w:rPr>
          <w:rFonts w:ascii="宋体" w:eastAsia="宋体" w:hAnsi="宋体" w:hint="eastAsia"/>
          <w:sz w:val="24"/>
          <w:szCs w:val="24"/>
        </w:rPr>
        <w:t>附件：</w:t>
      </w:r>
      <w:r w:rsidR="005A5AFB" w:rsidRPr="005A5AFB">
        <w:rPr>
          <w:rFonts w:ascii="宋体" w:eastAsia="宋体" w:hAnsi="宋体" w:hint="eastAsia"/>
          <w:sz w:val="24"/>
          <w:szCs w:val="24"/>
        </w:rPr>
        <w:t>修订</w:t>
      </w:r>
      <w:r w:rsidR="005A5AFB">
        <w:rPr>
          <w:rFonts w:ascii="宋体" w:eastAsia="宋体" w:hAnsi="宋体" w:hint="eastAsia"/>
          <w:sz w:val="24"/>
          <w:szCs w:val="24"/>
        </w:rPr>
        <w:t>基金</w:t>
      </w:r>
      <w:r w:rsidR="005A5AFB" w:rsidRPr="005A5AFB">
        <w:rPr>
          <w:rFonts w:ascii="宋体" w:eastAsia="宋体" w:hAnsi="宋体" w:hint="eastAsia"/>
          <w:sz w:val="24"/>
          <w:szCs w:val="24"/>
        </w:rPr>
        <w:t>明细</w:t>
      </w:r>
    </w:p>
    <w:tbl>
      <w:tblPr>
        <w:tblW w:w="9087" w:type="dxa"/>
        <w:tblInd w:w="93" w:type="dxa"/>
        <w:tblLook w:val="04A0"/>
      </w:tblPr>
      <w:tblGrid>
        <w:gridCol w:w="1417"/>
        <w:gridCol w:w="3070"/>
        <w:gridCol w:w="1789"/>
        <w:gridCol w:w="1550"/>
        <w:gridCol w:w="1261"/>
      </w:tblGrid>
      <w:tr w:rsidR="003E1733" w:rsidRPr="00DC3382" w:rsidTr="008717BF">
        <w:trPr>
          <w:trHeight w:val="270"/>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center"/>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基金主代码</w:t>
            </w:r>
          </w:p>
        </w:tc>
        <w:tc>
          <w:tcPr>
            <w:tcW w:w="3131" w:type="dxa"/>
            <w:tcBorders>
              <w:top w:val="single" w:sz="4" w:space="0" w:color="auto"/>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center"/>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基金全称</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center"/>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基金托管人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基金简称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场内简称</w:t>
            </w:r>
          </w:p>
        </w:tc>
      </w:tr>
      <w:tr w:rsidR="003E1733" w:rsidRPr="00DC3382" w:rsidTr="008717BF">
        <w:trPr>
          <w:trHeight w:val="495"/>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003876.OF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华宝沪深</w:t>
            </w:r>
            <w:r w:rsidRPr="00DC3382">
              <w:rPr>
                <w:rFonts w:ascii="仿宋" w:eastAsia="仿宋" w:hAnsi="仿宋" w:cs="Arial"/>
                <w:color w:val="000000"/>
                <w:kern w:val="0"/>
                <w:sz w:val="24"/>
                <w:szCs w:val="24"/>
              </w:rPr>
              <w:t>300</w:t>
            </w:r>
            <w:r w:rsidRPr="00DC3382">
              <w:rPr>
                <w:rFonts w:ascii="仿宋" w:eastAsia="仿宋" w:hAnsi="仿宋" w:cs="宋体" w:hint="eastAsia"/>
                <w:color w:val="000000"/>
                <w:kern w:val="0"/>
                <w:sz w:val="24"/>
                <w:szCs w:val="24"/>
              </w:rPr>
              <w:t>指数增强型发起式证券投资基金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中国农业银行股份有限公司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华宝沪深300增强</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p>
        </w:tc>
      </w:tr>
      <w:tr w:rsidR="003E1733" w:rsidRPr="00DC3382" w:rsidTr="008717BF">
        <w:trPr>
          <w:trHeight w:val="495"/>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005607.OF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w:t>
            </w:r>
            <w:r w:rsidRPr="00DC3382">
              <w:rPr>
                <w:rFonts w:ascii="仿宋" w:eastAsia="仿宋" w:hAnsi="仿宋" w:cs="Arial"/>
                <w:color w:val="000000"/>
                <w:kern w:val="0"/>
                <w:sz w:val="24"/>
                <w:szCs w:val="24"/>
              </w:rPr>
              <w:t>500</w:t>
            </w:r>
            <w:r w:rsidRPr="00DC3382">
              <w:rPr>
                <w:rFonts w:ascii="仿宋" w:eastAsia="仿宋" w:hAnsi="仿宋" w:cs="宋体" w:hint="eastAsia"/>
                <w:color w:val="000000"/>
                <w:kern w:val="0"/>
                <w:sz w:val="24"/>
                <w:szCs w:val="24"/>
              </w:rPr>
              <w:t>指数增强型发起式证券投资基金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中国民生银行股份有限公司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华宝中证500增强</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p>
        </w:tc>
      </w:tr>
      <w:tr w:rsidR="003E1733" w:rsidRPr="00DC3382" w:rsidTr="008717BF">
        <w:trPr>
          <w:trHeight w:val="48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006098.OF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华宝中证全指证券公司交易型开放式指数证券投资基金发起式联接基金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中国建设银行股份有限公司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华宝券商ETF联接</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p>
        </w:tc>
      </w:tr>
      <w:tr w:rsidR="003E1733" w:rsidRPr="00DC3382" w:rsidTr="008717BF">
        <w:trPr>
          <w:trHeight w:val="48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007873.OF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华宝中证科技龙头交易型开放式指数证券投资基金发起式联接基金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中国工商银行股份有限公司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华宝科技ETF联接</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p>
        </w:tc>
      </w:tr>
      <w:tr w:rsidR="003E1733" w:rsidRPr="00DC3382" w:rsidTr="008717BF">
        <w:trPr>
          <w:trHeight w:val="495"/>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009757.OF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华宝中债</w:t>
            </w:r>
            <w:r w:rsidRPr="00DC3382">
              <w:rPr>
                <w:rFonts w:ascii="仿宋" w:eastAsia="仿宋" w:hAnsi="仿宋" w:cs="Arial"/>
                <w:color w:val="000000"/>
                <w:kern w:val="0"/>
                <w:sz w:val="24"/>
                <w:szCs w:val="24"/>
              </w:rPr>
              <w:t>1-3</w:t>
            </w:r>
            <w:r w:rsidRPr="00DC3382">
              <w:rPr>
                <w:rFonts w:ascii="仿宋" w:eastAsia="仿宋" w:hAnsi="仿宋" w:cs="宋体" w:hint="eastAsia"/>
                <w:color w:val="000000"/>
                <w:kern w:val="0"/>
                <w:sz w:val="24"/>
                <w:szCs w:val="24"/>
              </w:rPr>
              <w:t>年国开行债券指数证券投资基金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上海浦东发展银行股份有限公司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华宝1-3年国开债指数</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p>
        </w:tc>
      </w:tr>
      <w:tr w:rsidR="003E1733" w:rsidRPr="00DC3382" w:rsidTr="008717BF">
        <w:trPr>
          <w:trHeight w:val="495"/>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010343.OF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华宝英国富时</w:t>
            </w:r>
            <w:r w:rsidRPr="00DC3382">
              <w:rPr>
                <w:rFonts w:ascii="仿宋" w:eastAsia="仿宋" w:hAnsi="仿宋" w:cs="Arial"/>
                <w:color w:val="000000"/>
                <w:kern w:val="0"/>
                <w:sz w:val="24"/>
                <w:szCs w:val="24"/>
              </w:rPr>
              <w:t>100</w:t>
            </w:r>
            <w:r w:rsidRPr="00DC3382">
              <w:rPr>
                <w:rFonts w:ascii="仿宋" w:eastAsia="仿宋" w:hAnsi="仿宋" w:cs="宋体" w:hint="eastAsia"/>
                <w:color w:val="000000"/>
                <w:kern w:val="0"/>
                <w:sz w:val="24"/>
                <w:szCs w:val="24"/>
              </w:rPr>
              <w:t>指数发起式证券投资基金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中国建设银行股份有限公司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华宝富时</w:t>
            </w:r>
            <w:r>
              <w:rPr>
                <w:rFonts w:ascii="仿宋" w:eastAsia="仿宋" w:hAnsi="仿宋" w:cs="宋体" w:hint="eastAsia"/>
                <w:color w:val="000000"/>
                <w:kern w:val="0"/>
                <w:sz w:val="24"/>
                <w:szCs w:val="24"/>
              </w:rPr>
              <w:t>100</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p>
        </w:tc>
      </w:tr>
      <w:tr w:rsidR="003E1733" w:rsidRPr="00DC3382" w:rsidTr="008717BF">
        <w:trPr>
          <w:trHeight w:val="48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159851.OF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华宝中证金融科技主题交易型开放式指数证券投资基金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中国建设银行股份有限公司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华宝中证金融科技主题ETF</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金科ETF</w:t>
            </w:r>
          </w:p>
        </w:tc>
      </w:tr>
      <w:tr w:rsidR="003E1733" w:rsidRPr="00DC3382" w:rsidTr="008717BF">
        <w:trPr>
          <w:trHeight w:val="48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159876.OF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华宝中证有色金属交易型开放式指数证券投资基金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招商银行股份有限公司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华宝中证有色金属ETF</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有色</w:t>
            </w:r>
          </w:p>
        </w:tc>
      </w:tr>
      <w:tr w:rsidR="003E1733" w:rsidRPr="00DC3382" w:rsidTr="008717BF">
        <w:trPr>
          <w:trHeight w:val="495"/>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162411.OF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华宝标普石油天然气上游股票指数证券投资基金</w:t>
            </w:r>
            <w:r w:rsidRPr="00DC3382">
              <w:rPr>
                <w:rFonts w:ascii="仿宋" w:eastAsia="仿宋" w:hAnsi="仿宋" w:cs="Arial"/>
                <w:color w:val="000000"/>
                <w:kern w:val="0"/>
                <w:sz w:val="24"/>
                <w:szCs w:val="24"/>
              </w:rPr>
              <w:t>(LOF)</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中国建设银行股份有限公司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华宝油气</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华宝油气</w:t>
            </w:r>
          </w:p>
        </w:tc>
      </w:tr>
      <w:tr w:rsidR="003E1733" w:rsidRPr="00DC3382" w:rsidTr="008717BF">
        <w:trPr>
          <w:trHeight w:val="48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162412.OF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华宝中证医疗指数证券投资基金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华宝中证医疗指数</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医疗基金</w:t>
            </w:r>
          </w:p>
        </w:tc>
      </w:tr>
      <w:tr w:rsidR="003E1733" w:rsidRPr="00DC3382" w:rsidTr="008717BF">
        <w:trPr>
          <w:trHeight w:val="48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162413.OF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w:t>
            </w:r>
            <w:r w:rsidRPr="00DC3382">
              <w:rPr>
                <w:rFonts w:ascii="仿宋" w:eastAsia="仿宋" w:hAnsi="仿宋" w:cs="Arial"/>
                <w:color w:val="000000"/>
                <w:kern w:val="0"/>
                <w:sz w:val="24"/>
                <w:szCs w:val="24"/>
              </w:rPr>
              <w:t>1000</w:t>
            </w:r>
            <w:r w:rsidRPr="00DC3382">
              <w:rPr>
                <w:rFonts w:ascii="仿宋" w:eastAsia="仿宋" w:hAnsi="仿宋" w:cs="宋体" w:hint="eastAsia"/>
                <w:color w:val="000000"/>
                <w:kern w:val="0"/>
                <w:sz w:val="24"/>
                <w:szCs w:val="24"/>
              </w:rPr>
              <w:t>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中国建设银行股份有限公司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华宝中证1000指数</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1000指数</w:t>
            </w:r>
          </w:p>
        </w:tc>
      </w:tr>
      <w:tr w:rsidR="003E1733" w:rsidRPr="00DC3382" w:rsidTr="008717BF">
        <w:trPr>
          <w:trHeight w:val="495"/>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162415.OF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华宝标普美国品质消费股票指数证券投资基金</w:t>
            </w:r>
            <w:r w:rsidRPr="00DC3382">
              <w:rPr>
                <w:rFonts w:ascii="仿宋" w:eastAsia="仿宋" w:hAnsi="仿宋" w:cs="Arial"/>
                <w:color w:val="000000"/>
                <w:kern w:val="0"/>
                <w:sz w:val="24"/>
                <w:szCs w:val="24"/>
              </w:rPr>
              <w:t>(LOF)</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中国建设银行股份有限公司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美国消费</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美国消费</w:t>
            </w:r>
          </w:p>
        </w:tc>
      </w:tr>
      <w:tr w:rsidR="003E1733" w:rsidRPr="00DC3382" w:rsidTr="008717BF">
        <w:trPr>
          <w:trHeight w:val="51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162416.OF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华宝港股通恒生香港</w:t>
            </w:r>
            <w:r w:rsidRPr="00DC3382">
              <w:rPr>
                <w:rFonts w:ascii="仿宋" w:eastAsia="仿宋" w:hAnsi="仿宋" w:cs="Arial"/>
                <w:color w:val="000000"/>
                <w:kern w:val="0"/>
                <w:sz w:val="24"/>
                <w:szCs w:val="24"/>
              </w:rPr>
              <w:t>35</w:t>
            </w:r>
            <w:r w:rsidRPr="00DC3382">
              <w:rPr>
                <w:rFonts w:ascii="仿宋" w:eastAsia="仿宋" w:hAnsi="仿宋" w:cs="宋体" w:hint="eastAsia"/>
                <w:color w:val="000000"/>
                <w:kern w:val="0"/>
                <w:sz w:val="24"/>
                <w:szCs w:val="24"/>
              </w:rPr>
              <w:t>指数证券投资基金</w:t>
            </w:r>
            <w:r w:rsidRPr="00DC3382">
              <w:rPr>
                <w:rFonts w:ascii="仿宋" w:eastAsia="仿宋" w:hAnsi="仿宋" w:cs="Arial"/>
                <w:color w:val="000000"/>
                <w:kern w:val="0"/>
                <w:sz w:val="24"/>
                <w:szCs w:val="24"/>
              </w:rPr>
              <w:t>(LOF)</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华宝港股通恒生香港35指数</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香港本地</w:t>
            </w:r>
          </w:p>
        </w:tc>
      </w:tr>
      <w:tr w:rsidR="003E1733" w:rsidRPr="00DC3382" w:rsidTr="008717BF">
        <w:trPr>
          <w:trHeight w:val="48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240014.OF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w:t>
            </w:r>
            <w:r w:rsidRPr="00DC3382">
              <w:rPr>
                <w:rFonts w:ascii="仿宋" w:eastAsia="仿宋" w:hAnsi="仿宋" w:cs="Arial"/>
                <w:color w:val="000000"/>
                <w:kern w:val="0"/>
                <w:sz w:val="24"/>
                <w:szCs w:val="24"/>
              </w:rPr>
              <w:t>100</w:t>
            </w:r>
            <w:r w:rsidRPr="00DC3382">
              <w:rPr>
                <w:rFonts w:ascii="仿宋" w:eastAsia="仿宋" w:hAnsi="仿宋" w:cs="宋体" w:hint="eastAsia"/>
                <w:color w:val="000000"/>
                <w:kern w:val="0"/>
                <w:sz w:val="24"/>
                <w:szCs w:val="24"/>
              </w:rPr>
              <w:t>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中国建设银行股份有限公司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华宝</w:t>
            </w:r>
            <w:r w:rsidRPr="00DC3382">
              <w:rPr>
                <w:rFonts w:ascii="仿宋" w:eastAsia="仿宋" w:hAnsi="仿宋" w:cs="宋体" w:hint="eastAsia"/>
                <w:color w:val="000000"/>
                <w:kern w:val="0"/>
                <w:sz w:val="24"/>
                <w:szCs w:val="24"/>
              </w:rPr>
              <w:t>中证100指数</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p>
        </w:tc>
      </w:tr>
      <w:tr w:rsidR="003E1733" w:rsidRPr="00DC3382" w:rsidTr="008717BF">
        <w:trPr>
          <w:trHeight w:val="72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240016.OF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华宝上证</w:t>
            </w:r>
            <w:r w:rsidRPr="00DC3382">
              <w:rPr>
                <w:rFonts w:ascii="仿宋" w:eastAsia="仿宋" w:hAnsi="仿宋" w:cs="Arial"/>
                <w:color w:val="000000"/>
                <w:kern w:val="0"/>
                <w:sz w:val="24"/>
                <w:szCs w:val="24"/>
              </w:rPr>
              <w:t>180</w:t>
            </w:r>
            <w:r w:rsidRPr="00DC3382">
              <w:rPr>
                <w:rFonts w:ascii="仿宋" w:eastAsia="仿宋" w:hAnsi="仿宋" w:cs="宋体" w:hint="eastAsia"/>
                <w:color w:val="000000"/>
                <w:kern w:val="0"/>
                <w:sz w:val="24"/>
                <w:szCs w:val="24"/>
              </w:rPr>
              <w:t>价值交易型开放式指数证券投资基金联接基金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中国工商银行股份有限公司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华宝</w:t>
            </w:r>
            <w:r w:rsidRPr="00DC3382">
              <w:rPr>
                <w:rFonts w:ascii="仿宋" w:eastAsia="仿宋" w:hAnsi="仿宋" w:cs="宋体" w:hint="eastAsia"/>
                <w:color w:val="000000"/>
                <w:kern w:val="0"/>
                <w:sz w:val="24"/>
                <w:szCs w:val="24"/>
              </w:rPr>
              <w:t>上证180价值ETF联接</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p>
        </w:tc>
      </w:tr>
      <w:tr w:rsidR="003E1733" w:rsidRPr="00DC3382" w:rsidTr="008717BF">
        <w:trPr>
          <w:trHeight w:val="72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240019.OF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华宝中证银行交易型开放式指数证券投资基金联接基金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w:t>
            </w:r>
            <w:r>
              <w:rPr>
                <w:rFonts w:ascii="仿宋" w:eastAsia="仿宋" w:hAnsi="仿宋" w:cs="宋体" w:hint="eastAsia"/>
                <w:color w:val="000000"/>
                <w:kern w:val="0"/>
                <w:sz w:val="24"/>
                <w:szCs w:val="24"/>
              </w:rPr>
              <w:t>银行</w:t>
            </w:r>
            <w:r w:rsidRPr="00DC3382">
              <w:rPr>
                <w:rFonts w:ascii="仿宋" w:eastAsia="仿宋" w:hAnsi="仿宋" w:cs="宋体" w:hint="eastAsia"/>
                <w:color w:val="000000"/>
                <w:kern w:val="0"/>
                <w:sz w:val="24"/>
                <w:szCs w:val="24"/>
              </w:rPr>
              <w:t>ETF联接</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p>
        </w:tc>
      </w:tr>
      <w:tr w:rsidR="003E1733" w:rsidRPr="00DC3382" w:rsidTr="008717BF">
        <w:trPr>
          <w:trHeight w:val="495"/>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501021.OF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华宝标普香港上市中国中小盘指数证券投资基金</w:t>
            </w:r>
            <w:r w:rsidRPr="00DC3382">
              <w:rPr>
                <w:rFonts w:ascii="仿宋" w:eastAsia="仿宋" w:hAnsi="仿宋" w:cs="Arial"/>
                <w:color w:val="000000"/>
                <w:kern w:val="0"/>
                <w:sz w:val="24"/>
                <w:szCs w:val="24"/>
              </w:rPr>
              <w:t>(LOF)</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中国建设银行股份有限公司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ED33C1" w:rsidRDefault="003E1733" w:rsidP="008717BF">
            <w:pPr>
              <w:widowControl/>
              <w:jc w:val="left"/>
              <w:rPr>
                <w:rFonts w:ascii="仿宋" w:eastAsia="仿宋" w:hAnsi="仿宋" w:cs="宋体"/>
                <w:color w:val="000000"/>
                <w:kern w:val="0"/>
                <w:sz w:val="24"/>
                <w:szCs w:val="24"/>
              </w:rPr>
            </w:pPr>
            <w:r w:rsidRPr="004350BF">
              <w:rPr>
                <w:rFonts w:ascii="仿宋" w:eastAsia="仿宋" w:hAnsi="仿宋" w:cs="宋体" w:hint="eastAsia"/>
                <w:color w:val="000000"/>
                <w:kern w:val="0"/>
                <w:sz w:val="24"/>
                <w:szCs w:val="24"/>
              </w:rPr>
              <w:t>华宝标普香港上市中国中小盘指数</w:t>
            </w:r>
            <w:r w:rsidR="00ED33C1" w:rsidRPr="00671330">
              <w:rPr>
                <w:rFonts w:ascii="仿宋" w:eastAsia="仿宋" w:hAnsi="仿宋" w:cs="宋体" w:hint="eastAsia"/>
                <w:color w:val="000000"/>
                <w:kern w:val="0"/>
                <w:sz w:val="24"/>
                <w:szCs w:val="24"/>
              </w:rPr>
              <w:t>（LOF）</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香港中小</w:t>
            </w:r>
          </w:p>
        </w:tc>
      </w:tr>
      <w:tr w:rsidR="003E1733" w:rsidRPr="00DC3382" w:rsidTr="008717BF">
        <w:trPr>
          <w:trHeight w:val="51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501029.OF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华宝标普中国</w:t>
            </w:r>
            <w:r w:rsidRPr="00DC3382">
              <w:rPr>
                <w:rFonts w:ascii="仿宋" w:eastAsia="仿宋" w:hAnsi="仿宋" w:cs="Arial"/>
                <w:color w:val="000000"/>
                <w:kern w:val="0"/>
                <w:sz w:val="24"/>
                <w:szCs w:val="24"/>
              </w:rPr>
              <w:t>A</w:t>
            </w:r>
            <w:r w:rsidRPr="00DC3382">
              <w:rPr>
                <w:rFonts w:ascii="仿宋" w:eastAsia="仿宋" w:hAnsi="仿宋" w:cs="宋体" w:hint="eastAsia"/>
                <w:color w:val="000000"/>
                <w:kern w:val="0"/>
                <w:sz w:val="24"/>
                <w:szCs w:val="24"/>
              </w:rPr>
              <w:t>股红利机会指数证券投资基金</w:t>
            </w:r>
            <w:r w:rsidRPr="00DC3382">
              <w:rPr>
                <w:rFonts w:ascii="仿宋" w:eastAsia="仿宋" w:hAnsi="仿宋" w:cs="Arial"/>
                <w:color w:val="000000"/>
                <w:kern w:val="0"/>
                <w:sz w:val="24"/>
                <w:szCs w:val="24"/>
              </w:rPr>
              <w:t>(LOF)</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ED33C1" w:rsidP="008717BF">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红利</w:t>
            </w:r>
            <w:r w:rsidRPr="00F63B39">
              <w:rPr>
                <w:rFonts w:ascii="仿宋" w:eastAsia="仿宋" w:hAnsi="仿宋" w:cs="宋体" w:hint="eastAsia"/>
                <w:color w:val="000000"/>
                <w:kern w:val="0"/>
                <w:sz w:val="24"/>
                <w:szCs w:val="24"/>
              </w:rPr>
              <w:t>基金LOF</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红利基金</w:t>
            </w:r>
          </w:p>
        </w:tc>
      </w:tr>
      <w:tr w:rsidR="003E1733" w:rsidRPr="00DC3382" w:rsidTr="008717BF">
        <w:trPr>
          <w:trHeight w:val="51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501069.OF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华宝标普中国</w:t>
            </w:r>
            <w:r w:rsidRPr="00DC3382">
              <w:rPr>
                <w:rFonts w:ascii="仿宋" w:eastAsia="仿宋" w:hAnsi="仿宋" w:cs="Arial"/>
                <w:color w:val="000000"/>
                <w:kern w:val="0"/>
                <w:sz w:val="24"/>
                <w:szCs w:val="24"/>
              </w:rPr>
              <w:t>A</w:t>
            </w:r>
            <w:r w:rsidRPr="00DC3382">
              <w:rPr>
                <w:rFonts w:ascii="仿宋" w:eastAsia="仿宋" w:hAnsi="仿宋" w:cs="宋体" w:hint="eastAsia"/>
                <w:color w:val="000000"/>
                <w:kern w:val="0"/>
                <w:sz w:val="24"/>
                <w:szCs w:val="24"/>
              </w:rPr>
              <w:t>股质量价值指数证券投资基金</w:t>
            </w:r>
            <w:r w:rsidRPr="00DC3382">
              <w:rPr>
                <w:rFonts w:ascii="仿宋" w:eastAsia="仿宋" w:hAnsi="仿宋" w:cs="Arial"/>
                <w:color w:val="000000"/>
                <w:kern w:val="0"/>
                <w:sz w:val="24"/>
                <w:szCs w:val="24"/>
              </w:rPr>
              <w:t>(LOF)</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4350BF">
              <w:rPr>
                <w:rFonts w:ascii="仿宋" w:eastAsia="仿宋" w:hAnsi="仿宋" w:cs="宋体" w:hint="eastAsia"/>
                <w:color w:val="000000"/>
                <w:kern w:val="0"/>
                <w:sz w:val="24"/>
                <w:szCs w:val="24"/>
              </w:rPr>
              <w:t>华宝标普中国 A 股质量价值指数</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质量基金</w:t>
            </w:r>
          </w:p>
        </w:tc>
      </w:tr>
      <w:tr w:rsidR="003E1733" w:rsidRPr="00DC3382" w:rsidTr="008717BF">
        <w:trPr>
          <w:trHeight w:val="51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501086.OF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w:t>
            </w:r>
            <w:r w:rsidRPr="00DC3382">
              <w:rPr>
                <w:rFonts w:ascii="仿宋" w:eastAsia="仿宋" w:hAnsi="仿宋" w:cs="Arial"/>
                <w:color w:val="000000"/>
                <w:kern w:val="0"/>
                <w:sz w:val="24"/>
                <w:szCs w:val="24"/>
              </w:rPr>
              <w:t>MSCI</w:t>
            </w:r>
            <w:r w:rsidRPr="00DC3382">
              <w:rPr>
                <w:rFonts w:ascii="仿宋" w:eastAsia="仿宋" w:hAnsi="仿宋" w:cs="宋体" w:hint="eastAsia"/>
                <w:color w:val="000000"/>
                <w:kern w:val="0"/>
                <w:sz w:val="24"/>
                <w:szCs w:val="24"/>
              </w:rPr>
              <w:t>中国</w:t>
            </w:r>
            <w:r w:rsidRPr="00DC3382">
              <w:rPr>
                <w:rFonts w:ascii="仿宋" w:eastAsia="仿宋" w:hAnsi="仿宋" w:cs="Arial"/>
                <w:color w:val="000000"/>
                <w:kern w:val="0"/>
                <w:sz w:val="24"/>
                <w:szCs w:val="24"/>
              </w:rPr>
              <w:t>A</w:t>
            </w:r>
            <w:r w:rsidRPr="00DC3382">
              <w:rPr>
                <w:rFonts w:ascii="仿宋" w:eastAsia="仿宋" w:hAnsi="仿宋" w:cs="宋体" w:hint="eastAsia"/>
                <w:color w:val="000000"/>
                <w:kern w:val="0"/>
                <w:sz w:val="24"/>
                <w:szCs w:val="24"/>
              </w:rPr>
              <w:t>股国际通</w:t>
            </w:r>
            <w:r w:rsidRPr="00DC3382">
              <w:rPr>
                <w:rFonts w:ascii="仿宋" w:eastAsia="仿宋" w:hAnsi="仿宋" w:cs="Arial"/>
                <w:color w:val="000000"/>
                <w:kern w:val="0"/>
                <w:sz w:val="24"/>
                <w:szCs w:val="24"/>
              </w:rPr>
              <w:t>ESG</w:t>
            </w:r>
            <w:r w:rsidRPr="00DC3382">
              <w:rPr>
                <w:rFonts w:ascii="仿宋" w:eastAsia="仿宋" w:hAnsi="仿宋" w:cs="宋体" w:hint="eastAsia"/>
                <w:color w:val="000000"/>
                <w:kern w:val="0"/>
                <w:sz w:val="24"/>
                <w:szCs w:val="24"/>
              </w:rPr>
              <w:t>通用指数证券投资基金</w:t>
            </w:r>
            <w:r w:rsidRPr="00DC3382">
              <w:rPr>
                <w:rFonts w:ascii="仿宋" w:eastAsia="仿宋" w:hAnsi="仿宋" w:cs="Arial"/>
                <w:color w:val="000000"/>
                <w:kern w:val="0"/>
                <w:sz w:val="24"/>
                <w:szCs w:val="24"/>
              </w:rPr>
              <w:t>(LOF)</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中国工商银行股份有限公司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4350BF">
              <w:rPr>
                <w:rFonts w:ascii="仿宋" w:eastAsia="仿宋" w:hAnsi="仿宋" w:cs="宋体" w:hint="eastAsia"/>
                <w:color w:val="000000"/>
                <w:kern w:val="0"/>
                <w:sz w:val="24"/>
                <w:szCs w:val="24"/>
              </w:rPr>
              <w:t>华宝 MSCI ESG 指数</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ESG基金</w:t>
            </w:r>
          </w:p>
        </w:tc>
      </w:tr>
      <w:tr w:rsidR="003E1733" w:rsidRPr="00DC3382" w:rsidTr="008717BF">
        <w:trPr>
          <w:trHeight w:val="495"/>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501090.OF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华宝中证消费龙头指数证券投资基金</w:t>
            </w:r>
            <w:r w:rsidRPr="00DC3382">
              <w:rPr>
                <w:rFonts w:ascii="仿宋" w:eastAsia="仿宋" w:hAnsi="仿宋" w:cs="Arial"/>
                <w:color w:val="000000"/>
                <w:kern w:val="0"/>
                <w:sz w:val="24"/>
                <w:szCs w:val="24"/>
              </w:rPr>
              <w:t>(LOF)</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中国民生银行股份有限公司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华宝消费龙头指数</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消费龙头</w:t>
            </w:r>
          </w:p>
        </w:tc>
      </w:tr>
      <w:tr w:rsidR="003E1733" w:rsidRPr="00DC3382" w:rsidTr="008717BF">
        <w:trPr>
          <w:trHeight w:val="51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501301.OF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华宝港股通恒生中国</w:t>
            </w:r>
            <w:r w:rsidRPr="00DC3382">
              <w:rPr>
                <w:rFonts w:ascii="仿宋" w:eastAsia="仿宋" w:hAnsi="仿宋" w:cs="Arial"/>
                <w:color w:val="000000"/>
                <w:kern w:val="0"/>
                <w:sz w:val="24"/>
                <w:szCs w:val="24"/>
              </w:rPr>
              <w:t>(</w:t>
            </w:r>
            <w:r w:rsidRPr="00DC3382">
              <w:rPr>
                <w:rFonts w:ascii="仿宋" w:eastAsia="仿宋" w:hAnsi="仿宋" w:cs="宋体" w:hint="eastAsia"/>
                <w:color w:val="000000"/>
                <w:kern w:val="0"/>
                <w:sz w:val="24"/>
                <w:szCs w:val="24"/>
              </w:rPr>
              <w:t>香港上市</w:t>
            </w:r>
            <w:r w:rsidRPr="00DC3382">
              <w:rPr>
                <w:rFonts w:ascii="仿宋" w:eastAsia="仿宋" w:hAnsi="仿宋" w:cs="Arial"/>
                <w:color w:val="000000"/>
                <w:kern w:val="0"/>
                <w:sz w:val="24"/>
                <w:szCs w:val="24"/>
              </w:rPr>
              <w:t>)25</w:t>
            </w:r>
            <w:r w:rsidRPr="00DC3382">
              <w:rPr>
                <w:rFonts w:ascii="仿宋" w:eastAsia="仿宋" w:hAnsi="仿宋" w:cs="宋体" w:hint="eastAsia"/>
                <w:color w:val="000000"/>
                <w:kern w:val="0"/>
                <w:sz w:val="24"/>
                <w:szCs w:val="24"/>
              </w:rPr>
              <w:t>指数证券投资基金</w:t>
            </w:r>
            <w:r w:rsidRPr="00DC3382">
              <w:rPr>
                <w:rFonts w:ascii="仿宋" w:eastAsia="仿宋" w:hAnsi="仿宋" w:cs="Arial"/>
                <w:color w:val="000000"/>
                <w:kern w:val="0"/>
                <w:sz w:val="24"/>
                <w:szCs w:val="24"/>
              </w:rPr>
              <w:t>(LOF)</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招商证券股份有限公司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4350BF">
              <w:rPr>
                <w:rFonts w:ascii="仿宋" w:eastAsia="仿宋" w:hAnsi="仿宋" w:cs="宋体" w:hint="eastAsia"/>
                <w:color w:val="000000"/>
                <w:kern w:val="0"/>
                <w:sz w:val="24"/>
                <w:szCs w:val="24"/>
              </w:rPr>
              <w:t>华宝港股通恒生中国（香港上市） 25指数</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香港大盘</w:t>
            </w:r>
          </w:p>
        </w:tc>
      </w:tr>
      <w:tr w:rsidR="003E1733" w:rsidRPr="00DC3382" w:rsidTr="008717BF">
        <w:trPr>
          <w:trHeight w:val="986"/>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501310.OF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华宝标普沪港深中国增强价值指数证券投资基金</w:t>
            </w:r>
            <w:r w:rsidRPr="00DC3382">
              <w:rPr>
                <w:rFonts w:ascii="仿宋" w:eastAsia="仿宋" w:hAnsi="仿宋" w:cs="Arial"/>
                <w:color w:val="000000"/>
                <w:kern w:val="0"/>
                <w:sz w:val="24"/>
                <w:szCs w:val="24"/>
              </w:rPr>
              <w:t>(LOF)</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中国建设银行股份有限公司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华宝标普沪港深中国增强价值指数</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价值基金</w:t>
            </w:r>
          </w:p>
        </w:tc>
      </w:tr>
      <w:tr w:rsidR="003E1733" w:rsidRPr="00DC3382" w:rsidTr="008717BF">
        <w:trPr>
          <w:trHeight w:val="495"/>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510030.OF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上证</w:t>
            </w:r>
            <w:r w:rsidRPr="00DC3382">
              <w:rPr>
                <w:rFonts w:ascii="仿宋" w:eastAsia="仿宋" w:hAnsi="仿宋" w:cs="Arial"/>
                <w:color w:val="000000"/>
                <w:kern w:val="0"/>
                <w:sz w:val="24"/>
                <w:szCs w:val="24"/>
              </w:rPr>
              <w:t>180</w:t>
            </w:r>
            <w:r w:rsidRPr="00DC3382">
              <w:rPr>
                <w:rFonts w:ascii="仿宋" w:eastAsia="仿宋" w:hAnsi="仿宋" w:cs="宋体" w:hint="eastAsia"/>
                <w:color w:val="000000"/>
                <w:kern w:val="0"/>
                <w:sz w:val="24"/>
                <w:szCs w:val="24"/>
              </w:rPr>
              <w:t>价值交易型开放式指数证券投资基金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中国工商银行股份有限公司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上证180价值ETF</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价值ETF</w:t>
            </w:r>
          </w:p>
        </w:tc>
      </w:tr>
      <w:tr w:rsidR="003E1733" w:rsidRPr="00DC3382" w:rsidTr="008717BF">
        <w:trPr>
          <w:trHeight w:val="48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512000.OF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华宝中证全指证券公司交易型开放式指数证券投资基金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中国建设银行股份有限公司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华宝中证全指证券公司ETF</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券商ETF</w:t>
            </w:r>
          </w:p>
        </w:tc>
      </w:tr>
      <w:tr w:rsidR="003E1733" w:rsidRPr="00DC3382" w:rsidTr="008717BF">
        <w:trPr>
          <w:trHeight w:val="48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512170.OF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华宝中证医疗交易型开放式指数证券投资基金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4350BF">
              <w:rPr>
                <w:rFonts w:ascii="仿宋" w:eastAsia="仿宋" w:hAnsi="仿宋" w:cs="宋体" w:hint="eastAsia"/>
                <w:color w:val="000000"/>
                <w:kern w:val="0"/>
                <w:sz w:val="24"/>
                <w:szCs w:val="24"/>
              </w:rPr>
              <w:t>华宝中证医疗ETF</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医疗ETF</w:t>
            </w:r>
          </w:p>
        </w:tc>
      </w:tr>
      <w:tr w:rsidR="003E1733" w:rsidRPr="00DC3382" w:rsidTr="008717BF">
        <w:trPr>
          <w:trHeight w:val="48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512800.OF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华宝中证银行交易型开放式指数证券投资基金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华宝中证银行ETF</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银行ETF</w:t>
            </w:r>
          </w:p>
        </w:tc>
      </w:tr>
      <w:tr w:rsidR="003E1733" w:rsidRPr="00DC3382" w:rsidTr="008717BF">
        <w:trPr>
          <w:trHeight w:val="48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512810.OF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华宝中证军工交易型开放式指数证券投资基金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中国建设银行股份有限公司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华宝中证军工ETF</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军工行业</w:t>
            </w:r>
          </w:p>
        </w:tc>
      </w:tr>
      <w:tr w:rsidR="003E1733" w:rsidRPr="00DC3382" w:rsidTr="008717BF">
        <w:trPr>
          <w:trHeight w:val="48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515000.OF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华宝中证科技龙头交易型开放式指数证券投资基金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中国工商银行股份有限公司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4350BF">
              <w:rPr>
                <w:rFonts w:ascii="仿宋" w:eastAsia="仿宋" w:hAnsi="仿宋" w:cs="宋体" w:hint="eastAsia"/>
                <w:color w:val="000000"/>
                <w:kern w:val="0"/>
                <w:sz w:val="24"/>
                <w:szCs w:val="24"/>
              </w:rPr>
              <w:t>华宝中证科技龙头 ETF</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科技ETF</w:t>
            </w:r>
          </w:p>
        </w:tc>
      </w:tr>
      <w:tr w:rsidR="003E1733" w:rsidRPr="00DC3382" w:rsidTr="008717BF">
        <w:trPr>
          <w:trHeight w:val="495"/>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515260.OF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华宝中证电子</w:t>
            </w:r>
            <w:r w:rsidRPr="00DC3382">
              <w:rPr>
                <w:rFonts w:ascii="仿宋" w:eastAsia="仿宋" w:hAnsi="仿宋" w:cs="Arial"/>
                <w:color w:val="000000"/>
                <w:kern w:val="0"/>
                <w:sz w:val="24"/>
                <w:szCs w:val="24"/>
              </w:rPr>
              <w:t>50</w:t>
            </w:r>
            <w:r w:rsidRPr="00DC3382">
              <w:rPr>
                <w:rFonts w:ascii="仿宋" w:eastAsia="仿宋" w:hAnsi="仿宋" w:cs="宋体" w:hint="eastAsia"/>
                <w:color w:val="000000"/>
                <w:kern w:val="0"/>
                <w:sz w:val="24"/>
                <w:szCs w:val="24"/>
              </w:rPr>
              <w:t>交易型开放式指数证券投资基金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中国建设银行股份有限公司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华宝中证电子50ETF</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电子ETF</w:t>
            </w:r>
          </w:p>
        </w:tc>
      </w:tr>
      <w:tr w:rsidR="003E1733" w:rsidRPr="00DC3382" w:rsidTr="008717BF">
        <w:trPr>
          <w:trHeight w:val="72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515710.OF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华宝中证细分食品饮料产业主题交易型开放式指数证券投资基金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中国工商银行股份有限公司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华宝中证细分食品饮料产业主题ETF</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食品ETF</w:t>
            </w:r>
          </w:p>
        </w:tc>
      </w:tr>
      <w:tr w:rsidR="003E1733" w:rsidRPr="00DC3382" w:rsidTr="008717BF">
        <w:trPr>
          <w:trHeight w:val="48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516020.OF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华宝中证细分化工产业主题交易型开放式指数证券投资基金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华宝化工ETF</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化工ETF</w:t>
            </w:r>
          </w:p>
        </w:tc>
      </w:tr>
      <w:tr w:rsidR="003E1733" w:rsidRPr="00DC3382" w:rsidTr="008717BF">
        <w:trPr>
          <w:trHeight w:val="48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bookmarkStart w:id="1" w:name="_GoBack"/>
            <w:r w:rsidRPr="00DC3382">
              <w:rPr>
                <w:rFonts w:ascii="仿宋" w:eastAsia="仿宋" w:hAnsi="仿宋" w:cs="Arial"/>
                <w:color w:val="000000"/>
                <w:kern w:val="0"/>
                <w:sz w:val="24"/>
                <w:szCs w:val="24"/>
              </w:rPr>
              <w:t>516800.OF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华宝中证智能制造主题交易型开放式指数证券投资基金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中国工商银行股份有限公司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ED33C1" w:rsidP="008717BF">
            <w:pPr>
              <w:widowControl/>
              <w:jc w:val="left"/>
              <w:rPr>
                <w:rFonts w:ascii="仿宋" w:eastAsia="仿宋" w:hAnsi="仿宋" w:cs="宋体"/>
                <w:color w:val="000000"/>
                <w:kern w:val="0"/>
                <w:sz w:val="24"/>
                <w:szCs w:val="24"/>
              </w:rPr>
            </w:pPr>
            <w:r w:rsidRPr="005270F6">
              <w:rPr>
                <w:rFonts w:ascii="仿宋" w:eastAsia="仿宋" w:hAnsi="仿宋" w:cs="宋体" w:hint="eastAsia"/>
                <w:color w:val="000000"/>
                <w:kern w:val="0"/>
                <w:sz w:val="24"/>
                <w:szCs w:val="24"/>
              </w:rPr>
              <w:t>华宝中证</w:t>
            </w:r>
            <w:r w:rsidR="003E1733" w:rsidRPr="00DC3382">
              <w:rPr>
                <w:rFonts w:ascii="仿宋" w:eastAsia="仿宋" w:hAnsi="仿宋" w:cs="宋体" w:hint="eastAsia"/>
                <w:color w:val="000000"/>
                <w:kern w:val="0"/>
                <w:sz w:val="24"/>
                <w:szCs w:val="24"/>
              </w:rPr>
              <w:t>智能制造</w:t>
            </w:r>
            <w:r>
              <w:rPr>
                <w:rFonts w:ascii="仿宋" w:eastAsia="仿宋" w:hAnsi="仿宋" w:cs="宋体" w:hint="eastAsia"/>
                <w:color w:val="000000"/>
                <w:kern w:val="0"/>
                <w:sz w:val="24"/>
                <w:szCs w:val="24"/>
              </w:rPr>
              <w:t>主题</w:t>
            </w:r>
            <w:r w:rsidR="003E1733" w:rsidRPr="00DC3382">
              <w:rPr>
                <w:rFonts w:ascii="仿宋" w:eastAsia="仿宋" w:hAnsi="仿宋" w:cs="宋体" w:hint="eastAsia"/>
                <w:color w:val="000000"/>
                <w:kern w:val="0"/>
                <w:sz w:val="24"/>
                <w:szCs w:val="24"/>
              </w:rPr>
              <w:t>ETF</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智能制造ETF</w:t>
            </w:r>
          </w:p>
        </w:tc>
      </w:tr>
      <w:bookmarkEnd w:id="1"/>
      <w:tr w:rsidR="003E1733" w:rsidRPr="00DC3382" w:rsidTr="008717BF">
        <w:trPr>
          <w:trHeight w:val="495"/>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Arial"/>
                <w:color w:val="000000"/>
                <w:kern w:val="0"/>
                <w:sz w:val="24"/>
                <w:szCs w:val="24"/>
              </w:rPr>
            </w:pPr>
            <w:r w:rsidRPr="00DC3382">
              <w:rPr>
                <w:rFonts w:ascii="仿宋" w:eastAsia="仿宋" w:hAnsi="仿宋" w:cs="Arial"/>
                <w:color w:val="000000"/>
                <w:kern w:val="0"/>
                <w:sz w:val="24"/>
                <w:szCs w:val="24"/>
              </w:rPr>
              <w:t>517060.OF</w:t>
            </w:r>
          </w:p>
        </w:tc>
        <w:tc>
          <w:tcPr>
            <w:tcW w:w="3131"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华宝中证沪港深</w:t>
            </w:r>
            <w:r w:rsidRPr="00DC3382">
              <w:rPr>
                <w:rFonts w:ascii="仿宋" w:eastAsia="仿宋" w:hAnsi="仿宋" w:cs="Arial"/>
                <w:color w:val="000000"/>
                <w:kern w:val="0"/>
                <w:sz w:val="24"/>
                <w:szCs w:val="24"/>
              </w:rPr>
              <w:t>500</w:t>
            </w:r>
            <w:r w:rsidRPr="00DC3382">
              <w:rPr>
                <w:rFonts w:ascii="仿宋" w:eastAsia="仿宋" w:hAnsi="仿宋" w:cs="宋体" w:hint="eastAsia"/>
                <w:color w:val="000000"/>
                <w:kern w:val="0"/>
                <w:sz w:val="24"/>
                <w:szCs w:val="24"/>
              </w:rPr>
              <w:t>交易型开放式指数证券投资基金</w:t>
            </w:r>
          </w:p>
        </w:tc>
        <w:tc>
          <w:tcPr>
            <w:tcW w:w="182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中国银行股份有限公司</w:t>
            </w:r>
          </w:p>
        </w:tc>
        <w:tc>
          <w:tcPr>
            <w:tcW w:w="1560"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华宝中证沪港深500ETF</w:t>
            </w:r>
          </w:p>
        </w:tc>
        <w:tc>
          <w:tcPr>
            <w:tcW w:w="1275" w:type="dxa"/>
            <w:tcBorders>
              <w:top w:val="nil"/>
              <w:left w:val="nil"/>
              <w:bottom w:val="single" w:sz="4" w:space="0" w:color="auto"/>
              <w:right w:val="single" w:sz="4" w:space="0" w:color="auto"/>
            </w:tcBorders>
            <w:shd w:val="clear" w:color="auto" w:fill="auto"/>
            <w:vAlign w:val="center"/>
            <w:hideMark/>
          </w:tcPr>
          <w:p w:rsidR="003E1733" w:rsidRPr="00DC3382" w:rsidRDefault="003E1733" w:rsidP="008717BF">
            <w:pPr>
              <w:widowControl/>
              <w:jc w:val="left"/>
              <w:rPr>
                <w:rFonts w:ascii="仿宋" w:eastAsia="仿宋" w:hAnsi="仿宋" w:cs="宋体"/>
                <w:color w:val="000000"/>
                <w:kern w:val="0"/>
                <w:sz w:val="24"/>
                <w:szCs w:val="24"/>
              </w:rPr>
            </w:pPr>
            <w:r w:rsidRPr="00DC3382">
              <w:rPr>
                <w:rFonts w:ascii="仿宋" w:eastAsia="仿宋" w:hAnsi="仿宋" w:cs="宋体" w:hint="eastAsia"/>
                <w:color w:val="000000"/>
                <w:kern w:val="0"/>
                <w:sz w:val="24"/>
                <w:szCs w:val="24"/>
              </w:rPr>
              <w:t>沪港深ET</w:t>
            </w:r>
          </w:p>
        </w:tc>
      </w:tr>
    </w:tbl>
    <w:p w:rsidR="003E1733" w:rsidRPr="00AD5583" w:rsidRDefault="003E1733" w:rsidP="00AD5583">
      <w:pPr>
        <w:spacing w:before="240" w:after="240"/>
        <w:rPr>
          <w:rFonts w:ascii="宋体" w:eastAsia="宋体" w:hAnsi="宋体"/>
          <w:sz w:val="24"/>
          <w:szCs w:val="24"/>
        </w:rPr>
      </w:pPr>
    </w:p>
    <w:p w:rsidR="00331B74" w:rsidRPr="00331B74" w:rsidRDefault="00331B74" w:rsidP="005E5E1D">
      <w:pPr>
        <w:jc w:val="center"/>
      </w:pPr>
    </w:p>
    <w:sectPr w:rsidR="00331B74" w:rsidRPr="00331B74" w:rsidSect="00773A67">
      <w:headerReference w:type="default" r:id="rId7"/>
      <w:footerReference w:type="default" r:id="rId8"/>
      <w:headerReference w:type="first" r:id="rId9"/>
      <w:pgSz w:w="11906" w:h="16838"/>
      <w:pgMar w:top="1440" w:right="1800" w:bottom="1440" w:left="1800"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6FAD5F" w15:done="0"/>
  <w15:commentEx w15:paraId="09EC5DE0" w15:done="0"/>
  <w15:commentEx w15:paraId="06A2BEAD" w15:done="0"/>
  <w15:commentEx w15:paraId="09F23B28" w15:done="0"/>
  <w15:commentEx w15:paraId="4AC19E83" w15:done="0"/>
  <w15:commentEx w15:paraId="027C619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206" w:rsidRDefault="00B64206" w:rsidP="000775A2">
      <w:r>
        <w:separator/>
      </w:r>
    </w:p>
  </w:endnote>
  <w:endnote w:type="continuationSeparator" w:id="0">
    <w:p w:rsidR="00B64206" w:rsidRDefault="00B64206" w:rsidP="00077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68490"/>
      <w:docPartObj>
        <w:docPartGallery w:val="Page Numbers (Bottom of Page)"/>
        <w:docPartUnique/>
      </w:docPartObj>
    </w:sdtPr>
    <w:sdtContent>
      <w:p w:rsidR="00773A67" w:rsidRDefault="00975CD1">
        <w:pPr>
          <w:pStyle w:val="a4"/>
          <w:jc w:val="center"/>
        </w:pPr>
        <w:r>
          <w:fldChar w:fldCharType="begin"/>
        </w:r>
        <w:r w:rsidR="00C73656">
          <w:instrText>PAGE   \* MERGEFORMAT</w:instrText>
        </w:r>
        <w:r>
          <w:fldChar w:fldCharType="separate"/>
        </w:r>
        <w:r w:rsidR="00A8129C" w:rsidRPr="00A8129C">
          <w:rPr>
            <w:noProof/>
            <w:lang w:val="zh-CN"/>
          </w:rPr>
          <w:t>2</w:t>
        </w:r>
        <w:r>
          <w:fldChar w:fldCharType="end"/>
        </w:r>
      </w:p>
    </w:sdtContent>
  </w:sdt>
  <w:p w:rsidR="00773A67" w:rsidRDefault="00A812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206" w:rsidRDefault="00B64206" w:rsidP="000775A2">
      <w:r>
        <w:separator/>
      </w:r>
    </w:p>
  </w:footnote>
  <w:footnote w:type="continuationSeparator" w:id="0">
    <w:p w:rsidR="00B64206" w:rsidRDefault="00B64206" w:rsidP="00077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67" w:rsidRPr="004B12B5" w:rsidRDefault="00A8129C" w:rsidP="004B12B5">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67" w:rsidRPr="00C160B2" w:rsidRDefault="00A8129C" w:rsidP="00C160B2">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F35"/>
    <w:multiLevelType w:val="hybridMultilevel"/>
    <w:tmpl w:val="0AFCE4BC"/>
    <w:lvl w:ilvl="0" w:tplc="014617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rson w15:author="Llinks1">
    <w15:presenceInfo w15:providerId="None" w15:userId="Llinks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5DE"/>
    <w:rsid w:val="00001249"/>
    <w:rsid w:val="000024F1"/>
    <w:rsid w:val="00012C75"/>
    <w:rsid w:val="000164D6"/>
    <w:rsid w:val="00017AC6"/>
    <w:rsid w:val="00033E13"/>
    <w:rsid w:val="00050BE6"/>
    <w:rsid w:val="00061362"/>
    <w:rsid w:val="00067274"/>
    <w:rsid w:val="0007250D"/>
    <w:rsid w:val="000775A2"/>
    <w:rsid w:val="000A293B"/>
    <w:rsid w:val="00122B63"/>
    <w:rsid w:val="00136B4B"/>
    <w:rsid w:val="00136E4E"/>
    <w:rsid w:val="00152B1A"/>
    <w:rsid w:val="0016268B"/>
    <w:rsid w:val="00173EE1"/>
    <w:rsid w:val="0017662C"/>
    <w:rsid w:val="001936A8"/>
    <w:rsid w:val="001A2D6A"/>
    <w:rsid w:val="001A53E5"/>
    <w:rsid w:val="001A7D1E"/>
    <w:rsid w:val="001B75B1"/>
    <w:rsid w:val="001C325F"/>
    <w:rsid w:val="001E39EF"/>
    <w:rsid w:val="001E6FDF"/>
    <w:rsid w:val="001F75E9"/>
    <w:rsid w:val="00210CC3"/>
    <w:rsid w:val="002222E2"/>
    <w:rsid w:val="00226D82"/>
    <w:rsid w:val="002512B2"/>
    <w:rsid w:val="00252660"/>
    <w:rsid w:val="00260929"/>
    <w:rsid w:val="00266046"/>
    <w:rsid w:val="00271CAB"/>
    <w:rsid w:val="00273E9E"/>
    <w:rsid w:val="002845AE"/>
    <w:rsid w:val="00291167"/>
    <w:rsid w:val="002960E3"/>
    <w:rsid w:val="002B47C7"/>
    <w:rsid w:val="002D387A"/>
    <w:rsid w:val="002E184D"/>
    <w:rsid w:val="002E2E2E"/>
    <w:rsid w:val="002E39D9"/>
    <w:rsid w:val="002F4C47"/>
    <w:rsid w:val="003112C7"/>
    <w:rsid w:val="00322435"/>
    <w:rsid w:val="00331B74"/>
    <w:rsid w:val="0034095C"/>
    <w:rsid w:val="00341FC0"/>
    <w:rsid w:val="003506DC"/>
    <w:rsid w:val="00354808"/>
    <w:rsid w:val="00361BB0"/>
    <w:rsid w:val="00362485"/>
    <w:rsid w:val="00371805"/>
    <w:rsid w:val="00385092"/>
    <w:rsid w:val="00392302"/>
    <w:rsid w:val="003A42C5"/>
    <w:rsid w:val="003C123B"/>
    <w:rsid w:val="003C1B78"/>
    <w:rsid w:val="003C5C09"/>
    <w:rsid w:val="003D5B06"/>
    <w:rsid w:val="003E1733"/>
    <w:rsid w:val="003E4ABB"/>
    <w:rsid w:val="003F3507"/>
    <w:rsid w:val="00402795"/>
    <w:rsid w:val="004069E0"/>
    <w:rsid w:val="00421522"/>
    <w:rsid w:val="004240A8"/>
    <w:rsid w:val="00442982"/>
    <w:rsid w:val="00442F06"/>
    <w:rsid w:val="00466B1C"/>
    <w:rsid w:val="00467A9A"/>
    <w:rsid w:val="00471E62"/>
    <w:rsid w:val="004810DF"/>
    <w:rsid w:val="004862BE"/>
    <w:rsid w:val="004914F4"/>
    <w:rsid w:val="00492683"/>
    <w:rsid w:val="004938B0"/>
    <w:rsid w:val="004A32B1"/>
    <w:rsid w:val="004B77A8"/>
    <w:rsid w:val="004E29D1"/>
    <w:rsid w:val="004E41AA"/>
    <w:rsid w:val="004F01EF"/>
    <w:rsid w:val="00501C5B"/>
    <w:rsid w:val="00515E1C"/>
    <w:rsid w:val="00516589"/>
    <w:rsid w:val="005178D4"/>
    <w:rsid w:val="00517BCC"/>
    <w:rsid w:val="00521C9F"/>
    <w:rsid w:val="005244C4"/>
    <w:rsid w:val="00543938"/>
    <w:rsid w:val="00557125"/>
    <w:rsid w:val="0057467A"/>
    <w:rsid w:val="005817D1"/>
    <w:rsid w:val="005831FB"/>
    <w:rsid w:val="0059175E"/>
    <w:rsid w:val="005942FF"/>
    <w:rsid w:val="005A5AFB"/>
    <w:rsid w:val="005A687F"/>
    <w:rsid w:val="005A71B4"/>
    <w:rsid w:val="005B6372"/>
    <w:rsid w:val="005E5E1D"/>
    <w:rsid w:val="005F433B"/>
    <w:rsid w:val="005F5393"/>
    <w:rsid w:val="005F6E2F"/>
    <w:rsid w:val="00610EBF"/>
    <w:rsid w:val="00623FF3"/>
    <w:rsid w:val="006339AB"/>
    <w:rsid w:val="0065188E"/>
    <w:rsid w:val="006577B6"/>
    <w:rsid w:val="006619EB"/>
    <w:rsid w:val="006631B6"/>
    <w:rsid w:val="00665EF0"/>
    <w:rsid w:val="006A3366"/>
    <w:rsid w:val="006B0472"/>
    <w:rsid w:val="006B2823"/>
    <w:rsid w:val="006B313C"/>
    <w:rsid w:val="006B5529"/>
    <w:rsid w:val="006C6B98"/>
    <w:rsid w:val="006D303A"/>
    <w:rsid w:val="006E1D3C"/>
    <w:rsid w:val="006E6926"/>
    <w:rsid w:val="006F1174"/>
    <w:rsid w:val="007201CE"/>
    <w:rsid w:val="00723402"/>
    <w:rsid w:val="00724C14"/>
    <w:rsid w:val="00724CF5"/>
    <w:rsid w:val="00743A3A"/>
    <w:rsid w:val="007449AA"/>
    <w:rsid w:val="00750719"/>
    <w:rsid w:val="007519D3"/>
    <w:rsid w:val="00754C3A"/>
    <w:rsid w:val="0076040D"/>
    <w:rsid w:val="00773EE1"/>
    <w:rsid w:val="007776A5"/>
    <w:rsid w:val="00781777"/>
    <w:rsid w:val="00783ED5"/>
    <w:rsid w:val="00791156"/>
    <w:rsid w:val="00794065"/>
    <w:rsid w:val="00794D90"/>
    <w:rsid w:val="007A3992"/>
    <w:rsid w:val="007B256C"/>
    <w:rsid w:val="007D1834"/>
    <w:rsid w:val="007D3654"/>
    <w:rsid w:val="007E122B"/>
    <w:rsid w:val="007E705A"/>
    <w:rsid w:val="007F7183"/>
    <w:rsid w:val="0080477B"/>
    <w:rsid w:val="00804DFE"/>
    <w:rsid w:val="00814A06"/>
    <w:rsid w:val="00836D5A"/>
    <w:rsid w:val="00847D74"/>
    <w:rsid w:val="008556CD"/>
    <w:rsid w:val="008C1F41"/>
    <w:rsid w:val="008C7D30"/>
    <w:rsid w:val="008E46F6"/>
    <w:rsid w:val="008E77E4"/>
    <w:rsid w:val="008F0E3F"/>
    <w:rsid w:val="00922D69"/>
    <w:rsid w:val="00935E39"/>
    <w:rsid w:val="00944227"/>
    <w:rsid w:val="00951F34"/>
    <w:rsid w:val="00956EDC"/>
    <w:rsid w:val="00971E03"/>
    <w:rsid w:val="00975CD1"/>
    <w:rsid w:val="0098767B"/>
    <w:rsid w:val="00990DD7"/>
    <w:rsid w:val="009940A8"/>
    <w:rsid w:val="009944C1"/>
    <w:rsid w:val="009A7C1C"/>
    <w:rsid w:val="009A7F60"/>
    <w:rsid w:val="009D1E0B"/>
    <w:rsid w:val="009F7B7C"/>
    <w:rsid w:val="00A02549"/>
    <w:rsid w:val="00A151CF"/>
    <w:rsid w:val="00A1656A"/>
    <w:rsid w:val="00A16CC2"/>
    <w:rsid w:val="00A34C09"/>
    <w:rsid w:val="00A35DC0"/>
    <w:rsid w:val="00A47EAC"/>
    <w:rsid w:val="00A50BC0"/>
    <w:rsid w:val="00A55660"/>
    <w:rsid w:val="00A61AFD"/>
    <w:rsid w:val="00A8129C"/>
    <w:rsid w:val="00A852CA"/>
    <w:rsid w:val="00A94BF0"/>
    <w:rsid w:val="00AA061E"/>
    <w:rsid w:val="00AB64D5"/>
    <w:rsid w:val="00AC41E1"/>
    <w:rsid w:val="00AD3926"/>
    <w:rsid w:val="00AD5583"/>
    <w:rsid w:val="00AE3654"/>
    <w:rsid w:val="00AF23F1"/>
    <w:rsid w:val="00AF36B9"/>
    <w:rsid w:val="00B05868"/>
    <w:rsid w:val="00B20108"/>
    <w:rsid w:val="00B24812"/>
    <w:rsid w:val="00B422F3"/>
    <w:rsid w:val="00B4672C"/>
    <w:rsid w:val="00B64163"/>
    <w:rsid w:val="00B64206"/>
    <w:rsid w:val="00B6606A"/>
    <w:rsid w:val="00B77719"/>
    <w:rsid w:val="00B83B2F"/>
    <w:rsid w:val="00BA384F"/>
    <w:rsid w:val="00BA648D"/>
    <w:rsid w:val="00BB76AB"/>
    <w:rsid w:val="00BD55CB"/>
    <w:rsid w:val="00BE0E11"/>
    <w:rsid w:val="00BE2D41"/>
    <w:rsid w:val="00C04C35"/>
    <w:rsid w:val="00C1301E"/>
    <w:rsid w:val="00C16A02"/>
    <w:rsid w:val="00C227B5"/>
    <w:rsid w:val="00C27E54"/>
    <w:rsid w:val="00C3566E"/>
    <w:rsid w:val="00C50133"/>
    <w:rsid w:val="00C73656"/>
    <w:rsid w:val="00C75E71"/>
    <w:rsid w:val="00C91087"/>
    <w:rsid w:val="00C94FBB"/>
    <w:rsid w:val="00C95DBC"/>
    <w:rsid w:val="00CA4537"/>
    <w:rsid w:val="00CB566C"/>
    <w:rsid w:val="00CC38B7"/>
    <w:rsid w:val="00CC3A09"/>
    <w:rsid w:val="00CE02FA"/>
    <w:rsid w:val="00CE703D"/>
    <w:rsid w:val="00D042A8"/>
    <w:rsid w:val="00D0678B"/>
    <w:rsid w:val="00D23B61"/>
    <w:rsid w:val="00D345D1"/>
    <w:rsid w:val="00D43953"/>
    <w:rsid w:val="00D44212"/>
    <w:rsid w:val="00D477BF"/>
    <w:rsid w:val="00D52070"/>
    <w:rsid w:val="00D62618"/>
    <w:rsid w:val="00D675DE"/>
    <w:rsid w:val="00D6776C"/>
    <w:rsid w:val="00D7178C"/>
    <w:rsid w:val="00D73015"/>
    <w:rsid w:val="00D80EC8"/>
    <w:rsid w:val="00D9746C"/>
    <w:rsid w:val="00DA2E04"/>
    <w:rsid w:val="00DA586C"/>
    <w:rsid w:val="00DB4F83"/>
    <w:rsid w:val="00DC1FA1"/>
    <w:rsid w:val="00DD4340"/>
    <w:rsid w:val="00DE5AF9"/>
    <w:rsid w:val="00E1359E"/>
    <w:rsid w:val="00E13E81"/>
    <w:rsid w:val="00E30632"/>
    <w:rsid w:val="00E32382"/>
    <w:rsid w:val="00E33635"/>
    <w:rsid w:val="00E339AD"/>
    <w:rsid w:val="00E36E2A"/>
    <w:rsid w:val="00E42E3F"/>
    <w:rsid w:val="00E533CB"/>
    <w:rsid w:val="00E66C88"/>
    <w:rsid w:val="00E66CB8"/>
    <w:rsid w:val="00E678B3"/>
    <w:rsid w:val="00E8647C"/>
    <w:rsid w:val="00E96F70"/>
    <w:rsid w:val="00EA5845"/>
    <w:rsid w:val="00EA769B"/>
    <w:rsid w:val="00EA772E"/>
    <w:rsid w:val="00EB464F"/>
    <w:rsid w:val="00EC57C6"/>
    <w:rsid w:val="00EC595D"/>
    <w:rsid w:val="00ED2DFD"/>
    <w:rsid w:val="00ED33C1"/>
    <w:rsid w:val="00F07473"/>
    <w:rsid w:val="00F557F0"/>
    <w:rsid w:val="00F61234"/>
    <w:rsid w:val="00F85FF0"/>
    <w:rsid w:val="00F91498"/>
    <w:rsid w:val="00FA17D9"/>
    <w:rsid w:val="00FA3B97"/>
    <w:rsid w:val="00FB1097"/>
    <w:rsid w:val="00FD0AAB"/>
    <w:rsid w:val="00FD3516"/>
    <w:rsid w:val="00FD4DC0"/>
    <w:rsid w:val="00FD682E"/>
    <w:rsid w:val="00FF3C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C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C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0CC3"/>
    <w:rPr>
      <w:sz w:val="18"/>
      <w:szCs w:val="18"/>
    </w:rPr>
  </w:style>
  <w:style w:type="paragraph" w:styleId="a4">
    <w:name w:val="footer"/>
    <w:basedOn w:val="a"/>
    <w:link w:val="Char0"/>
    <w:uiPriority w:val="99"/>
    <w:unhideWhenUsed/>
    <w:rsid w:val="00210CC3"/>
    <w:pPr>
      <w:tabs>
        <w:tab w:val="center" w:pos="4153"/>
        <w:tab w:val="right" w:pos="8306"/>
      </w:tabs>
      <w:snapToGrid w:val="0"/>
      <w:jc w:val="left"/>
    </w:pPr>
    <w:rPr>
      <w:sz w:val="18"/>
      <w:szCs w:val="18"/>
    </w:rPr>
  </w:style>
  <w:style w:type="character" w:customStyle="1" w:styleId="Char0">
    <w:name w:val="页脚 Char"/>
    <w:basedOn w:val="a0"/>
    <w:link w:val="a4"/>
    <w:uiPriority w:val="99"/>
    <w:rsid w:val="00210CC3"/>
    <w:rPr>
      <w:sz w:val="18"/>
      <w:szCs w:val="18"/>
    </w:rPr>
  </w:style>
  <w:style w:type="character" w:styleId="a5">
    <w:name w:val="annotation reference"/>
    <w:basedOn w:val="a0"/>
    <w:uiPriority w:val="99"/>
    <w:unhideWhenUsed/>
    <w:qFormat/>
    <w:rsid w:val="006619EB"/>
    <w:rPr>
      <w:sz w:val="21"/>
      <w:szCs w:val="21"/>
    </w:rPr>
  </w:style>
  <w:style w:type="paragraph" w:styleId="a6">
    <w:name w:val="annotation text"/>
    <w:basedOn w:val="a"/>
    <w:link w:val="Char1"/>
    <w:uiPriority w:val="99"/>
    <w:semiHidden/>
    <w:unhideWhenUsed/>
    <w:rsid w:val="006619EB"/>
    <w:pPr>
      <w:jc w:val="left"/>
    </w:pPr>
  </w:style>
  <w:style w:type="character" w:customStyle="1" w:styleId="Char1">
    <w:name w:val="批注文字 Char"/>
    <w:basedOn w:val="a0"/>
    <w:link w:val="a6"/>
    <w:uiPriority w:val="99"/>
    <w:semiHidden/>
    <w:rsid w:val="006619EB"/>
  </w:style>
  <w:style w:type="paragraph" w:styleId="a7">
    <w:name w:val="annotation subject"/>
    <w:basedOn w:val="a6"/>
    <w:next w:val="a6"/>
    <w:link w:val="Char2"/>
    <w:uiPriority w:val="99"/>
    <w:semiHidden/>
    <w:unhideWhenUsed/>
    <w:rsid w:val="006619EB"/>
    <w:rPr>
      <w:b/>
      <w:bCs/>
    </w:rPr>
  </w:style>
  <w:style w:type="character" w:customStyle="1" w:styleId="Char2">
    <w:name w:val="批注主题 Char"/>
    <w:basedOn w:val="Char1"/>
    <w:link w:val="a7"/>
    <w:uiPriority w:val="99"/>
    <w:semiHidden/>
    <w:rsid w:val="006619EB"/>
    <w:rPr>
      <w:b/>
      <w:bCs/>
    </w:rPr>
  </w:style>
  <w:style w:type="paragraph" w:styleId="a8">
    <w:name w:val="Balloon Text"/>
    <w:basedOn w:val="a"/>
    <w:link w:val="Char3"/>
    <w:uiPriority w:val="99"/>
    <w:semiHidden/>
    <w:unhideWhenUsed/>
    <w:rsid w:val="006619EB"/>
    <w:rPr>
      <w:sz w:val="18"/>
      <w:szCs w:val="18"/>
    </w:rPr>
  </w:style>
  <w:style w:type="character" w:customStyle="1" w:styleId="Char3">
    <w:name w:val="批注框文本 Char"/>
    <w:basedOn w:val="a0"/>
    <w:link w:val="a8"/>
    <w:uiPriority w:val="99"/>
    <w:semiHidden/>
    <w:rsid w:val="006619EB"/>
    <w:rPr>
      <w:sz w:val="18"/>
      <w:szCs w:val="18"/>
    </w:rPr>
  </w:style>
  <w:style w:type="paragraph" w:styleId="a9">
    <w:name w:val="Revision"/>
    <w:hidden/>
    <w:uiPriority w:val="99"/>
    <w:semiHidden/>
    <w:rsid w:val="0007250D"/>
  </w:style>
  <w:style w:type="paragraph" w:styleId="aa">
    <w:name w:val="List Paragraph"/>
    <w:basedOn w:val="a"/>
    <w:uiPriority w:val="34"/>
    <w:qFormat/>
    <w:rsid w:val="00FA17D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C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C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0CC3"/>
    <w:rPr>
      <w:sz w:val="18"/>
      <w:szCs w:val="18"/>
    </w:rPr>
  </w:style>
  <w:style w:type="paragraph" w:styleId="a4">
    <w:name w:val="footer"/>
    <w:basedOn w:val="a"/>
    <w:link w:val="Char0"/>
    <w:uiPriority w:val="99"/>
    <w:unhideWhenUsed/>
    <w:rsid w:val="00210CC3"/>
    <w:pPr>
      <w:tabs>
        <w:tab w:val="center" w:pos="4153"/>
        <w:tab w:val="right" w:pos="8306"/>
      </w:tabs>
      <w:snapToGrid w:val="0"/>
      <w:jc w:val="left"/>
    </w:pPr>
    <w:rPr>
      <w:sz w:val="18"/>
      <w:szCs w:val="18"/>
    </w:rPr>
  </w:style>
  <w:style w:type="character" w:customStyle="1" w:styleId="Char0">
    <w:name w:val="页脚 Char"/>
    <w:basedOn w:val="a0"/>
    <w:link w:val="a4"/>
    <w:uiPriority w:val="99"/>
    <w:rsid w:val="00210CC3"/>
    <w:rPr>
      <w:sz w:val="18"/>
      <w:szCs w:val="18"/>
    </w:rPr>
  </w:style>
  <w:style w:type="character" w:styleId="a5">
    <w:name w:val="annotation reference"/>
    <w:basedOn w:val="a0"/>
    <w:uiPriority w:val="99"/>
    <w:unhideWhenUsed/>
    <w:qFormat/>
    <w:rsid w:val="006619EB"/>
    <w:rPr>
      <w:sz w:val="21"/>
      <w:szCs w:val="21"/>
    </w:rPr>
  </w:style>
  <w:style w:type="paragraph" w:styleId="a6">
    <w:name w:val="annotation text"/>
    <w:basedOn w:val="a"/>
    <w:link w:val="Char1"/>
    <w:uiPriority w:val="99"/>
    <w:semiHidden/>
    <w:unhideWhenUsed/>
    <w:rsid w:val="006619EB"/>
    <w:pPr>
      <w:jc w:val="left"/>
    </w:pPr>
  </w:style>
  <w:style w:type="character" w:customStyle="1" w:styleId="Char1">
    <w:name w:val="批注文字 Char"/>
    <w:basedOn w:val="a0"/>
    <w:link w:val="a6"/>
    <w:uiPriority w:val="99"/>
    <w:semiHidden/>
    <w:rsid w:val="006619EB"/>
  </w:style>
  <w:style w:type="paragraph" w:styleId="a7">
    <w:name w:val="annotation subject"/>
    <w:basedOn w:val="a6"/>
    <w:next w:val="a6"/>
    <w:link w:val="Char2"/>
    <w:uiPriority w:val="99"/>
    <w:semiHidden/>
    <w:unhideWhenUsed/>
    <w:rsid w:val="006619EB"/>
    <w:rPr>
      <w:b/>
      <w:bCs/>
    </w:rPr>
  </w:style>
  <w:style w:type="character" w:customStyle="1" w:styleId="Char2">
    <w:name w:val="批注主题 Char"/>
    <w:basedOn w:val="Char1"/>
    <w:link w:val="a7"/>
    <w:uiPriority w:val="99"/>
    <w:semiHidden/>
    <w:rsid w:val="006619EB"/>
    <w:rPr>
      <w:b/>
      <w:bCs/>
    </w:rPr>
  </w:style>
  <w:style w:type="paragraph" w:styleId="a8">
    <w:name w:val="Balloon Text"/>
    <w:basedOn w:val="a"/>
    <w:link w:val="Char3"/>
    <w:uiPriority w:val="99"/>
    <w:semiHidden/>
    <w:unhideWhenUsed/>
    <w:rsid w:val="006619EB"/>
    <w:rPr>
      <w:sz w:val="18"/>
      <w:szCs w:val="18"/>
    </w:rPr>
  </w:style>
  <w:style w:type="character" w:customStyle="1" w:styleId="Char3">
    <w:name w:val="批注框文本 Char"/>
    <w:basedOn w:val="a0"/>
    <w:link w:val="a8"/>
    <w:uiPriority w:val="99"/>
    <w:semiHidden/>
    <w:rsid w:val="006619EB"/>
    <w:rPr>
      <w:sz w:val="18"/>
      <w:szCs w:val="18"/>
    </w:rPr>
  </w:style>
  <w:style w:type="paragraph" w:styleId="a9">
    <w:name w:val="Revision"/>
    <w:hidden/>
    <w:uiPriority w:val="99"/>
    <w:semiHidden/>
    <w:rsid w:val="0007250D"/>
  </w:style>
  <w:style w:type="paragraph" w:styleId="aa">
    <w:name w:val="List Paragraph"/>
    <w:basedOn w:val="a"/>
    <w:uiPriority w:val="34"/>
    <w:qFormat/>
    <w:rsid w:val="00FA17D9"/>
    <w:pPr>
      <w:ind w:firstLineChars="200" w:firstLine="420"/>
    </w:pPr>
  </w:style>
</w:styles>
</file>

<file path=word/webSettings.xml><?xml version="1.0" encoding="utf-8"?>
<w:webSettings xmlns:r="http://schemas.openxmlformats.org/officeDocument/2006/relationships" xmlns:w="http://schemas.openxmlformats.org/wordprocessingml/2006/main">
  <w:divs>
    <w:div w:id="19432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3935</Characters>
  <Application>Microsoft Office Word</Application>
  <DocSecurity>4</DocSecurity>
  <Lines>32</Lines>
  <Paragraphs>9</Paragraphs>
  <ScaleCrop>false</ScaleCrop>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徐蓓蓓</dc:creator>
  <cp:lastModifiedBy>ZHONGM</cp:lastModifiedBy>
  <cp:revision>2</cp:revision>
  <dcterms:created xsi:type="dcterms:W3CDTF">2021-03-30T16:01:00Z</dcterms:created>
  <dcterms:modified xsi:type="dcterms:W3CDTF">2021-03-30T16:01:00Z</dcterms:modified>
</cp:coreProperties>
</file>