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91" w:rsidRDefault="00322D91" w:rsidP="00322D91">
      <w:pPr>
        <w:pStyle w:val="Default"/>
      </w:pPr>
    </w:p>
    <w:p w:rsidR="00322D91" w:rsidRPr="00322D91" w:rsidRDefault="00322D91" w:rsidP="00322D91">
      <w:pPr>
        <w:pStyle w:val="a3"/>
        <w:shd w:val="clear" w:color="auto" w:fill="FFFFFF"/>
        <w:spacing w:before="0" w:beforeAutospacing="0" w:after="0" w:afterAutospacing="0" w:line="360" w:lineRule="auto"/>
        <w:ind w:firstLineChars="200" w:firstLine="482"/>
        <w:jc w:val="center"/>
        <w:rPr>
          <w:b/>
          <w:bCs/>
          <w:color w:val="333333"/>
        </w:rPr>
      </w:pPr>
      <w:r w:rsidRPr="00322D91">
        <w:rPr>
          <w:b/>
          <w:bCs/>
          <w:color w:val="333333"/>
        </w:rPr>
        <w:t xml:space="preserve"> </w:t>
      </w:r>
      <w:r w:rsidRPr="00322D91">
        <w:rPr>
          <w:rFonts w:hint="eastAsia"/>
          <w:b/>
          <w:bCs/>
          <w:color w:val="333333"/>
        </w:rPr>
        <w:t>华安基金管理有限公司</w:t>
      </w:r>
      <w:r w:rsidRPr="00322D91">
        <w:rPr>
          <w:b/>
          <w:bCs/>
          <w:color w:val="333333"/>
        </w:rPr>
        <w:t xml:space="preserve"> </w:t>
      </w:r>
    </w:p>
    <w:p w:rsidR="00322D91" w:rsidRPr="00322D91" w:rsidRDefault="00322D91" w:rsidP="00CB26EF">
      <w:pPr>
        <w:pStyle w:val="a3"/>
        <w:shd w:val="clear" w:color="auto" w:fill="FFFFFF"/>
        <w:spacing w:before="0" w:beforeAutospacing="0" w:after="0" w:afterAutospacing="0" w:line="360" w:lineRule="auto"/>
        <w:ind w:firstLineChars="200" w:firstLine="482"/>
        <w:jc w:val="center"/>
        <w:rPr>
          <w:b/>
          <w:bCs/>
          <w:color w:val="333333"/>
        </w:rPr>
      </w:pPr>
      <w:bookmarkStart w:id="0" w:name="_GoBack"/>
      <w:bookmarkEnd w:id="0"/>
      <w:r w:rsidRPr="00322D91">
        <w:rPr>
          <w:rFonts w:hint="eastAsia"/>
          <w:b/>
          <w:bCs/>
          <w:color w:val="333333"/>
        </w:rPr>
        <w:t>关于根据指数基金指引修订旗下部分公募基金基金合同的公告</w:t>
      </w:r>
    </w:p>
    <w:p w:rsidR="00322D91" w:rsidRPr="00322D91" w:rsidRDefault="00322D91" w:rsidP="00322D91">
      <w:pPr>
        <w:pStyle w:val="a3"/>
        <w:shd w:val="clear" w:color="auto" w:fill="FFFFFF"/>
        <w:spacing w:before="0" w:beforeAutospacing="0" w:after="0" w:afterAutospacing="0" w:line="360" w:lineRule="auto"/>
        <w:ind w:firstLineChars="200" w:firstLine="460"/>
        <w:rPr>
          <w:color w:val="333333"/>
          <w:sz w:val="21"/>
          <w:szCs w:val="21"/>
        </w:rPr>
      </w:pPr>
      <w:r>
        <w:rPr>
          <w:rFonts w:hAnsi="Times New Roman"/>
          <w:sz w:val="23"/>
          <w:szCs w:val="23"/>
        </w:rPr>
        <w:t xml:space="preserve"> </w:t>
      </w:r>
    </w:p>
    <w:p w:rsidR="00322D91"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sidRPr="00322D91">
        <w:rPr>
          <w:rFonts w:hint="eastAsia"/>
          <w:color w:val="333333"/>
          <w:sz w:val="21"/>
          <w:szCs w:val="21"/>
        </w:rPr>
        <w:t>根据《中华人民共和国证券投资基金法》</w:t>
      </w:r>
      <w:r w:rsidR="00955057">
        <w:rPr>
          <w:rFonts w:hint="eastAsia"/>
          <w:color w:val="333333"/>
          <w:sz w:val="21"/>
          <w:szCs w:val="21"/>
        </w:rPr>
        <w:t>、</w:t>
      </w:r>
      <w:r w:rsidRPr="00322D91">
        <w:rPr>
          <w:rFonts w:hint="eastAsia"/>
          <w:color w:val="333333"/>
          <w:sz w:val="21"/>
          <w:szCs w:val="21"/>
        </w:rPr>
        <w:t>《公开募集证券投资基金信息披露管理办法》</w:t>
      </w:r>
      <w:r w:rsidR="00955057">
        <w:rPr>
          <w:rFonts w:hint="eastAsia"/>
          <w:color w:val="333333"/>
          <w:sz w:val="21"/>
          <w:szCs w:val="21"/>
        </w:rPr>
        <w:t>、</w:t>
      </w:r>
      <w:r w:rsidRPr="00322D91">
        <w:rPr>
          <w:rFonts w:hint="eastAsia"/>
          <w:color w:val="333333"/>
          <w:sz w:val="21"/>
          <w:szCs w:val="21"/>
        </w:rPr>
        <w:t>《公开募集证券投资基金运作指引第</w:t>
      </w:r>
      <w:r w:rsidRPr="00322D91">
        <w:rPr>
          <w:color w:val="333333"/>
          <w:sz w:val="21"/>
          <w:szCs w:val="21"/>
        </w:rPr>
        <w:t>3</w:t>
      </w:r>
      <w:r w:rsidRPr="00322D91">
        <w:rPr>
          <w:rFonts w:hint="eastAsia"/>
          <w:color w:val="333333"/>
          <w:sz w:val="21"/>
          <w:szCs w:val="21"/>
        </w:rPr>
        <w:t>号</w:t>
      </w:r>
      <w:r w:rsidRPr="00322D91">
        <w:rPr>
          <w:color w:val="333333"/>
          <w:sz w:val="21"/>
          <w:szCs w:val="21"/>
        </w:rPr>
        <w:t>-</w:t>
      </w:r>
      <w:r w:rsidRPr="00322D91">
        <w:rPr>
          <w:rFonts w:hint="eastAsia"/>
          <w:color w:val="333333"/>
          <w:sz w:val="21"/>
          <w:szCs w:val="21"/>
        </w:rPr>
        <w:t>指数基金指引》等法律法规及各基金基金合同、招募说明书及其更新等规定，经与各基金托管人协商一致，并向中国证监会备案，华安基金管理有限公司（以下简称</w:t>
      </w:r>
      <w:r w:rsidRPr="00322D91">
        <w:rPr>
          <w:color w:val="333333"/>
          <w:sz w:val="21"/>
          <w:szCs w:val="21"/>
        </w:rPr>
        <w:t>“</w:t>
      </w:r>
      <w:r w:rsidRPr="00322D91">
        <w:rPr>
          <w:rFonts w:hint="eastAsia"/>
          <w:color w:val="333333"/>
          <w:sz w:val="21"/>
          <w:szCs w:val="21"/>
        </w:rPr>
        <w:t>本基金管理人</w:t>
      </w:r>
      <w:r w:rsidRPr="00322D91">
        <w:rPr>
          <w:color w:val="333333"/>
          <w:sz w:val="21"/>
          <w:szCs w:val="21"/>
        </w:rPr>
        <w:t>”</w:t>
      </w:r>
      <w:r w:rsidR="00CE6B37">
        <w:rPr>
          <w:rFonts w:hint="eastAsia"/>
          <w:color w:val="333333"/>
          <w:sz w:val="21"/>
          <w:szCs w:val="21"/>
        </w:rPr>
        <w:t>或“</w:t>
      </w:r>
      <w:r w:rsidR="00CE6B37" w:rsidRPr="00322D91">
        <w:rPr>
          <w:rFonts w:hint="eastAsia"/>
          <w:color w:val="333333"/>
          <w:sz w:val="21"/>
          <w:szCs w:val="21"/>
        </w:rPr>
        <w:t>基金管理人</w:t>
      </w:r>
      <w:r w:rsidR="00CE6B37">
        <w:rPr>
          <w:rFonts w:hint="eastAsia"/>
          <w:color w:val="333333"/>
          <w:sz w:val="21"/>
          <w:szCs w:val="21"/>
        </w:rPr>
        <w:t>”</w:t>
      </w:r>
      <w:r w:rsidRPr="00322D91">
        <w:rPr>
          <w:rFonts w:hint="eastAsia"/>
          <w:color w:val="333333"/>
          <w:sz w:val="21"/>
          <w:szCs w:val="21"/>
        </w:rPr>
        <w:t>）决定对旗下33只公募指数证券投资基金的基金合同、招募说明书等法律文件进行修订。本次修订将自</w:t>
      </w:r>
      <w:r w:rsidRPr="00322D91">
        <w:rPr>
          <w:color w:val="333333"/>
          <w:sz w:val="21"/>
          <w:szCs w:val="21"/>
        </w:rPr>
        <w:t>2021</w:t>
      </w:r>
      <w:r w:rsidRPr="00322D91">
        <w:rPr>
          <w:rFonts w:hint="eastAsia"/>
          <w:color w:val="333333"/>
          <w:sz w:val="21"/>
          <w:szCs w:val="21"/>
        </w:rPr>
        <w:t>年</w:t>
      </w:r>
      <w:r w:rsidRPr="00322D91">
        <w:rPr>
          <w:color w:val="333333"/>
          <w:sz w:val="21"/>
          <w:szCs w:val="21"/>
        </w:rPr>
        <w:t>3</w:t>
      </w:r>
      <w:r w:rsidRPr="00322D91">
        <w:rPr>
          <w:rFonts w:hint="eastAsia"/>
          <w:color w:val="333333"/>
          <w:sz w:val="21"/>
          <w:szCs w:val="21"/>
        </w:rPr>
        <w:t>月</w:t>
      </w:r>
      <w:r w:rsidRPr="00322D91">
        <w:rPr>
          <w:color w:val="333333"/>
          <w:sz w:val="21"/>
          <w:szCs w:val="21"/>
        </w:rPr>
        <w:t>31</w:t>
      </w:r>
      <w:r w:rsidRPr="00322D91">
        <w:rPr>
          <w:rFonts w:hint="eastAsia"/>
          <w:color w:val="333333"/>
          <w:sz w:val="21"/>
          <w:szCs w:val="21"/>
        </w:rPr>
        <w:t>日起正式生效。现将主要修订情况公告如下：</w:t>
      </w:r>
    </w:p>
    <w:p w:rsidR="00322D91" w:rsidRPr="00322D91"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sidRPr="00322D91">
        <w:rPr>
          <w:color w:val="333333"/>
          <w:sz w:val="21"/>
          <w:szCs w:val="21"/>
        </w:rPr>
        <w:t xml:space="preserve"> </w:t>
      </w:r>
    </w:p>
    <w:p w:rsidR="005D2C9B" w:rsidRPr="00322D91" w:rsidRDefault="00322D91" w:rsidP="00322D91">
      <w:pPr>
        <w:pStyle w:val="a3"/>
        <w:shd w:val="clear" w:color="auto" w:fill="FFFFFF"/>
        <w:spacing w:before="0" w:beforeAutospacing="0" w:after="0" w:afterAutospacing="0" w:line="360" w:lineRule="auto"/>
        <w:ind w:firstLineChars="200" w:firstLine="422"/>
        <w:rPr>
          <w:b/>
          <w:color w:val="333333"/>
          <w:sz w:val="21"/>
          <w:szCs w:val="21"/>
        </w:rPr>
      </w:pPr>
      <w:r w:rsidRPr="00322D91">
        <w:rPr>
          <w:rFonts w:hint="eastAsia"/>
          <w:b/>
          <w:color w:val="333333"/>
          <w:sz w:val="21"/>
          <w:szCs w:val="21"/>
        </w:rPr>
        <w:t>一、修订基金范围</w:t>
      </w:r>
    </w:p>
    <w:p w:rsidR="00322D91" w:rsidRPr="00322D91" w:rsidRDefault="00322D91" w:rsidP="00B02559">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本次修订涉及基金管理人旗下</w:t>
      </w:r>
      <w:r>
        <w:rPr>
          <w:rFonts w:hint="eastAsia"/>
          <w:color w:val="333333"/>
          <w:sz w:val="21"/>
          <w:szCs w:val="21"/>
        </w:rPr>
        <w:t>33</w:t>
      </w:r>
      <w:r w:rsidRPr="0032432F">
        <w:rPr>
          <w:color w:val="333333"/>
          <w:sz w:val="21"/>
          <w:szCs w:val="21"/>
        </w:rPr>
        <w:t>只公募基金，详细名单见本公告的附表。</w:t>
      </w:r>
    </w:p>
    <w:p w:rsidR="00322D91" w:rsidRPr="00322D91"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p>
    <w:p w:rsidR="00322D91" w:rsidRDefault="00322D91" w:rsidP="00322D91">
      <w:pPr>
        <w:pStyle w:val="a3"/>
        <w:shd w:val="clear" w:color="auto" w:fill="FFFFFF"/>
        <w:spacing w:before="0" w:beforeAutospacing="0" w:after="0" w:afterAutospacing="0" w:line="360" w:lineRule="auto"/>
        <w:ind w:firstLineChars="200" w:firstLine="422"/>
        <w:rPr>
          <w:b/>
          <w:color w:val="333333"/>
          <w:sz w:val="21"/>
          <w:szCs w:val="21"/>
        </w:rPr>
      </w:pPr>
      <w:r w:rsidRPr="0032432F">
        <w:rPr>
          <w:rFonts w:hint="eastAsia"/>
          <w:b/>
          <w:color w:val="333333"/>
          <w:sz w:val="21"/>
          <w:szCs w:val="21"/>
        </w:rPr>
        <w:t>二、本次修订的主要内容</w:t>
      </w:r>
    </w:p>
    <w:p w:rsidR="0022298E"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sidRPr="00322D91">
        <w:rPr>
          <w:rFonts w:hint="eastAsia"/>
          <w:color w:val="333333"/>
          <w:sz w:val="21"/>
          <w:szCs w:val="21"/>
        </w:rPr>
        <w:t>（一）</w:t>
      </w:r>
      <w:r w:rsidR="0022298E">
        <w:rPr>
          <w:rFonts w:hint="eastAsia"/>
          <w:color w:val="333333"/>
          <w:sz w:val="21"/>
          <w:szCs w:val="21"/>
        </w:rPr>
        <w:t>基金</w:t>
      </w:r>
      <w:r w:rsidR="0022298E">
        <w:rPr>
          <w:color w:val="333333"/>
          <w:sz w:val="21"/>
          <w:szCs w:val="21"/>
        </w:rPr>
        <w:t>合同的主要修改内容</w:t>
      </w:r>
    </w:p>
    <w:p w:rsidR="00322D91" w:rsidRPr="00322D91" w:rsidRDefault="0022298E" w:rsidP="00322D91">
      <w:pPr>
        <w:pStyle w:val="a3"/>
        <w:shd w:val="clear" w:color="auto" w:fill="FFFFFF"/>
        <w:spacing w:before="0" w:beforeAutospacing="0" w:after="0" w:afterAutospacing="0" w:line="360" w:lineRule="auto"/>
        <w:ind w:firstLineChars="200" w:firstLine="420"/>
        <w:rPr>
          <w:color w:val="333333"/>
          <w:sz w:val="21"/>
          <w:szCs w:val="21"/>
        </w:rPr>
      </w:pPr>
      <w:r>
        <w:rPr>
          <w:color w:val="333333"/>
          <w:sz w:val="21"/>
          <w:szCs w:val="21"/>
        </w:rPr>
        <w:t>1</w:t>
      </w:r>
      <w:r>
        <w:rPr>
          <w:rFonts w:hint="eastAsia"/>
          <w:color w:val="333333"/>
          <w:sz w:val="21"/>
          <w:szCs w:val="21"/>
        </w:rPr>
        <w:t>、</w:t>
      </w:r>
      <w:r w:rsidR="00322D91" w:rsidRPr="00322D91">
        <w:rPr>
          <w:rFonts w:hint="eastAsia"/>
          <w:color w:val="333333"/>
          <w:sz w:val="21"/>
          <w:szCs w:val="21"/>
        </w:rPr>
        <w:t>在基金合同</w:t>
      </w:r>
      <w:r w:rsidR="00322D91" w:rsidRPr="00322D91">
        <w:rPr>
          <w:color w:val="333333"/>
          <w:sz w:val="21"/>
          <w:szCs w:val="21"/>
        </w:rPr>
        <w:t>“</w:t>
      </w:r>
      <w:r w:rsidR="00322D91" w:rsidRPr="00322D91">
        <w:rPr>
          <w:rFonts w:hint="eastAsia"/>
          <w:color w:val="333333"/>
          <w:sz w:val="21"/>
          <w:szCs w:val="21"/>
        </w:rPr>
        <w:t>前言</w:t>
      </w:r>
      <w:r w:rsidR="00322D91" w:rsidRPr="00322D91">
        <w:rPr>
          <w:color w:val="333333"/>
          <w:sz w:val="21"/>
          <w:szCs w:val="21"/>
        </w:rPr>
        <w:t>”</w:t>
      </w:r>
      <w:r w:rsidR="00322D91" w:rsidRPr="00322D91">
        <w:rPr>
          <w:rFonts w:hint="eastAsia"/>
          <w:color w:val="333333"/>
          <w:sz w:val="21"/>
          <w:szCs w:val="21"/>
        </w:rPr>
        <w:t>章节中增加有关风险提示内容如下：</w:t>
      </w:r>
    </w:p>
    <w:p w:rsidR="00322D91" w:rsidRPr="00322D91"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sidRPr="00322D91">
        <w:rPr>
          <w:color w:val="333333"/>
          <w:sz w:val="21"/>
          <w:szCs w:val="21"/>
        </w:rPr>
        <w:t>“</w:t>
      </w:r>
      <w:r w:rsidRPr="00322D91">
        <w:rPr>
          <w:rFonts w:hint="eastAsia"/>
          <w:color w:val="333333"/>
          <w:sz w:val="21"/>
          <w:szCs w:val="21"/>
        </w:rPr>
        <w:t>本基金为指数基金，投资者投资于本基金面临跟踪误差控制未达约定目标、指数编制机构停止服务、成份股停牌等潜在风险，详见本基金招募说明书。</w:t>
      </w:r>
      <w:r w:rsidRPr="00322D91">
        <w:rPr>
          <w:color w:val="333333"/>
          <w:sz w:val="21"/>
          <w:szCs w:val="21"/>
        </w:rPr>
        <w:t>”</w:t>
      </w:r>
    </w:p>
    <w:p w:rsidR="00322D91" w:rsidRDefault="0022298E" w:rsidP="00B02559">
      <w:pPr>
        <w:pStyle w:val="a3"/>
        <w:shd w:val="clear" w:color="auto" w:fill="FFFFFF"/>
        <w:spacing w:before="0" w:beforeAutospacing="0" w:after="0" w:afterAutospacing="0" w:line="360" w:lineRule="auto"/>
        <w:ind w:firstLineChars="200" w:firstLine="420"/>
        <w:rPr>
          <w:color w:val="333333"/>
          <w:sz w:val="21"/>
          <w:szCs w:val="21"/>
        </w:rPr>
      </w:pPr>
      <w:r>
        <w:rPr>
          <w:color w:val="333333"/>
          <w:sz w:val="21"/>
          <w:szCs w:val="21"/>
        </w:rPr>
        <w:t>2</w:t>
      </w:r>
      <w:r>
        <w:rPr>
          <w:rFonts w:hint="eastAsia"/>
          <w:color w:val="333333"/>
          <w:sz w:val="21"/>
          <w:szCs w:val="21"/>
        </w:rPr>
        <w:t>、</w:t>
      </w:r>
      <w:r w:rsidR="00322D91" w:rsidRPr="00322D91">
        <w:rPr>
          <w:rFonts w:hint="eastAsia"/>
          <w:color w:val="333333"/>
          <w:sz w:val="21"/>
          <w:szCs w:val="21"/>
        </w:rPr>
        <w:t>对基金合同</w:t>
      </w:r>
      <w:r w:rsidR="00322D91" w:rsidRPr="00322D91">
        <w:rPr>
          <w:color w:val="333333"/>
          <w:sz w:val="21"/>
          <w:szCs w:val="21"/>
        </w:rPr>
        <w:t>“</w:t>
      </w:r>
      <w:r w:rsidR="00322D91" w:rsidRPr="00322D91">
        <w:rPr>
          <w:rFonts w:hint="eastAsia"/>
          <w:color w:val="333333"/>
          <w:sz w:val="21"/>
          <w:szCs w:val="21"/>
        </w:rPr>
        <w:t>基金的基本情况</w:t>
      </w:r>
      <w:r w:rsidR="00322D91" w:rsidRPr="00322D91">
        <w:rPr>
          <w:color w:val="333333"/>
          <w:sz w:val="21"/>
          <w:szCs w:val="21"/>
        </w:rPr>
        <w:t>”</w:t>
      </w:r>
      <w:r w:rsidR="00322D91" w:rsidRPr="00322D91">
        <w:rPr>
          <w:rFonts w:hint="eastAsia"/>
          <w:color w:val="333333"/>
          <w:sz w:val="21"/>
          <w:szCs w:val="21"/>
        </w:rPr>
        <w:t>和</w:t>
      </w:r>
      <w:r w:rsidR="00322D91" w:rsidRPr="00322D91">
        <w:rPr>
          <w:color w:val="333333"/>
          <w:sz w:val="21"/>
          <w:szCs w:val="21"/>
        </w:rPr>
        <w:t>/</w:t>
      </w:r>
      <w:r w:rsidR="00322D91" w:rsidRPr="00322D91">
        <w:rPr>
          <w:rFonts w:hint="eastAsia"/>
          <w:color w:val="333333"/>
          <w:sz w:val="21"/>
          <w:szCs w:val="21"/>
        </w:rPr>
        <w:t>或</w:t>
      </w:r>
      <w:r w:rsidR="00322D91" w:rsidRPr="00322D91">
        <w:rPr>
          <w:color w:val="333333"/>
          <w:sz w:val="21"/>
          <w:szCs w:val="21"/>
        </w:rPr>
        <w:t>“</w:t>
      </w:r>
      <w:r w:rsidR="00322D91" w:rsidRPr="00322D91">
        <w:rPr>
          <w:rFonts w:hint="eastAsia"/>
          <w:color w:val="333333"/>
          <w:sz w:val="21"/>
          <w:szCs w:val="21"/>
        </w:rPr>
        <w:t>基金的投资</w:t>
      </w:r>
      <w:r w:rsidR="00322D91" w:rsidRPr="00322D91">
        <w:rPr>
          <w:color w:val="333333"/>
          <w:sz w:val="21"/>
          <w:szCs w:val="21"/>
        </w:rPr>
        <w:t>”</w:t>
      </w:r>
      <w:r w:rsidR="00322D91" w:rsidRPr="00322D91">
        <w:rPr>
          <w:rFonts w:hint="eastAsia"/>
          <w:color w:val="333333"/>
          <w:sz w:val="21"/>
          <w:szCs w:val="21"/>
        </w:rPr>
        <w:t>章节中有关标的指数发生特定情形时的处置安排进行修订，有关标的指数发生特定情形时的处置安排修订</w:t>
      </w:r>
      <w:r w:rsidR="00235568">
        <w:rPr>
          <w:rFonts w:hint="eastAsia"/>
          <w:color w:val="333333"/>
          <w:sz w:val="21"/>
          <w:szCs w:val="21"/>
        </w:rPr>
        <w:t>为</w:t>
      </w:r>
      <w:r w:rsidR="00322D91" w:rsidRPr="00322D91">
        <w:rPr>
          <w:rFonts w:hint="eastAsia"/>
          <w:color w:val="333333"/>
          <w:sz w:val="21"/>
          <w:szCs w:val="21"/>
        </w:rPr>
        <w:t>如下</w:t>
      </w:r>
      <w:r w:rsidR="00235568">
        <w:rPr>
          <w:rFonts w:hint="eastAsia"/>
          <w:color w:val="333333"/>
          <w:sz w:val="21"/>
          <w:szCs w:val="21"/>
        </w:rPr>
        <w:t>表述</w:t>
      </w:r>
      <w:r w:rsidR="00322D91" w:rsidRPr="00322D91">
        <w:rPr>
          <w:rFonts w:hint="eastAsia"/>
          <w:color w:val="333333"/>
          <w:sz w:val="21"/>
          <w:szCs w:val="21"/>
        </w:rPr>
        <w:t>：</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若未来出现标的指数不符合要求（因成份股价格波动等指数编制方法变动之外的因素致使标的指数不符合要求及法律法规、监管机构另有规定的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lastRenderedPageBreak/>
        <w:t>自指数编制机构停止标的指数的编制及发布至解决方案确定期间，基金管理人应按照指数编制机构提供的最近一个交易日的指数信息遵循基金份额持有人利益优先原则维持基金投资运作。”</w:t>
      </w:r>
    </w:p>
    <w:p w:rsidR="00C43CFC" w:rsidRDefault="0022298E" w:rsidP="00B02559">
      <w:pPr>
        <w:pStyle w:val="a3"/>
        <w:shd w:val="clear" w:color="auto" w:fill="FFFFFF"/>
        <w:spacing w:before="0" w:beforeAutospacing="0" w:after="0" w:afterAutospacing="0" w:line="360" w:lineRule="auto"/>
        <w:ind w:firstLineChars="200" w:firstLine="420"/>
        <w:rPr>
          <w:color w:val="333333"/>
          <w:sz w:val="21"/>
          <w:szCs w:val="21"/>
        </w:rPr>
      </w:pPr>
      <w:r>
        <w:rPr>
          <w:rFonts w:hint="eastAsia"/>
          <w:color w:val="333333"/>
          <w:sz w:val="21"/>
          <w:szCs w:val="21"/>
        </w:rPr>
        <w:t>3、</w:t>
      </w:r>
      <w:r w:rsidR="00F91F53" w:rsidRPr="00322D91">
        <w:rPr>
          <w:rFonts w:hint="eastAsia"/>
          <w:color w:val="333333"/>
          <w:sz w:val="21"/>
          <w:szCs w:val="21"/>
        </w:rPr>
        <w:t>对基金合同</w:t>
      </w:r>
      <w:r w:rsidR="00F91F53" w:rsidRPr="00322D91">
        <w:rPr>
          <w:color w:val="333333"/>
          <w:sz w:val="21"/>
          <w:szCs w:val="21"/>
        </w:rPr>
        <w:t>“</w:t>
      </w:r>
      <w:r w:rsidR="002E5D11" w:rsidRPr="002E5D11">
        <w:rPr>
          <w:rFonts w:hint="eastAsia"/>
          <w:color w:val="333333"/>
          <w:sz w:val="21"/>
          <w:szCs w:val="21"/>
        </w:rPr>
        <w:t>基金合同的变更、终止与基金财产的清算</w:t>
      </w:r>
      <w:r w:rsidR="00F91F53" w:rsidRPr="00322D91">
        <w:rPr>
          <w:color w:val="333333"/>
          <w:sz w:val="21"/>
          <w:szCs w:val="21"/>
        </w:rPr>
        <w:t>”</w:t>
      </w:r>
      <w:r w:rsidR="00F91F53" w:rsidRPr="00322D91">
        <w:rPr>
          <w:rFonts w:hint="eastAsia"/>
          <w:color w:val="333333"/>
          <w:sz w:val="21"/>
          <w:szCs w:val="21"/>
        </w:rPr>
        <w:t>章节中</w:t>
      </w:r>
      <w:r w:rsidR="000D1BDA">
        <w:rPr>
          <w:rFonts w:hint="eastAsia"/>
          <w:color w:val="333333"/>
          <w:sz w:val="21"/>
          <w:szCs w:val="21"/>
        </w:rPr>
        <w:t>增加</w:t>
      </w:r>
      <w:r w:rsidR="0095582E">
        <w:rPr>
          <w:rFonts w:hint="eastAsia"/>
          <w:color w:val="333333"/>
          <w:sz w:val="21"/>
          <w:szCs w:val="21"/>
        </w:rPr>
        <w:t>基金合同的终止事由</w:t>
      </w:r>
      <w:r w:rsidR="00D36274" w:rsidRPr="00322D91">
        <w:rPr>
          <w:rFonts w:hint="eastAsia"/>
          <w:color w:val="333333"/>
          <w:sz w:val="21"/>
          <w:szCs w:val="21"/>
        </w:rPr>
        <w:t>如下</w:t>
      </w:r>
      <w:r w:rsidR="00982315">
        <w:rPr>
          <w:rFonts w:hint="eastAsia"/>
          <w:color w:val="333333"/>
          <w:sz w:val="21"/>
          <w:szCs w:val="21"/>
        </w:rPr>
        <w:t>：</w:t>
      </w:r>
    </w:p>
    <w:p w:rsidR="00094105" w:rsidRPr="00B02559" w:rsidRDefault="00982315" w:rsidP="006B1632">
      <w:pPr>
        <w:pStyle w:val="a3"/>
        <w:shd w:val="clear" w:color="auto" w:fill="FFFFFF"/>
        <w:spacing w:before="0" w:beforeAutospacing="0" w:after="0" w:afterAutospacing="0" w:line="360" w:lineRule="auto"/>
        <w:ind w:firstLineChars="200" w:firstLine="420"/>
        <w:rPr>
          <w:color w:val="333333"/>
          <w:sz w:val="21"/>
          <w:szCs w:val="21"/>
        </w:rPr>
      </w:pPr>
      <w:r>
        <w:rPr>
          <w:rFonts w:hint="eastAsia"/>
          <w:color w:val="333333"/>
          <w:sz w:val="21"/>
          <w:szCs w:val="21"/>
        </w:rPr>
        <w:t>“</w:t>
      </w:r>
      <w:r w:rsidR="00435E0A" w:rsidRPr="00435E0A">
        <w:rPr>
          <w:rFonts w:hint="eastAsia"/>
          <w:color w:val="333333"/>
          <w:sz w:val="21"/>
          <w:szCs w:val="21"/>
        </w:rPr>
        <w:t>出现标的指数不符合要求（因成份股价格波动等指数编制方法变动之外的因素致使标的指数不符合要求及法律法规、监管机构另有规定的除外）、指数编制机构退出等情形，基金管理人召集基金份额持有人大会对解决方案进行表决，基金份额持有人大会未成功召开或就上述事项表决未通过的；</w:t>
      </w:r>
      <w:r>
        <w:rPr>
          <w:rFonts w:hint="eastAsia"/>
          <w:color w:val="333333"/>
          <w:sz w:val="21"/>
          <w:szCs w:val="21"/>
        </w:rPr>
        <w:t>”</w:t>
      </w:r>
    </w:p>
    <w:p w:rsidR="0022298E"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sidRPr="00322D91">
        <w:rPr>
          <w:rFonts w:hint="eastAsia"/>
          <w:color w:val="333333"/>
          <w:sz w:val="21"/>
          <w:szCs w:val="21"/>
        </w:rPr>
        <w:t>（</w:t>
      </w:r>
      <w:r w:rsidR="0022298E">
        <w:rPr>
          <w:rFonts w:hint="eastAsia"/>
          <w:color w:val="333333"/>
          <w:sz w:val="21"/>
          <w:szCs w:val="21"/>
        </w:rPr>
        <w:t>二</w:t>
      </w:r>
      <w:r w:rsidRPr="00322D91">
        <w:rPr>
          <w:rFonts w:hint="eastAsia"/>
          <w:color w:val="333333"/>
          <w:sz w:val="21"/>
          <w:szCs w:val="21"/>
        </w:rPr>
        <w:t>）</w:t>
      </w:r>
      <w:r w:rsidR="0022298E">
        <w:rPr>
          <w:rFonts w:hint="eastAsia"/>
          <w:color w:val="333333"/>
          <w:sz w:val="21"/>
          <w:szCs w:val="21"/>
        </w:rPr>
        <w:t>招募</w:t>
      </w:r>
      <w:r w:rsidR="0022298E">
        <w:rPr>
          <w:color w:val="333333"/>
          <w:sz w:val="21"/>
          <w:szCs w:val="21"/>
        </w:rPr>
        <w:t>说明书的主要修改</w:t>
      </w:r>
      <w:r w:rsidR="0022298E">
        <w:rPr>
          <w:rFonts w:hint="eastAsia"/>
          <w:color w:val="333333"/>
          <w:sz w:val="21"/>
          <w:szCs w:val="21"/>
        </w:rPr>
        <w:t>内容</w:t>
      </w:r>
    </w:p>
    <w:p w:rsidR="00322D91" w:rsidRPr="00322D91"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sidRPr="00322D91">
        <w:rPr>
          <w:rFonts w:hint="eastAsia"/>
          <w:color w:val="333333"/>
          <w:sz w:val="21"/>
          <w:szCs w:val="21"/>
        </w:rPr>
        <w:t>基金管理人已根据基金合同修订内容相应修改了各基金招募说明书，</w:t>
      </w:r>
      <w:r w:rsidR="005C6BEB">
        <w:rPr>
          <w:rFonts w:hint="eastAsia"/>
          <w:color w:val="333333"/>
          <w:sz w:val="21"/>
          <w:szCs w:val="21"/>
        </w:rPr>
        <w:t>除基金管理人基本信息更新以外，</w:t>
      </w:r>
      <w:r w:rsidRPr="00322D91">
        <w:rPr>
          <w:rFonts w:hint="eastAsia"/>
          <w:color w:val="333333"/>
          <w:sz w:val="21"/>
          <w:szCs w:val="21"/>
        </w:rPr>
        <w:t>在招募说明书中新增了如下内容：</w:t>
      </w:r>
    </w:p>
    <w:p w:rsidR="00322D91" w:rsidRPr="00322D91"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sidRPr="00322D91">
        <w:rPr>
          <w:color w:val="333333"/>
          <w:sz w:val="21"/>
          <w:szCs w:val="21"/>
        </w:rPr>
        <w:t>1</w:t>
      </w:r>
      <w:r w:rsidRPr="00322D91">
        <w:rPr>
          <w:rFonts w:hint="eastAsia"/>
          <w:color w:val="333333"/>
          <w:sz w:val="21"/>
          <w:szCs w:val="21"/>
        </w:rPr>
        <w:t>、在</w:t>
      </w:r>
      <w:r w:rsidR="00B02559" w:rsidRPr="00B02559">
        <w:rPr>
          <w:rFonts w:hint="eastAsia"/>
          <w:color w:val="333333"/>
          <w:sz w:val="21"/>
          <w:szCs w:val="21"/>
        </w:rPr>
        <w:t>“重要提示”部分增加对应标的指数的编制方法及可供投资者免费查询指数信息的途径。</w:t>
      </w:r>
    </w:p>
    <w:p w:rsidR="00322D91" w:rsidRPr="00322D91"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sidRPr="00322D91">
        <w:rPr>
          <w:color w:val="333333"/>
          <w:sz w:val="21"/>
          <w:szCs w:val="21"/>
        </w:rPr>
        <w:t>2</w:t>
      </w:r>
      <w:r w:rsidRPr="00322D91">
        <w:rPr>
          <w:rFonts w:hint="eastAsia"/>
          <w:color w:val="333333"/>
          <w:sz w:val="21"/>
          <w:szCs w:val="21"/>
        </w:rPr>
        <w:t>、在</w:t>
      </w:r>
      <w:r w:rsidRPr="00322D91">
        <w:rPr>
          <w:color w:val="333333"/>
          <w:sz w:val="21"/>
          <w:szCs w:val="21"/>
        </w:rPr>
        <w:t>“</w:t>
      </w:r>
      <w:r w:rsidRPr="00322D91">
        <w:rPr>
          <w:rFonts w:hint="eastAsia"/>
          <w:color w:val="333333"/>
          <w:sz w:val="21"/>
          <w:szCs w:val="21"/>
        </w:rPr>
        <w:t>风险揭示</w:t>
      </w:r>
      <w:r w:rsidRPr="00322D91">
        <w:rPr>
          <w:color w:val="333333"/>
          <w:sz w:val="21"/>
          <w:szCs w:val="21"/>
        </w:rPr>
        <w:t>”</w:t>
      </w:r>
      <w:r w:rsidRPr="00322D91">
        <w:rPr>
          <w:rFonts w:hint="eastAsia"/>
          <w:color w:val="333333"/>
          <w:sz w:val="21"/>
          <w:szCs w:val="21"/>
        </w:rPr>
        <w:t>中新增</w:t>
      </w:r>
      <w:r w:rsidR="00F549BF">
        <w:rPr>
          <w:rFonts w:hint="eastAsia"/>
          <w:color w:val="333333"/>
          <w:sz w:val="21"/>
          <w:szCs w:val="21"/>
        </w:rPr>
        <w:t>“</w:t>
      </w:r>
      <w:r w:rsidR="003E1FC7" w:rsidRPr="00F549BF">
        <w:rPr>
          <w:rFonts w:hint="eastAsia"/>
          <w:color w:val="333333"/>
          <w:sz w:val="21"/>
          <w:szCs w:val="21"/>
        </w:rPr>
        <w:t>跟</w:t>
      </w:r>
      <w:r w:rsidR="00F549BF" w:rsidRPr="00F549BF">
        <w:rPr>
          <w:rFonts w:hint="eastAsia"/>
          <w:color w:val="333333"/>
          <w:sz w:val="21"/>
          <w:szCs w:val="21"/>
        </w:rPr>
        <w:t>踪误差控制未达约定目标的风险、成份股停牌的风险、成份股退市的风险及指数编制机构停止服务的风险</w:t>
      </w:r>
      <w:r w:rsidR="00F549BF">
        <w:rPr>
          <w:rFonts w:hint="eastAsia"/>
          <w:color w:val="333333"/>
          <w:sz w:val="21"/>
          <w:szCs w:val="21"/>
        </w:rPr>
        <w:t>”等相关</w:t>
      </w:r>
      <w:r w:rsidRPr="00322D91">
        <w:rPr>
          <w:rFonts w:hint="eastAsia"/>
          <w:color w:val="333333"/>
          <w:sz w:val="21"/>
          <w:szCs w:val="21"/>
        </w:rPr>
        <w:t>风险揭示内容，各基金具体修订详见其招募说明书（更新）。此处以</w:t>
      </w:r>
      <w:r w:rsidR="00F549BF" w:rsidRPr="00F549BF">
        <w:rPr>
          <w:rFonts w:hint="eastAsia"/>
          <w:color w:val="333333"/>
          <w:sz w:val="21"/>
          <w:szCs w:val="21"/>
        </w:rPr>
        <w:t>华安创业板</w:t>
      </w:r>
      <w:r w:rsidR="00F549BF" w:rsidRPr="00F549BF">
        <w:rPr>
          <w:color w:val="333333"/>
          <w:sz w:val="21"/>
          <w:szCs w:val="21"/>
        </w:rPr>
        <w:t>50交易型开放式指数证券投资基金</w:t>
      </w:r>
      <w:r w:rsidRPr="00322D91">
        <w:rPr>
          <w:rFonts w:hint="eastAsia"/>
          <w:color w:val="333333"/>
          <w:sz w:val="21"/>
          <w:szCs w:val="21"/>
        </w:rPr>
        <w:t>修订为例：</w:t>
      </w:r>
    </w:p>
    <w:p w:rsidR="00B02559" w:rsidRPr="00B02559" w:rsidRDefault="00322D91" w:rsidP="00B02559">
      <w:pPr>
        <w:pStyle w:val="a3"/>
        <w:shd w:val="clear" w:color="auto" w:fill="FFFFFF"/>
        <w:spacing w:before="0" w:beforeAutospacing="0" w:after="0" w:afterAutospacing="0" w:line="360" w:lineRule="auto"/>
        <w:ind w:firstLineChars="200" w:firstLine="420"/>
        <w:rPr>
          <w:color w:val="333333"/>
          <w:sz w:val="21"/>
          <w:szCs w:val="21"/>
        </w:rPr>
      </w:pPr>
      <w:r w:rsidRPr="00322D91">
        <w:rPr>
          <w:color w:val="333333"/>
          <w:sz w:val="21"/>
          <w:szCs w:val="21"/>
        </w:rPr>
        <w:t>“</w:t>
      </w:r>
      <w:r w:rsidR="00B02559" w:rsidRPr="00B02559">
        <w:rPr>
          <w:rFonts w:hint="eastAsia"/>
          <w:color w:val="333333"/>
          <w:sz w:val="21"/>
          <w:szCs w:val="21"/>
        </w:rPr>
        <w:t>4、跟踪误差控制未达约定目标的风险</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本基金力争将日均跟踪偏离度的绝对值控制在0.2%以内，年跟踪误差控制在2%以内，但因标的指数编制规则调整或其他因素可能导致跟踪误差超过上述范围，本基金净值表现与指数价格走势可能发生较大偏离。</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5、成份股停牌的风险</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标的指数成份股可能因各种原因临时或长期停牌，发生成份股停牌时可能面临如下风险：</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（1）基金可能因无法及时调整投资组合而导致跟踪偏离度和跟踪误差扩大。</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（2）停牌成份股可能因其权重占比、市场复牌预期、现金替代标识等因素影响本基金二级市场价格的折溢价水平。</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lastRenderedPageBreak/>
        <w:t>（3）若成份股停牌时间较长，在约定时间内仍未能及时买入或卖出的，则该部分款项将按照约定方式进行结算，由此可能影响投资者的投资损益并使基金产生跟踪偏离度和跟踪误差。</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4）在极端情况下，标的指数成份股可能大面积停牌，基金可能无法及时卖出成份股以获取足额的符合要求的赎回对价，由此基金管理人可能设置较低的赎回份额上限或者采取暂停赎回的措施，投资者将面临无法赎回全部或部分基金份额的风险。</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6、成份股退市的风险</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7、指数编制机构停止服务的风险</w:t>
      </w:r>
    </w:p>
    <w:p w:rsidR="00B02559" w:rsidRPr="00B02559"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投资人将面临更换基金标的指数、转换运作方式，与其他基金合并、或者终止基金合同等风险。</w:t>
      </w:r>
    </w:p>
    <w:p w:rsidR="00322D91" w:rsidRDefault="00B02559" w:rsidP="00B02559">
      <w:pPr>
        <w:pStyle w:val="a3"/>
        <w:shd w:val="clear" w:color="auto" w:fill="FFFFFF"/>
        <w:spacing w:before="0" w:beforeAutospacing="0" w:after="0" w:afterAutospacing="0" w:line="360" w:lineRule="auto"/>
        <w:ind w:firstLineChars="200" w:firstLine="420"/>
        <w:rPr>
          <w:color w:val="333333"/>
          <w:sz w:val="21"/>
          <w:szCs w:val="21"/>
        </w:rPr>
      </w:pPr>
      <w:r w:rsidRPr="00B02559">
        <w:rPr>
          <w:rFonts w:hint="eastAsia"/>
          <w:color w:val="333333"/>
          <w:sz w:val="21"/>
          <w:szCs w:val="21"/>
        </w:rPr>
        <w:t>自指数编制机构停止标的指数的编制及发布至解决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r w:rsidR="00322D91" w:rsidRPr="00322D91">
        <w:rPr>
          <w:color w:val="333333"/>
          <w:sz w:val="21"/>
          <w:szCs w:val="21"/>
        </w:rPr>
        <w:t>”</w:t>
      </w:r>
    </w:p>
    <w:p w:rsidR="00B00358" w:rsidRDefault="0022298E" w:rsidP="00B02559">
      <w:pPr>
        <w:pStyle w:val="a3"/>
        <w:shd w:val="clear" w:color="auto" w:fill="FFFFFF"/>
        <w:spacing w:before="0" w:beforeAutospacing="0" w:after="0" w:afterAutospacing="0" w:line="360" w:lineRule="auto"/>
        <w:ind w:firstLineChars="200" w:firstLine="420"/>
        <w:rPr>
          <w:color w:val="333333"/>
          <w:sz w:val="21"/>
          <w:szCs w:val="21"/>
        </w:rPr>
      </w:pPr>
      <w:r>
        <w:rPr>
          <w:rFonts w:hint="eastAsia"/>
          <w:color w:val="333333"/>
          <w:sz w:val="21"/>
          <w:szCs w:val="21"/>
        </w:rPr>
        <w:t>（三）</w:t>
      </w:r>
      <w:r w:rsidR="00AC5092" w:rsidRPr="00AC5092">
        <w:rPr>
          <w:color w:val="333333"/>
          <w:sz w:val="21"/>
          <w:szCs w:val="21"/>
        </w:rPr>
        <w:t>因各基金的类型及表述等不同，有关基金合同</w:t>
      </w:r>
      <w:r>
        <w:rPr>
          <w:rFonts w:hint="eastAsia"/>
          <w:color w:val="333333"/>
          <w:sz w:val="21"/>
          <w:szCs w:val="21"/>
        </w:rPr>
        <w:t>、</w:t>
      </w:r>
      <w:r>
        <w:rPr>
          <w:color w:val="333333"/>
          <w:sz w:val="21"/>
          <w:szCs w:val="21"/>
        </w:rPr>
        <w:t>招募说明书</w:t>
      </w:r>
      <w:r>
        <w:rPr>
          <w:rFonts w:hint="eastAsia"/>
          <w:color w:val="333333"/>
          <w:sz w:val="21"/>
          <w:szCs w:val="21"/>
        </w:rPr>
        <w:t>等</w:t>
      </w:r>
      <w:r w:rsidR="00AC5092" w:rsidRPr="00AC5092">
        <w:rPr>
          <w:color w:val="333333"/>
          <w:sz w:val="21"/>
          <w:szCs w:val="21"/>
        </w:rPr>
        <w:t>相应条款表述及修订位置可能存在差异，具体请以相关基金披露的修订后的法律文件内容为准。</w:t>
      </w:r>
    </w:p>
    <w:p w:rsidR="00322D91" w:rsidRPr="00322D91"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p>
    <w:p w:rsidR="00322D91" w:rsidRDefault="00322D91" w:rsidP="00322D91">
      <w:pPr>
        <w:pStyle w:val="a3"/>
        <w:shd w:val="clear" w:color="auto" w:fill="FFFFFF"/>
        <w:spacing w:before="0" w:beforeAutospacing="0" w:after="0" w:afterAutospacing="0" w:line="360" w:lineRule="auto"/>
        <w:ind w:firstLineChars="200" w:firstLine="422"/>
        <w:rPr>
          <w:b/>
          <w:color w:val="333333"/>
          <w:sz w:val="21"/>
          <w:szCs w:val="21"/>
        </w:rPr>
      </w:pPr>
      <w:r w:rsidRPr="00524502">
        <w:rPr>
          <w:rFonts w:hint="eastAsia"/>
          <w:b/>
          <w:color w:val="333333"/>
          <w:sz w:val="21"/>
          <w:szCs w:val="21"/>
        </w:rPr>
        <w:t>三、修订后的基金合同自本公告发布之日起生效。本次修订后的基金合同将于本公告发布之日登载于本基金管理人网站（www.huaan.com.cn） 和 中 国 证 监 会 基 金 电 子 披 露 网 站（http://eid.csrc.gov.cn/fund）。基金管理人将</w:t>
      </w:r>
      <w:r w:rsidR="005C6BEB">
        <w:rPr>
          <w:rFonts w:hint="eastAsia"/>
          <w:b/>
          <w:color w:val="333333"/>
          <w:sz w:val="21"/>
          <w:szCs w:val="21"/>
        </w:rPr>
        <w:t>一并</w:t>
      </w:r>
      <w:r w:rsidRPr="00524502">
        <w:rPr>
          <w:rFonts w:hint="eastAsia"/>
          <w:b/>
          <w:color w:val="333333"/>
          <w:sz w:val="21"/>
          <w:szCs w:val="21"/>
        </w:rPr>
        <w:t>更新各基金的招募说明书和基金产品资料概要相关内容，并揭示风险。</w:t>
      </w:r>
    </w:p>
    <w:p w:rsidR="00322D91" w:rsidRPr="00322D91"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p>
    <w:p w:rsidR="00322D91" w:rsidRPr="00524502" w:rsidRDefault="00322D91" w:rsidP="00322D91">
      <w:pPr>
        <w:pStyle w:val="a3"/>
        <w:shd w:val="clear" w:color="auto" w:fill="FFFFFF"/>
        <w:spacing w:before="0" w:beforeAutospacing="0" w:after="0" w:afterAutospacing="0" w:line="360" w:lineRule="auto"/>
        <w:ind w:firstLineChars="200" w:firstLine="422"/>
        <w:rPr>
          <w:b/>
          <w:color w:val="333333"/>
          <w:sz w:val="21"/>
          <w:szCs w:val="21"/>
        </w:rPr>
      </w:pPr>
      <w:r w:rsidRPr="00524502">
        <w:rPr>
          <w:rFonts w:hint="eastAsia"/>
          <w:b/>
          <w:color w:val="333333"/>
          <w:sz w:val="21"/>
          <w:szCs w:val="21"/>
        </w:rPr>
        <w:t>四、其他事项</w:t>
      </w:r>
    </w:p>
    <w:p w:rsidR="00322D91" w:rsidRPr="0032432F"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Pr>
          <w:color w:val="333333"/>
          <w:sz w:val="21"/>
          <w:szCs w:val="21"/>
        </w:rPr>
        <w:t>1.</w:t>
      </w:r>
      <w:r w:rsidRPr="0032432F">
        <w:rPr>
          <w:rFonts w:hint="eastAsia"/>
          <w:color w:val="333333"/>
          <w:sz w:val="21"/>
          <w:szCs w:val="21"/>
        </w:rPr>
        <w:t>投资人可以通过本基金管理人的网站（www.huaan.com.cn）或客户服务电话（40088-50099）咨询相关情况。</w:t>
      </w:r>
    </w:p>
    <w:p w:rsidR="00322D91" w:rsidRPr="0032432F"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Pr>
          <w:rFonts w:hint="eastAsia"/>
          <w:color w:val="333333"/>
          <w:sz w:val="21"/>
          <w:szCs w:val="21"/>
        </w:rPr>
        <w:t>2.</w:t>
      </w:r>
      <w:r w:rsidRPr="0032432F">
        <w:rPr>
          <w:rFonts w:hint="eastAsia"/>
          <w:color w:val="333333"/>
          <w:sz w:val="21"/>
          <w:szCs w:val="21"/>
        </w:rPr>
        <w:t>风险提示：</w:t>
      </w:r>
    </w:p>
    <w:p w:rsidR="00322D91" w:rsidRPr="0032432F"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本基金管理人承诺以诚实信用、勤勉尽责的原则管理和运用基金资产，但不保证基金一定盈利，也不保证最低收益。投资者投资于本基金管理人管理的基金时应认真阅读基金相关法律文件，了解基金产品的详细情况，选择与自己风险识别能力和风险承受能力相匹配的基金，并注意投资风险。</w:t>
      </w:r>
    </w:p>
    <w:p w:rsidR="00322D91" w:rsidRPr="0032432F" w:rsidRDefault="00322D91" w:rsidP="00322D91">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特此公告。</w:t>
      </w:r>
    </w:p>
    <w:p w:rsidR="00322D91" w:rsidRPr="0032432F" w:rsidRDefault="00322D91" w:rsidP="00322D91">
      <w:pPr>
        <w:pStyle w:val="a3"/>
        <w:shd w:val="clear" w:color="auto" w:fill="FFFFFF"/>
        <w:spacing w:before="0" w:beforeAutospacing="0" w:after="0" w:afterAutospacing="0" w:line="360" w:lineRule="auto"/>
        <w:ind w:firstLineChars="200" w:firstLine="420"/>
        <w:jc w:val="right"/>
        <w:rPr>
          <w:color w:val="333333"/>
          <w:sz w:val="21"/>
          <w:szCs w:val="21"/>
        </w:rPr>
      </w:pPr>
      <w:r w:rsidRPr="0032432F">
        <w:rPr>
          <w:rFonts w:hint="eastAsia"/>
          <w:color w:val="333333"/>
          <w:sz w:val="21"/>
          <w:szCs w:val="21"/>
        </w:rPr>
        <w:t>华安基金管理有限公司</w:t>
      </w:r>
    </w:p>
    <w:p w:rsidR="00322D91" w:rsidRDefault="00322D91" w:rsidP="00322D91">
      <w:pPr>
        <w:pStyle w:val="a3"/>
        <w:shd w:val="clear" w:color="auto" w:fill="FFFFFF"/>
        <w:spacing w:before="0" w:beforeAutospacing="0" w:after="0" w:afterAutospacing="0" w:line="360" w:lineRule="auto"/>
        <w:ind w:firstLineChars="200" w:firstLine="420"/>
        <w:jc w:val="right"/>
        <w:rPr>
          <w:color w:val="333333"/>
          <w:sz w:val="21"/>
          <w:szCs w:val="21"/>
        </w:rPr>
      </w:pPr>
      <w:r w:rsidRPr="0032432F">
        <w:rPr>
          <w:rFonts w:hint="eastAsia"/>
          <w:color w:val="333333"/>
          <w:sz w:val="21"/>
          <w:szCs w:val="21"/>
        </w:rPr>
        <w:t>202</w:t>
      </w:r>
      <w:r>
        <w:rPr>
          <w:rFonts w:hint="eastAsia"/>
          <w:color w:val="333333"/>
          <w:sz w:val="21"/>
          <w:szCs w:val="21"/>
        </w:rPr>
        <w:t>1</w:t>
      </w:r>
      <w:r w:rsidRPr="0032432F">
        <w:rPr>
          <w:rFonts w:hint="eastAsia"/>
          <w:color w:val="333333"/>
          <w:sz w:val="21"/>
          <w:szCs w:val="21"/>
        </w:rPr>
        <w:t>年</w:t>
      </w:r>
      <w:r>
        <w:rPr>
          <w:rFonts w:hint="eastAsia"/>
          <w:color w:val="333333"/>
          <w:sz w:val="21"/>
          <w:szCs w:val="21"/>
        </w:rPr>
        <w:t>3</w:t>
      </w:r>
      <w:r w:rsidRPr="0032432F">
        <w:rPr>
          <w:rFonts w:hint="eastAsia"/>
          <w:color w:val="333333"/>
          <w:sz w:val="21"/>
          <w:szCs w:val="21"/>
        </w:rPr>
        <w:t>月</w:t>
      </w:r>
      <w:r w:rsidR="005C6BEB">
        <w:rPr>
          <w:rFonts w:hint="eastAsia"/>
          <w:color w:val="333333"/>
          <w:sz w:val="21"/>
          <w:szCs w:val="21"/>
        </w:rPr>
        <w:t>31</w:t>
      </w:r>
      <w:r w:rsidRPr="0032432F">
        <w:rPr>
          <w:rFonts w:hint="eastAsia"/>
          <w:color w:val="333333"/>
          <w:sz w:val="21"/>
          <w:szCs w:val="21"/>
        </w:rPr>
        <w:t>日</w:t>
      </w:r>
    </w:p>
    <w:p w:rsidR="00961AD4" w:rsidRDefault="00961AD4" w:rsidP="00961AD4">
      <w:pPr>
        <w:pStyle w:val="a3"/>
        <w:shd w:val="clear" w:color="auto" w:fill="FFFFFF"/>
        <w:spacing w:before="0" w:beforeAutospacing="0" w:after="0" w:afterAutospacing="0" w:line="360" w:lineRule="auto"/>
        <w:ind w:firstLineChars="200" w:firstLine="420"/>
        <w:rPr>
          <w:color w:val="333333"/>
          <w:sz w:val="21"/>
          <w:szCs w:val="21"/>
        </w:rPr>
      </w:pPr>
    </w:p>
    <w:tbl>
      <w:tblPr>
        <w:tblW w:w="5000" w:type="pct"/>
        <w:tblLook w:val="04A0"/>
      </w:tblPr>
      <w:tblGrid>
        <w:gridCol w:w="1306"/>
        <w:gridCol w:w="7216"/>
      </w:tblGrid>
      <w:tr w:rsidR="00961AD4" w:rsidRPr="00961AD4" w:rsidTr="006E1B36">
        <w:trPr>
          <w:trHeight w:val="420"/>
        </w:trPr>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b/>
                <w:bCs/>
                <w:kern w:val="0"/>
                <w:szCs w:val="21"/>
              </w:rPr>
            </w:pPr>
            <w:r w:rsidRPr="00961AD4">
              <w:rPr>
                <w:rFonts w:ascii="宋体" w:eastAsia="宋体" w:hAnsi="宋体" w:cs="Calibri" w:hint="eastAsia"/>
                <w:b/>
                <w:kern w:val="0"/>
                <w:szCs w:val="21"/>
              </w:rPr>
              <w:t>基金代码</w:t>
            </w:r>
          </w:p>
        </w:tc>
        <w:tc>
          <w:tcPr>
            <w:tcW w:w="4234" w:type="pct"/>
            <w:tcBorders>
              <w:top w:val="single" w:sz="8" w:space="0" w:color="auto"/>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b/>
                <w:bCs/>
                <w:kern w:val="0"/>
                <w:szCs w:val="21"/>
              </w:rPr>
            </w:pPr>
            <w:r w:rsidRPr="00961AD4">
              <w:rPr>
                <w:rFonts w:ascii="宋体" w:eastAsia="宋体" w:hAnsi="宋体" w:cs="Calibri" w:hint="eastAsia"/>
                <w:b/>
                <w:kern w:val="0"/>
                <w:szCs w:val="21"/>
              </w:rPr>
              <w:t>基金名称</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160416</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华安标普全球石油指数证券投资基金(LOF)</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040046</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华安纳斯达克100指数证券投资基金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510180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上证180交易型开放式指数证券投资基金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040180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华安上证180交易型开放式指数证券投资基金联接基金</w:t>
            </w:r>
          </w:p>
        </w:tc>
      </w:tr>
      <w:tr w:rsidR="00961AD4" w:rsidRPr="005C6BEB"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512120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华安中证细分医药交易型开放式指数证券投资基金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000373</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华安中证细分医药交易型开放式指数证券投资基金联接基金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160419</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华安中证全指证券公司指数型证券投资基金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159949</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华安创业板50交易型开放式指数证券投资基金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160422</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华安创业板50交易型开放式指数证券投资基金联接基金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512260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华安中证500行业中性低波动交易型开放式指数证券投资基金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006129</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华安中证500行业中性低波动交易型开放式指数证券投资基金联接基金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512270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华安沪深300行业中性低波动交易型开放式指数证券投资基金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516200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华安中证全指证券公司交易型开放式指数证券投资基金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516903</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华安中证申万食品饮料交易型开放式指数证券投资基金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040002</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华安MSCI中国A股指数增强型证券投资基金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040190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华安上证龙头企业交易型开放式指数证券投资基金联接基金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510190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上证龙头企业交易型开放式指数证券投资基金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160420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华安创业板50指数型证券投资基金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513900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华安CES港股通精选100交易型开放式指数证券投资基金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005813</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华安CES港股通精选100交易型开放式指数证券投资基金联接基金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516660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华安中证新能源汽车交易型开放式指数证券投资基金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513880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华安三菱日联日经225交易型开放式指数证券投资基金(QDII)</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513080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华安法国CAC40交易型开放式指数证券投资基金(QDII)</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160418</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华安中证银行指数型证券投资基金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515320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华安中证电子50交易型开放式指数证券投资基金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007228</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华安中债7-10年国开行债券指数证券投资基金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513030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华安国际龙头(DAX)交易型开放式指数证券投资基金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000614</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华安国际龙头(DAX)交易型开放式指数证券投资基金联接基金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515390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华安沪深300交易型开放式指数证券投资基金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008776</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华安沪深300交易型开放式指数证券投资基金发起式联接基金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000312</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华安沪深300量化增强证券投资基金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009656</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华安中债1-5年国开行债券指数证券投资基金</w:t>
            </w:r>
          </w:p>
        </w:tc>
      </w:tr>
      <w:tr w:rsidR="00961AD4" w:rsidRPr="00961AD4" w:rsidTr="006E1B36">
        <w:trPr>
          <w:trHeight w:val="420"/>
        </w:trPr>
        <w:tc>
          <w:tcPr>
            <w:tcW w:w="766" w:type="pct"/>
            <w:tcBorders>
              <w:top w:val="nil"/>
              <w:left w:val="single" w:sz="4" w:space="0" w:color="auto"/>
              <w:bottom w:val="single" w:sz="4" w:space="0" w:color="auto"/>
              <w:right w:val="single" w:sz="4" w:space="0" w:color="auto"/>
            </w:tcBorders>
            <w:shd w:val="clear" w:color="auto" w:fill="auto"/>
            <w:noWrap/>
            <w:vAlign w:val="center"/>
            <w:hideMark/>
          </w:tcPr>
          <w:p w:rsidR="00961AD4" w:rsidRPr="00961AD4" w:rsidRDefault="00961AD4" w:rsidP="006E1B36">
            <w:pPr>
              <w:widowControl/>
              <w:jc w:val="center"/>
              <w:rPr>
                <w:rFonts w:ascii="宋体" w:eastAsia="宋体" w:hAnsi="宋体" w:cs="Arial"/>
                <w:kern w:val="0"/>
                <w:szCs w:val="21"/>
              </w:rPr>
            </w:pPr>
            <w:r w:rsidRPr="00961AD4">
              <w:rPr>
                <w:rFonts w:ascii="宋体" w:eastAsia="宋体" w:hAnsi="宋体" w:cs="Arial"/>
                <w:kern w:val="0"/>
                <w:szCs w:val="21"/>
              </w:rPr>
              <w:t>007180</w:t>
            </w:r>
          </w:p>
        </w:tc>
        <w:tc>
          <w:tcPr>
            <w:tcW w:w="4234" w:type="pct"/>
            <w:tcBorders>
              <w:top w:val="nil"/>
              <w:left w:val="nil"/>
              <w:bottom w:val="single" w:sz="8" w:space="0" w:color="auto"/>
              <w:right w:val="single" w:sz="8" w:space="0" w:color="auto"/>
            </w:tcBorders>
            <w:shd w:val="clear" w:color="auto" w:fill="auto"/>
            <w:noWrap/>
            <w:vAlign w:val="center"/>
            <w:hideMark/>
          </w:tcPr>
          <w:p w:rsidR="00961AD4" w:rsidRPr="00961AD4" w:rsidRDefault="00961AD4" w:rsidP="00961AD4">
            <w:pPr>
              <w:widowControl/>
              <w:jc w:val="left"/>
              <w:rPr>
                <w:rFonts w:ascii="宋体" w:eastAsia="宋体" w:hAnsi="宋体" w:cs="Arial"/>
                <w:kern w:val="0"/>
                <w:szCs w:val="21"/>
              </w:rPr>
            </w:pPr>
            <w:r w:rsidRPr="00961AD4">
              <w:rPr>
                <w:rFonts w:ascii="宋体" w:eastAsia="宋体" w:hAnsi="宋体" w:cs="Arial" w:hint="eastAsia"/>
                <w:kern w:val="0"/>
                <w:szCs w:val="21"/>
              </w:rPr>
              <w:t>华安中债1-3年政策性金融债指数证券投资基金</w:t>
            </w:r>
          </w:p>
        </w:tc>
      </w:tr>
    </w:tbl>
    <w:p w:rsidR="00961AD4" w:rsidRPr="00961AD4" w:rsidRDefault="00961AD4" w:rsidP="00961AD4">
      <w:pPr>
        <w:pStyle w:val="a3"/>
        <w:shd w:val="clear" w:color="auto" w:fill="FFFFFF"/>
        <w:spacing w:before="0" w:beforeAutospacing="0" w:after="0" w:afterAutospacing="0" w:line="360" w:lineRule="auto"/>
        <w:ind w:firstLineChars="200" w:firstLine="420"/>
        <w:rPr>
          <w:color w:val="333333"/>
          <w:sz w:val="21"/>
          <w:szCs w:val="21"/>
        </w:rPr>
      </w:pPr>
    </w:p>
    <w:sectPr w:rsidR="00961AD4" w:rsidRPr="00961AD4" w:rsidSect="00E70EBC">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D0E6" w16cex:dateUtc="2021-03-30T08:31:00Z"/>
  <w16cex:commentExtensible w16cex:durableId="240DD2A1" w16cex:dateUtc="2021-03-30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4D787F" w16cid:durableId="240DD0E6"/>
  <w16cid:commentId w16cid:paraId="73F49BA9" w16cid:durableId="240DD2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D5D" w:rsidRDefault="00750D5D" w:rsidP="00A8466B">
      <w:r>
        <w:separator/>
      </w:r>
    </w:p>
  </w:endnote>
  <w:endnote w:type="continuationSeparator" w:id="0">
    <w:p w:rsidR="00750D5D" w:rsidRDefault="00750D5D" w:rsidP="00A8466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931327"/>
      <w:docPartObj>
        <w:docPartGallery w:val="Page Numbers (Bottom of Page)"/>
        <w:docPartUnique/>
      </w:docPartObj>
    </w:sdtPr>
    <w:sdtContent>
      <w:p w:rsidR="00A8466B" w:rsidRDefault="00E70EBC">
        <w:pPr>
          <w:pStyle w:val="a6"/>
          <w:jc w:val="center"/>
        </w:pPr>
        <w:r>
          <w:fldChar w:fldCharType="begin"/>
        </w:r>
        <w:r w:rsidR="00A8466B">
          <w:instrText>PAGE   \* MERGEFORMAT</w:instrText>
        </w:r>
        <w:r>
          <w:fldChar w:fldCharType="separate"/>
        </w:r>
        <w:r w:rsidR="005044B2" w:rsidRPr="005044B2">
          <w:rPr>
            <w:noProof/>
            <w:lang w:val="zh-CN"/>
          </w:rPr>
          <w:t>1</w:t>
        </w:r>
        <w:r>
          <w:fldChar w:fldCharType="end"/>
        </w:r>
      </w:p>
    </w:sdtContent>
  </w:sdt>
  <w:p w:rsidR="00A8466B" w:rsidRDefault="00A846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D5D" w:rsidRDefault="00750D5D" w:rsidP="00A8466B">
      <w:r>
        <w:separator/>
      </w:r>
    </w:p>
  </w:footnote>
  <w:footnote w:type="continuationSeparator" w:id="0">
    <w:p w:rsidR="00750D5D" w:rsidRDefault="00750D5D" w:rsidP="00A84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2D91"/>
    <w:rsid w:val="00006BC1"/>
    <w:rsid w:val="00094105"/>
    <w:rsid w:val="000B5174"/>
    <w:rsid w:val="000C71E8"/>
    <w:rsid w:val="000D1BDA"/>
    <w:rsid w:val="00197848"/>
    <w:rsid w:val="00201C1B"/>
    <w:rsid w:val="0022298E"/>
    <w:rsid w:val="00235568"/>
    <w:rsid w:val="00237DA6"/>
    <w:rsid w:val="002408B1"/>
    <w:rsid w:val="00260DBD"/>
    <w:rsid w:val="002A4761"/>
    <w:rsid w:val="002E5D11"/>
    <w:rsid w:val="00303768"/>
    <w:rsid w:val="00314121"/>
    <w:rsid w:val="00322D91"/>
    <w:rsid w:val="003B33B1"/>
    <w:rsid w:val="003D1E74"/>
    <w:rsid w:val="003E1FC7"/>
    <w:rsid w:val="0040205A"/>
    <w:rsid w:val="00435E0A"/>
    <w:rsid w:val="00496817"/>
    <w:rsid w:val="005044B2"/>
    <w:rsid w:val="00576C15"/>
    <w:rsid w:val="00586D33"/>
    <w:rsid w:val="005C6BEB"/>
    <w:rsid w:val="005D2C9B"/>
    <w:rsid w:val="005E5FBF"/>
    <w:rsid w:val="006704B8"/>
    <w:rsid w:val="00687233"/>
    <w:rsid w:val="006B1632"/>
    <w:rsid w:val="006E1B36"/>
    <w:rsid w:val="00714219"/>
    <w:rsid w:val="00722582"/>
    <w:rsid w:val="00750D5D"/>
    <w:rsid w:val="007D5E07"/>
    <w:rsid w:val="00824902"/>
    <w:rsid w:val="0086348F"/>
    <w:rsid w:val="008B07E9"/>
    <w:rsid w:val="008B4D53"/>
    <w:rsid w:val="008F3FDC"/>
    <w:rsid w:val="00903EF2"/>
    <w:rsid w:val="00955057"/>
    <w:rsid w:val="0095582E"/>
    <w:rsid w:val="00961AD4"/>
    <w:rsid w:val="00972163"/>
    <w:rsid w:val="00982315"/>
    <w:rsid w:val="009908FF"/>
    <w:rsid w:val="009F53D6"/>
    <w:rsid w:val="00A245B6"/>
    <w:rsid w:val="00A40602"/>
    <w:rsid w:val="00A8466B"/>
    <w:rsid w:val="00AC5092"/>
    <w:rsid w:val="00B00358"/>
    <w:rsid w:val="00B02559"/>
    <w:rsid w:val="00B438D4"/>
    <w:rsid w:val="00C43CFC"/>
    <w:rsid w:val="00C829E2"/>
    <w:rsid w:val="00CB26EF"/>
    <w:rsid w:val="00CE6B37"/>
    <w:rsid w:val="00CF0BC2"/>
    <w:rsid w:val="00D13011"/>
    <w:rsid w:val="00D272EF"/>
    <w:rsid w:val="00D36274"/>
    <w:rsid w:val="00DA685B"/>
    <w:rsid w:val="00E17A10"/>
    <w:rsid w:val="00E23FF8"/>
    <w:rsid w:val="00E70EBC"/>
    <w:rsid w:val="00EA4955"/>
    <w:rsid w:val="00F23058"/>
    <w:rsid w:val="00F23833"/>
    <w:rsid w:val="00F549BF"/>
    <w:rsid w:val="00F66FE5"/>
    <w:rsid w:val="00F91F53"/>
    <w:rsid w:val="00F93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2D91"/>
    <w:pPr>
      <w:widowControl w:val="0"/>
      <w:autoSpaceDE w:val="0"/>
      <w:autoSpaceDN w:val="0"/>
      <w:adjustRightInd w:val="0"/>
    </w:pPr>
    <w:rPr>
      <w:rFonts w:ascii="宋体" w:eastAsia="宋体" w:cs="宋体"/>
      <w:color w:val="000000"/>
      <w:kern w:val="0"/>
      <w:sz w:val="24"/>
      <w:szCs w:val="24"/>
    </w:rPr>
  </w:style>
  <w:style w:type="paragraph" w:styleId="a3">
    <w:name w:val="Normal (Web)"/>
    <w:basedOn w:val="a"/>
    <w:uiPriority w:val="99"/>
    <w:unhideWhenUsed/>
    <w:rsid w:val="00322D91"/>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961AD4"/>
    <w:pPr>
      <w:ind w:leftChars="2500" w:left="100"/>
    </w:pPr>
  </w:style>
  <w:style w:type="character" w:customStyle="1" w:styleId="Char">
    <w:name w:val="日期 Char"/>
    <w:basedOn w:val="a0"/>
    <w:link w:val="a4"/>
    <w:uiPriority w:val="99"/>
    <w:semiHidden/>
    <w:rsid w:val="00961AD4"/>
  </w:style>
  <w:style w:type="paragraph" w:styleId="a5">
    <w:name w:val="header"/>
    <w:basedOn w:val="a"/>
    <w:link w:val="Char0"/>
    <w:uiPriority w:val="99"/>
    <w:unhideWhenUsed/>
    <w:rsid w:val="00A846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8466B"/>
    <w:rPr>
      <w:sz w:val="18"/>
      <w:szCs w:val="18"/>
    </w:rPr>
  </w:style>
  <w:style w:type="paragraph" w:styleId="a6">
    <w:name w:val="footer"/>
    <w:basedOn w:val="a"/>
    <w:link w:val="Char1"/>
    <w:uiPriority w:val="99"/>
    <w:unhideWhenUsed/>
    <w:rsid w:val="00A8466B"/>
    <w:pPr>
      <w:tabs>
        <w:tab w:val="center" w:pos="4153"/>
        <w:tab w:val="right" w:pos="8306"/>
      </w:tabs>
      <w:snapToGrid w:val="0"/>
      <w:jc w:val="left"/>
    </w:pPr>
    <w:rPr>
      <w:sz w:val="18"/>
      <w:szCs w:val="18"/>
    </w:rPr>
  </w:style>
  <w:style w:type="character" w:customStyle="1" w:styleId="Char1">
    <w:name w:val="页脚 Char"/>
    <w:basedOn w:val="a0"/>
    <w:link w:val="a6"/>
    <w:uiPriority w:val="99"/>
    <w:rsid w:val="00A8466B"/>
    <w:rPr>
      <w:sz w:val="18"/>
      <w:szCs w:val="18"/>
    </w:rPr>
  </w:style>
  <w:style w:type="paragraph" w:styleId="a7">
    <w:name w:val="Balloon Text"/>
    <w:basedOn w:val="a"/>
    <w:link w:val="Char2"/>
    <w:uiPriority w:val="99"/>
    <w:semiHidden/>
    <w:unhideWhenUsed/>
    <w:rsid w:val="005C6BEB"/>
    <w:rPr>
      <w:sz w:val="18"/>
      <w:szCs w:val="18"/>
    </w:rPr>
  </w:style>
  <w:style w:type="character" w:customStyle="1" w:styleId="Char2">
    <w:name w:val="批注框文本 Char"/>
    <w:basedOn w:val="a0"/>
    <w:link w:val="a7"/>
    <w:uiPriority w:val="99"/>
    <w:semiHidden/>
    <w:rsid w:val="005C6BEB"/>
    <w:rPr>
      <w:sz w:val="18"/>
      <w:szCs w:val="18"/>
    </w:rPr>
  </w:style>
  <w:style w:type="character" w:styleId="a8">
    <w:name w:val="annotation reference"/>
    <w:basedOn w:val="a0"/>
    <w:uiPriority w:val="99"/>
    <w:semiHidden/>
    <w:unhideWhenUsed/>
    <w:rsid w:val="003B33B1"/>
    <w:rPr>
      <w:sz w:val="21"/>
      <w:szCs w:val="21"/>
    </w:rPr>
  </w:style>
  <w:style w:type="paragraph" w:styleId="a9">
    <w:name w:val="annotation text"/>
    <w:basedOn w:val="a"/>
    <w:link w:val="Char3"/>
    <w:uiPriority w:val="99"/>
    <w:semiHidden/>
    <w:unhideWhenUsed/>
    <w:rsid w:val="003B33B1"/>
    <w:pPr>
      <w:jc w:val="left"/>
    </w:pPr>
  </w:style>
  <w:style w:type="character" w:customStyle="1" w:styleId="Char3">
    <w:name w:val="批注文字 Char"/>
    <w:basedOn w:val="a0"/>
    <w:link w:val="a9"/>
    <w:uiPriority w:val="99"/>
    <w:semiHidden/>
    <w:rsid w:val="003B33B1"/>
  </w:style>
  <w:style w:type="paragraph" w:styleId="aa">
    <w:name w:val="annotation subject"/>
    <w:basedOn w:val="a9"/>
    <w:next w:val="a9"/>
    <w:link w:val="Char4"/>
    <w:uiPriority w:val="99"/>
    <w:semiHidden/>
    <w:unhideWhenUsed/>
    <w:rsid w:val="003B33B1"/>
    <w:rPr>
      <w:b/>
      <w:bCs/>
    </w:rPr>
  </w:style>
  <w:style w:type="character" w:customStyle="1" w:styleId="Char4">
    <w:name w:val="批注主题 Char"/>
    <w:basedOn w:val="Char3"/>
    <w:link w:val="aa"/>
    <w:uiPriority w:val="99"/>
    <w:semiHidden/>
    <w:rsid w:val="003B33B1"/>
    <w:rPr>
      <w:b/>
      <w:bCs/>
    </w:rPr>
  </w:style>
</w:styles>
</file>

<file path=word/webSettings.xml><?xml version="1.0" encoding="utf-8"?>
<w:webSettings xmlns:r="http://schemas.openxmlformats.org/officeDocument/2006/relationships" xmlns:w="http://schemas.openxmlformats.org/wordprocessingml/2006/main">
  <w:divs>
    <w:div w:id="20980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D13D-530A-4069-B6EA-4AEEEA51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3181</Characters>
  <Application>Microsoft Office Word</Application>
  <DocSecurity>4</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冯晓蕾</dc:creator>
  <cp:keywords/>
  <dc:description/>
  <cp:lastModifiedBy>ZHONGM</cp:lastModifiedBy>
  <cp:revision>2</cp:revision>
  <dcterms:created xsi:type="dcterms:W3CDTF">2021-03-30T16:06:00Z</dcterms:created>
  <dcterms:modified xsi:type="dcterms:W3CDTF">2021-03-30T16:06:00Z</dcterms:modified>
</cp:coreProperties>
</file>