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27" w:rsidRPr="000D4B52" w:rsidRDefault="007C1227" w:rsidP="007C1227">
      <w:pPr>
        <w:autoSpaceDE w:val="0"/>
        <w:autoSpaceDN w:val="0"/>
        <w:adjustRightInd w:val="0"/>
        <w:snapToGrid w:val="0"/>
        <w:spacing w:line="360" w:lineRule="auto"/>
        <w:jc w:val="center"/>
        <w:rPr>
          <w:rFonts w:asciiTheme="majorEastAsia" w:eastAsiaTheme="majorEastAsia" w:hAnsiTheme="majorEastAsia" w:cs="SimSun,Bold"/>
          <w:b/>
          <w:bCs/>
          <w:kern w:val="0"/>
          <w:sz w:val="28"/>
          <w:szCs w:val="28"/>
        </w:rPr>
      </w:pPr>
      <w:bookmarkStart w:id="0" w:name="_GoBack"/>
      <w:bookmarkEnd w:id="0"/>
      <w:r w:rsidRPr="000D4B52">
        <w:rPr>
          <w:rFonts w:asciiTheme="majorEastAsia" w:eastAsiaTheme="majorEastAsia" w:hAnsiTheme="majorEastAsia" w:cs="SimSun,Bold" w:hint="eastAsia"/>
          <w:b/>
          <w:bCs/>
          <w:kern w:val="0"/>
          <w:sz w:val="28"/>
          <w:szCs w:val="28"/>
        </w:rPr>
        <w:t>恒生前海基金管理有限公司</w:t>
      </w:r>
    </w:p>
    <w:p w:rsidR="005F7948" w:rsidRPr="000D4B52" w:rsidRDefault="007C1227" w:rsidP="001527F4">
      <w:pPr>
        <w:autoSpaceDE w:val="0"/>
        <w:autoSpaceDN w:val="0"/>
        <w:adjustRightInd w:val="0"/>
        <w:snapToGrid w:val="0"/>
        <w:spacing w:line="360" w:lineRule="auto"/>
        <w:jc w:val="center"/>
        <w:rPr>
          <w:rFonts w:asciiTheme="majorEastAsia" w:eastAsiaTheme="majorEastAsia" w:hAnsiTheme="majorEastAsia" w:cs="SimSun,Bold"/>
          <w:b/>
          <w:bCs/>
          <w:kern w:val="0"/>
          <w:sz w:val="28"/>
          <w:szCs w:val="28"/>
        </w:rPr>
      </w:pPr>
      <w:r w:rsidRPr="000D4B52">
        <w:rPr>
          <w:rFonts w:asciiTheme="majorEastAsia" w:eastAsiaTheme="majorEastAsia" w:hAnsiTheme="majorEastAsia" w:cs="SimSun,Bold" w:hint="eastAsia"/>
          <w:b/>
          <w:bCs/>
          <w:kern w:val="0"/>
          <w:sz w:val="28"/>
          <w:szCs w:val="28"/>
        </w:rPr>
        <w:t>关于旗下部分基金修订基金合同、托管协议的公告</w:t>
      </w:r>
    </w:p>
    <w:p w:rsidR="007C1227" w:rsidRDefault="007C1227" w:rsidP="007C1227">
      <w:pPr>
        <w:autoSpaceDE w:val="0"/>
        <w:autoSpaceDN w:val="0"/>
        <w:adjustRightInd w:val="0"/>
        <w:snapToGrid w:val="0"/>
        <w:spacing w:line="360" w:lineRule="auto"/>
        <w:ind w:firstLineChars="200" w:firstLine="480"/>
        <w:rPr>
          <w:rFonts w:ascii="宋体" w:eastAsia="宋体" w:cs="宋体"/>
          <w:kern w:val="0"/>
          <w:sz w:val="24"/>
          <w:szCs w:val="24"/>
        </w:rPr>
      </w:pPr>
      <w:bookmarkStart w:id="1" w:name="OLE_LINK1"/>
      <w:r>
        <w:rPr>
          <w:rFonts w:ascii="宋体" w:eastAsia="宋体" w:cs="宋体" w:hint="eastAsia"/>
          <w:kern w:val="0"/>
          <w:sz w:val="24"/>
          <w:szCs w:val="24"/>
        </w:rPr>
        <w:t>根据《中华人民共和国证券投资基金法》、《公开募集证券投资基金信息披露管理办法》、《公开募集证券投资基金侧袋机制指引（试行）》（以下简称“《侧袋机制指引》”）、《存托凭证发行与交易管理办法（试行）》（以下简称“《管理办法》”）、《</w:t>
      </w:r>
      <w:r w:rsidRPr="007C1227">
        <w:rPr>
          <w:rFonts w:ascii="宋体" w:eastAsia="宋体" w:cs="宋体" w:hint="eastAsia"/>
          <w:kern w:val="0"/>
          <w:sz w:val="24"/>
          <w:szCs w:val="24"/>
        </w:rPr>
        <w:t>公开募集证券投资基金运作指引第</w:t>
      </w:r>
      <w:r>
        <w:rPr>
          <w:rFonts w:ascii="宋体" w:eastAsia="宋体" w:cs="宋体"/>
          <w:kern w:val="0"/>
          <w:sz w:val="24"/>
          <w:szCs w:val="24"/>
        </w:rPr>
        <w:t>3</w:t>
      </w:r>
      <w:r w:rsidRPr="007C1227">
        <w:rPr>
          <w:rFonts w:ascii="宋体" w:eastAsia="宋体" w:cs="宋体" w:hint="eastAsia"/>
          <w:kern w:val="0"/>
          <w:sz w:val="24"/>
          <w:szCs w:val="24"/>
        </w:rPr>
        <w:t>号——指数基金指引</w:t>
      </w:r>
      <w:r>
        <w:rPr>
          <w:rFonts w:ascii="宋体" w:eastAsia="宋体" w:cs="宋体" w:hint="eastAsia"/>
          <w:kern w:val="0"/>
          <w:sz w:val="24"/>
          <w:szCs w:val="24"/>
        </w:rPr>
        <w:t>》（以下简称“《</w:t>
      </w:r>
      <w:r w:rsidR="009E0290">
        <w:rPr>
          <w:rFonts w:ascii="宋体" w:eastAsia="宋体" w:cs="宋体" w:hint="eastAsia"/>
          <w:kern w:val="0"/>
          <w:sz w:val="24"/>
          <w:szCs w:val="24"/>
        </w:rPr>
        <w:t>指数</w:t>
      </w:r>
      <w:r w:rsidRPr="007C1227">
        <w:rPr>
          <w:rFonts w:ascii="宋体" w:eastAsia="宋体" w:cs="宋体" w:hint="eastAsia"/>
          <w:kern w:val="0"/>
          <w:sz w:val="24"/>
          <w:szCs w:val="24"/>
        </w:rPr>
        <w:t>基金指引</w:t>
      </w:r>
      <w:r>
        <w:rPr>
          <w:rFonts w:ascii="宋体" w:eastAsia="宋体" w:cs="宋体" w:hint="eastAsia"/>
          <w:kern w:val="0"/>
          <w:sz w:val="24"/>
          <w:szCs w:val="24"/>
        </w:rPr>
        <w:t>》”）等法律法规规定及各基金基金合同的约定，经与各基金托管人协商一致，并向中国证监会备案，恒生前海基金管理有限公司（以下简称“基金管理人”）决定对旗下</w:t>
      </w:r>
      <w:r>
        <w:rPr>
          <w:rFonts w:ascii="TimesNewRomanPSMT" w:eastAsia="宋体" w:hAnsi="TimesNewRomanPSMT" w:cs="TimesNewRomanPSMT"/>
          <w:kern w:val="0"/>
          <w:sz w:val="24"/>
          <w:szCs w:val="24"/>
        </w:rPr>
        <w:t>9</w:t>
      </w:r>
      <w:r>
        <w:rPr>
          <w:rFonts w:ascii="宋体" w:eastAsia="宋体" w:cs="宋体" w:hint="eastAsia"/>
          <w:kern w:val="0"/>
          <w:sz w:val="24"/>
          <w:szCs w:val="24"/>
        </w:rPr>
        <w:t>只公募基金的基金合同、托管协议等法律文件进行修改</w:t>
      </w:r>
      <w:bookmarkEnd w:id="1"/>
      <w:r>
        <w:rPr>
          <w:rFonts w:ascii="宋体" w:eastAsia="宋体" w:cs="宋体" w:hint="eastAsia"/>
          <w:kern w:val="0"/>
          <w:sz w:val="24"/>
          <w:szCs w:val="24"/>
        </w:rPr>
        <w:t>，</w:t>
      </w:r>
      <w:r w:rsidR="005F6B5A" w:rsidRPr="0027512C">
        <w:rPr>
          <w:rFonts w:ascii="宋体" w:eastAsia="宋体" w:cs="宋体"/>
          <w:kern w:val="0"/>
          <w:sz w:val="24"/>
          <w:szCs w:val="24"/>
        </w:rPr>
        <w:t>及对基金管理人、基金托管人的信息进行更新</w:t>
      </w:r>
      <w:r w:rsidR="005F6B5A" w:rsidRPr="0027512C">
        <w:rPr>
          <w:rFonts w:ascii="宋体" w:eastAsia="宋体" w:cs="宋体" w:hint="eastAsia"/>
          <w:kern w:val="0"/>
          <w:sz w:val="24"/>
          <w:szCs w:val="24"/>
        </w:rPr>
        <w:t>，</w:t>
      </w:r>
      <w:r>
        <w:rPr>
          <w:rFonts w:ascii="宋体" w:eastAsia="宋体" w:cs="宋体" w:hint="eastAsia"/>
          <w:kern w:val="0"/>
          <w:sz w:val="24"/>
          <w:szCs w:val="24"/>
        </w:rPr>
        <w:t>本次修订将自</w:t>
      </w:r>
      <w:r>
        <w:rPr>
          <w:rFonts w:ascii="TimesNewRomanPSMT" w:eastAsia="宋体" w:hAnsi="TimesNewRomanPSMT" w:cs="TimesNewRomanPSMT"/>
          <w:kern w:val="0"/>
          <w:sz w:val="24"/>
          <w:szCs w:val="24"/>
        </w:rPr>
        <w:t>2021</w:t>
      </w:r>
      <w:r>
        <w:rPr>
          <w:rFonts w:ascii="宋体" w:eastAsia="宋体" w:cs="宋体" w:hint="eastAsia"/>
          <w:kern w:val="0"/>
          <w:sz w:val="24"/>
          <w:szCs w:val="24"/>
        </w:rPr>
        <w:t>年</w:t>
      </w:r>
      <w:r w:rsidR="005F6B5A">
        <w:rPr>
          <w:rFonts w:ascii="TimesNewRomanPSMT" w:eastAsia="宋体" w:hAnsi="TimesNewRomanPSMT" w:cs="TimesNewRomanPSMT"/>
          <w:kern w:val="0"/>
          <w:sz w:val="24"/>
          <w:szCs w:val="24"/>
        </w:rPr>
        <w:t>3</w:t>
      </w:r>
      <w:r>
        <w:rPr>
          <w:rFonts w:ascii="宋体" w:eastAsia="宋体" w:cs="宋体" w:hint="eastAsia"/>
          <w:kern w:val="0"/>
          <w:sz w:val="24"/>
          <w:szCs w:val="24"/>
        </w:rPr>
        <w:t>月</w:t>
      </w:r>
      <w:r w:rsidR="005F6B5A">
        <w:rPr>
          <w:rFonts w:ascii="TimesNewRomanPSMT" w:eastAsia="宋体" w:hAnsi="TimesNewRomanPSMT" w:cs="TimesNewRomanPSMT"/>
          <w:kern w:val="0"/>
          <w:sz w:val="24"/>
          <w:szCs w:val="24"/>
        </w:rPr>
        <w:t>31</w:t>
      </w:r>
      <w:r>
        <w:rPr>
          <w:rFonts w:ascii="宋体" w:eastAsia="宋体" w:cs="宋体" w:hint="eastAsia"/>
          <w:kern w:val="0"/>
          <w:sz w:val="24"/>
          <w:szCs w:val="24"/>
        </w:rPr>
        <w:t>日起正式生效。现将基金合同、托管协议修订情况公告如下：</w:t>
      </w:r>
    </w:p>
    <w:p w:rsidR="00A2571F" w:rsidRPr="00A2571F" w:rsidRDefault="00A2571F" w:rsidP="00A2571F">
      <w:pPr>
        <w:autoSpaceDE w:val="0"/>
        <w:autoSpaceDN w:val="0"/>
        <w:adjustRightInd w:val="0"/>
        <w:snapToGrid w:val="0"/>
        <w:spacing w:line="360" w:lineRule="auto"/>
        <w:ind w:firstLineChars="200" w:firstLine="480"/>
        <w:rPr>
          <w:rFonts w:ascii="宋体" w:eastAsia="宋体" w:cs="宋体"/>
          <w:kern w:val="0"/>
          <w:sz w:val="24"/>
          <w:szCs w:val="24"/>
        </w:rPr>
      </w:pPr>
      <w:r w:rsidRPr="00A2571F">
        <w:rPr>
          <w:rFonts w:ascii="宋体" w:eastAsia="宋体" w:cs="宋体" w:hint="eastAsia"/>
          <w:kern w:val="0"/>
          <w:sz w:val="24"/>
          <w:szCs w:val="24"/>
        </w:rPr>
        <w:t>一、本次主要修订内容</w:t>
      </w:r>
    </w:p>
    <w:p w:rsidR="007C1227" w:rsidRDefault="00A2571F" w:rsidP="00A2571F">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本次修订涉及基金管理人旗下</w:t>
      </w:r>
      <w:r>
        <w:rPr>
          <w:rFonts w:ascii="宋体" w:eastAsia="宋体" w:cs="宋体"/>
          <w:kern w:val="0"/>
          <w:sz w:val="24"/>
          <w:szCs w:val="24"/>
        </w:rPr>
        <w:t>9</w:t>
      </w:r>
      <w:r>
        <w:rPr>
          <w:rFonts w:ascii="宋体" w:eastAsia="宋体" w:cs="宋体" w:hint="eastAsia"/>
          <w:kern w:val="0"/>
          <w:sz w:val="24"/>
          <w:szCs w:val="24"/>
        </w:rPr>
        <w:t>只公募基金，其中涉及根据《侧袋机制指引》修订基金合同的共</w:t>
      </w:r>
      <w:r>
        <w:rPr>
          <w:rFonts w:ascii="宋体" w:eastAsia="宋体" w:cs="宋体"/>
          <w:kern w:val="0"/>
          <w:sz w:val="24"/>
          <w:szCs w:val="24"/>
        </w:rPr>
        <w:t>4</w:t>
      </w:r>
      <w:r>
        <w:rPr>
          <w:rFonts w:ascii="宋体" w:eastAsia="宋体" w:cs="宋体" w:hint="eastAsia"/>
          <w:kern w:val="0"/>
          <w:sz w:val="24"/>
          <w:szCs w:val="24"/>
        </w:rPr>
        <w:t>只基金，涉及根据《管理办法》修订基金合同的共</w:t>
      </w:r>
      <w:r>
        <w:rPr>
          <w:rFonts w:ascii="宋体" w:eastAsia="宋体" w:cs="宋体"/>
          <w:kern w:val="0"/>
          <w:sz w:val="24"/>
          <w:szCs w:val="24"/>
        </w:rPr>
        <w:t>6</w:t>
      </w:r>
      <w:r>
        <w:rPr>
          <w:rFonts w:ascii="宋体" w:eastAsia="宋体" w:cs="宋体" w:hint="eastAsia"/>
          <w:kern w:val="0"/>
          <w:sz w:val="24"/>
          <w:szCs w:val="24"/>
        </w:rPr>
        <w:t>只基金，涉及根据《</w:t>
      </w:r>
      <w:r w:rsidR="000B326E">
        <w:rPr>
          <w:rFonts w:ascii="宋体" w:eastAsia="宋体" w:cs="宋体" w:hint="eastAsia"/>
          <w:kern w:val="0"/>
          <w:sz w:val="24"/>
          <w:szCs w:val="24"/>
        </w:rPr>
        <w:t>指数</w:t>
      </w:r>
      <w:r w:rsidRPr="007C1227">
        <w:rPr>
          <w:rFonts w:ascii="宋体" w:eastAsia="宋体" w:cs="宋体" w:hint="eastAsia"/>
          <w:kern w:val="0"/>
          <w:sz w:val="24"/>
          <w:szCs w:val="24"/>
        </w:rPr>
        <w:t>基金指引</w:t>
      </w:r>
      <w:r>
        <w:rPr>
          <w:rFonts w:ascii="宋体" w:eastAsia="宋体" w:cs="宋体" w:hint="eastAsia"/>
          <w:kern w:val="0"/>
          <w:sz w:val="24"/>
          <w:szCs w:val="24"/>
        </w:rPr>
        <w:t>》修订基金合同的共</w:t>
      </w:r>
      <w:r>
        <w:rPr>
          <w:rFonts w:ascii="宋体" w:eastAsia="宋体" w:cs="宋体"/>
          <w:kern w:val="0"/>
          <w:sz w:val="24"/>
          <w:szCs w:val="24"/>
        </w:rPr>
        <w:t>3</w:t>
      </w:r>
      <w:r>
        <w:rPr>
          <w:rFonts w:ascii="宋体" w:eastAsia="宋体" w:cs="宋体" w:hint="eastAsia"/>
          <w:kern w:val="0"/>
          <w:sz w:val="24"/>
          <w:szCs w:val="24"/>
        </w:rPr>
        <w:t>只基金,详细名单见本公告的附表。</w:t>
      </w:r>
    </w:p>
    <w:tbl>
      <w:tblPr>
        <w:tblStyle w:val="a5"/>
        <w:tblW w:w="8500" w:type="dxa"/>
        <w:jc w:val="center"/>
        <w:tblLook w:val="04A0"/>
      </w:tblPr>
      <w:tblGrid>
        <w:gridCol w:w="427"/>
        <w:gridCol w:w="2891"/>
        <w:gridCol w:w="1659"/>
        <w:gridCol w:w="1659"/>
        <w:gridCol w:w="1864"/>
      </w:tblGrid>
      <w:tr w:rsidR="00A2571F" w:rsidRPr="00A2571F" w:rsidTr="00C51B15">
        <w:trPr>
          <w:trHeight w:val="276"/>
          <w:jc w:val="center"/>
        </w:trPr>
        <w:tc>
          <w:tcPr>
            <w:tcW w:w="427" w:type="dxa"/>
            <w:vMerge w:val="restart"/>
          </w:tcPr>
          <w:p w:rsidR="00C51B15" w:rsidRPr="009E0290" w:rsidRDefault="00C51B15" w:rsidP="00A2571F">
            <w:pPr>
              <w:autoSpaceDE w:val="0"/>
              <w:autoSpaceDN w:val="0"/>
              <w:adjustRightInd w:val="0"/>
              <w:snapToGrid w:val="0"/>
              <w:jc w:val="center"/>
              <w:rPr>
                <w:rFonts w:asciiTheme="minorEastAsia" w:hAnsiTheme="minorEastAsia" w:cs="宋体"/>
                <w:b/>
                <w:kern w:val="0"/>
                <w:szCs w:val="21"/>
              </w:rPr>
            </w:pPr>
            <w:bookmarkStart w:id="2" w:name="OLE_LINK2"/>
            <w:bookmarkStart w:id="3" w:name="OLE_LINK3"/>
          </w:p>
          <w:p w:rsidR="00C51B15" w:rsidRPr="009E0290" w:rsidRDefault="00C51B15" w:rsidP="00C51B15">
            <w:pPr>
              <w:autoSpaceDE w:val="0"/>
              <w:autoSpaceDN w:val="0"/>
              <w:adjustRightInd w:val="0"/>
              <w:snapToGrid w:val="0"/>
              <w:rPr>
                <w:rFonts w:asciiTheme="minorEastAsia" w:hAnsiTheme="minorEastAsia" w:cs="宋体"/>
                <w:b/>
                <w:kern w:val="0"/>
                <w:szCs w:val="21"/>
              </w:rPr>
            </w:pPr>
          </w:p>
          <w:p w:rsidR="00A2571F" w:rsidRPr="009E0290" w:rsidRDefault="00A2571F" w:rsidP="00C51B15">
            <w:pPr>
              <w:autoSpaceDE w:val="0"/>
              <w:autoSpaceDN w:val="0"/>
              <w:adjustRightInd w:val="0"/>
              <w:snapToGrid w:val="0"/>
              <w:rPr>
                <w:rFonts w:asciiTheme="minorEastAsia" w:hAnsiTheme="minorEastAsia" w:cs="宋体"/>
                <w:b/>
                <w:kern w:val="0"/>
                <w:szCs w:val="21"/>
              </w:rPr>
            </w:pPr>
            <w:r w:rsidRPr="009E0290">
              <w:rPr>
                <w:rFonts w:asciiTheme="minorEastAsia" w:hAnsiTheme="minorEastAsia" w:cs="宋体" w:hint="eastAsia"/>
                <w:b/>
                <w:kern w:val="0"/>
                <w:szCs w:val="21"/>
              </w:rPr>
              <w:t>序号</w:t>
            </w:r>
          </w:p>
        </w:tc>
        <w:tc>
          <w:tcPr>
            <w:tcW w:w="2891" w:type="dxa"/>
            <w:vMerge w:val="restart"/>
          </w:tcPr>
          <w:p w:rsidR="00C51B15" w:rsidRPr="009E0290" w:rsidRDefault="00C51B15" w:rsidP="00A2571F">
            <w:pPr>
              <w:autoSpaceDE w:val="0"/>
              <w:autoSpaceDN w:val="0"/>
              <w:adjustRightInd w:val="0"/>
              <w:snapToGrid w:val="0"/>
              <w:jc w:val="center"/>
              <w:rPr>
                <w:rFonts w:asciiTheme="minorEastAsia" w:hAnsiTheme="minorEastAsia" w:cs="宋体"/>
                <w:b/>
                <w:kern w:val="0"/>
                <w:szCs w:val="21"/>
              </w:rPr>
            </w:pPr>
          </w:p>
          <w:p w:rsidR="00C51B15" w:rsidRPr="009E0290" w:rsidRDefault="00C51B15" w:rsidP="00A2571F">
            <w:pPr>
              <w:autoSpaceDE w:val="0"/>
              <w:autoSpaceDN w:val="0"/>
              <w:adjustRightInd w:val="0"/>
              <w:snapToGrid w:val="0"/>
              <w:jc w:val="center"/>
              <w:rPr>
                <w:rFonts w:asciiTheme="minorEastAsia" w:hAnsiTheme="minorEastAsia" w:cs="宋体"/>
                <w:b/>
                <w:kern w:val="0"/>
                <w:szCs w:val="21"/>
              </w:rPr>
            </w:pPr>
          </w:p>
          <w:p w:rsidR="00C51B15" w:rsidRPr="009E0290" w:rsidRDefault="00C51B15" w:rsidP="00A2571F">
            <w:pPr>
              <w:autoSpaceDE w:val="0"/>
              <w:autoSpaceDN w:val="0"/>
              <w:adjustRightInd w:val="0"/>
              <w:snapToGrid w:val="0"/>
              <w:jc w:val="center"/>
              <w:rPr>
                <w:rFonts w:asciiTheme="minorEastAsia" w:hAnsiTheme="minorEastAsia" w:cs="宋体"/>
                <w:b/>
                <w:kern w:val="0"/>
                <w:szCs w:val="21"/>
              </w:rPr>
            </w:pPr>
          </w:p>
          <w:p w:rsidR="00A2571F" w:rsidRPr="009E0290" w:rsidRDefault="00A2571F" w:rsidP="00A2571F">
            <w:pPr>
              <w:autoSpaceDE w:val="0"/>
              <w:autoSpaceDN w:val="0"/>
              <w:adjustRightInd w:val="0"/>
              <w:snapToGrid w:val="0"/>
              <w:jc w:val="center"/>
              <w:rPr>
                <w:rFonts w:asciiTheme="minorEastAsia" w:hAnsiTheme="minorEastAsia" w:cs="宋体"/>
                <w:b/>
                <w:kern w:val="0"/>
                <w:szCs w:val="21"/>
              </w:rPr>
            </w:pPr>
            <w:r w:rsidRPr="009E0290">
              <w:rPr>
                <w:rFonts w:asciiTheme="minorEastAsia" w:hAnsiTheme="minorEastAsia" w:cs="宋体" w:hint="eastAsia"/>
                <w:b/>
                <w:kern w:val="0"/>
                <w:szCs w:val="21"/>
              </w:rPr>
              <w:t>基金名称</w:t>
            </w:r>
          </w:p>
        </w:tc>
        <w:tc>
          <w:tcPr>
            <w:tcW w:w="5182" w:type="dxa"/>
            <w:gridSpan w:val="3"/>
          </w:tcPr>
          <w:p w:rsidR="00A2571F" w:rsidRPr="009E0290" w:rsidRDefault="00A2571F" w:rsidP="00A2571F">
            <w:pPr>
              <w:autoSpaceDE w:val="0"/>
              <w:autoSpaceDN w:val="0"/>
              <w:adjustRightInd w:val="0"/>
              <w:snapToGrid w:val="0"/>
              <w:jc w:val="center"/>
              <w:rPr>
                <w:rFonts w:asciiTheme="minorEastAsia" w:hAnsiTheme="minorEastAsia" w:cs="宋体"/>
                <w:b/>
                <w:kern w:val="0"/>
                <w:szCs w:val="21"/>
              </w:rPr>
            </w:pPr>
            <w:r w:rsidRPr="009E0290">
              <w:rPr>
                <w:rFonts w:asciiTheme="minorEastAsia" w:hAnsiTheme="minorEastAsia" w:cs="宋体" w:hint="eastAsia"/>
                <w:b/>
                <w:kern w:val="0"/>
                <w:szCs w:val="21"/>
              </w:rPr>
              <w:t>修订事项</w:t>
            </w:r>
          </w:p>
        </w:tc>
      </w:tr>
      <w:tr w:rsidR="00A2571F" w:rsidRPr="00A2571F" w:rsidTr="00C51B15">
        <w:trPr>
          <w:trHeight w:val="192"/>
          <w:jc w:val="center"/>
        </w:trPr>
        <w:tc>
          <w:tcPr>
            <w:tcW w:w="427" w:type="dxa"/>
            <w:vMerge/>
          </w:tcPr>
          <w:p w:rsidR="00A2571F" w:rsidRPr="009E0290" w:rsidRDefault="00A2571F" w:rsidP="00A2571F">
            <w:pPr>
              <w:autoSpaceDE w:val="0"/>
              <w:autoSpaceDN w:val="0"/>
              <w:adjustRightInd w:val="0"/>
              <w:snapToGrid w:val="0"/>
              <w:rPr>
                <w:rFonts w:asciiTheme="minorEastAsia" w:hAnsiTheme="minorEastAsia" w:cs="宋体"/>
                <w:b/>
                <w:kern w:val="0"/>
                <w:szCs w:val="21"/>
              </w:rPr>
            </w:pPr>
          </w:p>
        </w:tc>
        <w:tc>
          <w:tcPr>
            <w:tcW w:w="2891" w:type="dxa"/>
            <w:vMerge/>
          </w:tcPr>
          <w:p w:rsidR="00A2571F" w:rsidRPr="009E0290" w:rsidRDefault="00A2571F" w:rsidP="00A2571F">
            <w:pPr>
              <w:autoSpaceDE w:val="0"/>
              <w:autoSpaceDN w:val="0"/>
              <w:adjustRightInd w:val="0"/>
              <w:snapToGrid w:val="0"/>
              <w:rPr>
                <w:rFonts w:asciiTheme="minorEastAsia" w:hAnsiTheme="minorEastAsia" w:cs="宋体"/>
                <w:b/>
                <w:kern w:val="0"/>
                <w:szCs w:val="21"/>
              </w:rPr>
            </w:pPr>
          </w:p>
        </w:tc>
        <w:tc>
          <w:tcPr>
            <w:tcW w:w="1659" w:type="dxa"/>
          </w:tcPr>
          <w:p w:rsidR="00A2571F" w:rsidRPr="009E0290" w:rsidRDefault="00A2571F" w:rsidP="00A2571F">
            <w:pPr>
              <w:autoSpaceDE w:val="0"/>
              <w:autoSpaceDN w:val="0"/>
              <w:adjustRightInd w:val="0"/>
              <w:snapToGrid w:val="0"/>
              <w:rPr>
                <w:rFonts w:asciiTheme="minorEastAsia" w:hAnsiTheme="minorEastAsia" w:cs="SimSun,Bold"/>
                <w:b/>
                <w:bCs/>
                <w:kern w:val="0"/>
                <w:szCs w:val="21"/>
              </w:rPr>
            </w:pPr>
            <w:r w:rsidRPr="009E0290">
              <w:rPr>
                <w:rFonts w:asciiTheme="minorEastAsia" w:hAnsiTheme="minorEastAsia" w:cs="SimSun,Bold" w:hint="eastAsia"/>
                <w:b/>
                <w:bCs/>
                <w:kern w:val="0"/>
                <w:szCs w:val="21"/>
              </w:rPr>
              <w:t>是否根据《公开募集证券投资基金侧袋机制指引（试行）》修订基金合同</w:t>
            </w:r>
          </w:p>
        </w:tc>
        <w:tc>
          <w:tcPr>
            <w:tcW w:w="1659" w:type="dxa"/>
          </w:tcPr>
          <w:p w:rsidR="00A2571F" w:rsidRPr="009E0290" w:rsidRDefault="00A2571F" w:rsidP="00A2571F">
            <w:pPr>
              <w:autoSpaceDE w:val="0"/>
              <w:autoSpaceDN w:val="0"/>
              <w:adjustRightInd w:val="0"/>
              <w:snapToGrid w:val="0"/>
              <w:rPr>
                <w:rFonts w:asciiTheme="minorEastAsia" w:hAnsiTheme="minorEastAsia" w:cs="SimSun,Bold"/>
                <w:b/>
                <w:bCs/>
                <w:kern w:val="0"/>
                <w:szCs w:val="21"/>
              </w:rPr>
            </w:pPr>
            <w:r w:rsidRPr="009E0290">
              <w:rPr>
                <w:rFonts w:asciiTheme="minorEastAsia" w:hAnsiTheme="minorEastAsia" w:cs="SimSun,Bold" w:hint="eastAsia"/>
                <w:b/>
                <w:bCs/>
                <w:kern w:val="0"/>
                <w:szCs w:val="21"/>
              </w:rPr>
              <w:t>是否根据《存托凭证发行与交易管理办法（试行）》修订基金合同</w:t>
            </w:r>
          </w:p>
        </w:tc>
        <w:tc>
          <w:tcPr>
            <w:tcW w:w="1864" w:type="dxa"/>
          </w:tcPr>
          <w:p w:rsidR="00A2571F" w:rsidRPr="009E0290" w:rsidRDefault="00A2571F" w:rsidP="00A2571F">
            <w:pPr>
              <w:autoSpaceDE w:val="0"/>
              <w:autoSpaceDN w:val="0"/>
              <w:adjustRightInd w:val="0"/>
              <w:snapToGrid w:val="0"/>
              <w:rPr>
                <w:rFonts w:asciiTheme="minorEastAsia" w:hAnsiTheme="minorEastAsia" w:cs="宋体"/>
                <w:b/>
                <w:kern w:val="0"/>
                <w:szCs w:val="21"/>
              </w:rPr>
            </w:pPr>
            <w:r w:rsidRPr="009E0290">
              <w:rPr>
                <w:rFonts w:asciiTheme="minorEastAsia" w:hAnsiTheme="minorEastAsia" w:cs="SimSun,Bold" w:hint="eastAsia"/>
                <w:b/>
                <w:bCs/>
                <w:kern w:val="0"/>
                <w:szCs w:val="21"/>
              </w:rPr>
              <w:t>是否根据《</w:t>
            </w:r>
            <w:r w:rsidRPr="009E0290">
              <w:rPr>
                <w:rFonts w:asciiTheme="minorEastAsia" w:hAnsiTheme="minorEastAsia" w:cs="宋体" w:hint="eastAsia"/>
                <w:b/>
                <w:kern w:val="0"/>
                <w:szCs w:val="21"/>
              </w:rPr>
              <w:t>公开募集证券投资基金运作指引第</w:t>
            </w:r>
            <w:r w:rsidRPr="009E0290">
              <w:rPr>
                <w:rFonts w:asciiTheme="minorEastAsia" w:hAnsiTheme="minorEastAsia" w:cs="宋体"/>
                <w:b/>
                <w:kern w:val="0"/>
                <w:szCs w:val="21"/>
              </w:rPr>
              <w:t>3</w:t>
            </w:r>
            <w:r w:rsidRPr="009E0290">
              <w:rPr>
                <w:rFonts w:asciiTheme="minorEastAsia" w:hAnsiTheme="minorEastAsia" w:cs="宋体" w:hint="eastAsia"/>
                <w:b/>
                <w:kern w:val="0"/>
                <w:szCs w:val="21"/>
              </w:rPr>
              <w:t>号——指数基金指引</w:t>
            </w:r>
            <w:r w:rsidRPr="009E0290">
              <w:rPr>
                <w:rFonts w:asciiTheme="minorEastAsia" w:hAnsiTheme="minorEastAsia" w:cs="SimSun,Bold" w:hint="eastAsia"/>
                <w:b/>
                <w:bCs/>
                <w:kern w:val="0"/>
                <w:szCs w:val="21"/>
              </w:rPr>
              <w:t>》修订基金合同</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1</w:t>
            </w:r>
          </w:p>
        </w:tc>
        <w:tc>
          <w:tcPr>
            <w:tcW w:w="2891"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hint="eastAsia"/>
                <w:bCs/>
                <w:szCs w:val="21"/>
              </w:rPr>
              <w:t>恒生</w:t>
            </w:r>
            <w:r w:rsidRPr="00C51B15">
              <w:rPr>
                <w:bCs/>
                <w:szCs w:val="21"/>
              </w:rPr>
              <w:t>前海沪港深</w:t>
            </w:r>
            <w:r w:rsidRPr="00C51B15">
              <w:rPr>
                <w:rFonts w:hint="eastAsia"/>
                <w:bCs/>
                <w:szCs w:val="21"/>
              </w:rPr>
              <w:t>新兴产业精选</w:t>
            </w:r>
            <w:r w:rsidRPr="00C51B15">
              <w:rPr>
                <w:bCs/>
                <w:szCs w:val="21"/>
              </w:rPr>
              <w:t>混合型证券投资基金</w:t>
            </w:r>
          </w:p>
        </w:tc>
        <w:tc>
          <w:tcPr>
            <w:tcW w:w="1659" w:type="dxa"/>
          </w:tcPr>
          <w:p w:rsidR="00A2571F" w:rsidRPr="00C51B15" w:rsidRDefault="00C51B15" w:rsidP="00C51B15">
            <w:pPr>
              <w:autoSpaceDE w:val="0"/>
              <w:autoSpaceDN w:val="0"/>
              <w:adjustRightInd w:val="0"/>
              <w:snapToGrid w:val="0"/>
              <w:ind w:firstLineChars="300" w:firstLine="630"/>
              <w:rPr>
                <w:rFonts w:ascii="宋体" w:eastAsia="宋体" w:cs="宋体"/>
                <w:kern w:val="0"/>
                <w:szCs w:val="21"/>
              </w:rPr>
            </w:pPr>
            <w:r>
              <w:rPr>
                <w:rFonts w:ascii="宋体" w:eastAsia="宋体" w:cs="宋体" w:hint="eastAsia"/>
                <w:kern w:val="0"/>
                <w:szCs w:val="21"/>
              </w:rPr>
              <w:t>否</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2</w:t>
            </w:r>
          </w:p>
        </w:tc>
        <w:tc>
          <w:tcPr>
            <w:tcW w:w="2891"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hint="eastAsia"/>
                <w:bCs/>
                <w:szCs w:val="21"/>
              </w:rPr>
              <w:t>恒生</w:t>
            </w:r>
            <w:r w:rsidRPr="00C51B15">
              <w:rPr>
                <w:bCs/>
                <w:szCs w:val="21"/>
              </w:rPr>
              <w:t>前海</w:t>
            </w:r>
            <w:r w:rsidRPr="00C51B15">
              <w:rPr>
                <w:rFonts w:hint="eastAsia"/>
                <w:bCs/>
                <w:szCs w:val="21"/>
              </w:rPr>
              <w:t>消费升级</w:t>
            </w:r>
            <w:r w:rsidRPr="00C51B15">
              <w:rPr>
                <w:bCs/>
                <w:szCs w:val="21"/>
              </w:rPr>
              <w:t>混合型证券投资基金</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3</w:t>
            </w:r>
          </w:p>
        </w:tc>
        <w:tc>
          <w:tcPr>
            <w:tcW w:w="2891"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hint="eastAsia"/>
                <w:bCs/>
                <w:szCs w:val="21"/>
              </w:rPr>
              <w:t>恒生</w:t>
            </w:r>
            <w:r w:rsidRPr="00C51B15">
              <w:rPr>
                <w:bCs/>
                <w:szCs w:val="21"/>
              </w:rPr>
              <w:t>前海港股通高股息低波动指数证券投资基金</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4</w:t>
            </w:r>
          </w:p>
        </w:tc>
        <w:tc>
          <w:tcPr>
            <w:tcW w:w="2891"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hint="eastAsia"/>
                <w:bCs/>
                <w:szCs w:val="21"/>
              </w:rPr>
              <w:t>恒生</w:t>
            </w:r>
            <w:r w:rsidRPr="00C51B15">
              <w:rPr>
                <w:bCs/>
                <w:szCs w:val="21"/>
              </w:rPr>
              <w:t>前海中证质量成长低波动指数证券投资基金</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5</w:t>
            </w:r>
          </w:p>
        </w:tc>
        <w:tc>
          <w:tcPr>
            <w:tcW w:w="2891" w:type="dxa"/>
          </w:tcPr>
          <w:p w:rsidR="00A2571F" w:rsidRPr="00C51B15" w:rsidRDefault="00A2571F" w:rsidP="00A2571F">
            <w:pPr>
              <w:snapToGrid w:val="0"/>
              <w:rPr>
                <w:bCs/>
                <w:szCs w:val="21"/>
              </w:rPr>
            </w:pPr>
            <w:r w:rsidRPr="00C51B15">
              <w:rPr>
                <w:rFonts w:hint="eastAsia"/>
                <w:bCs/>
                <w:szCs w:val="21"/>
              </w:rPr>
              <w:t>恒生前海恒生沪深港通细分行业龙头指数证券投资基金</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r>
      <w:tr w:rsidR="00A2571F" w:rsidRPr="00A2571F" w:rsidTr="00C51B15">
        <w:trPr>
          <w:jc w:val="center"/>
        </w:trPr>
        <w:tc>
          <w:tcPr>
            <w:tcW w:w="427"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6</w:t>
            </w:r>
          </w:p>
        </w:tc>
        <w:tc>
          <w:tcPr>
            <w:tcW w:w="2891" w:type="dxa"/>
          </w:tcPr>
          <w:p w:rsidR="00A2571F" w:rsidRPr="00C51B15" w:rsidRDefault="00A2571F" w:rsidP="00A2571F">
            <w:pPr>
              <w:autoSpaceDE w:val="0"/>
              <w:autoSpaceDN w:val="0"/>
              <w:adjustRightInd w:val="0"/>
              <w:snapToGrid w:val="0"/>
              <w:rPr>
                <w:rFonts w:ascii="宋体" w:eastAsia="宋体" w:cs="宋体"/>
                <w:kern w:val="0"/>
                <w:szCs w:val="21"/>
              </w:rPr>
            </w:pPr>
            <w:r w:rsidRPr="00C51B15">
              <w:rPr>
                <w:rFonts w:hint="eastAsia"/>
                <w:bCs/>
                <w:szCs w:val="21"/>
              </w:rPr>
              <w:t>恒生</w:t>
            </w:r>
            <w:r w:rsidRPr="00C51B15">
              <w:rPr>
                <w:bCs/>
                <w:szCs w:val="21"/>
              </w:rPr>
              <w:t>前海</w:t>
            </w:r>
            <w:r w:rsidRPr="00C51B15">
              <w:rPr>
                <w:rFonts w:hint="eastAsia"/>
                <w:bCs/>
                <w:szCs w:val="21"/>
              </w:rPr>
              <w:t>恒锦裕利</w:t>
            </w:r>
            <w:r w:rsidRPr="00C51B15">
              <w:rPr>
                <w:bCs/>
                <w:szCs w:val="21"/>
              </w:rPr>
              <w:t>混合型证券投资基金</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659"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864" w:type="dxa"/>
          </w:tcPr>
          <w:p w:rsidR="00A2571F"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r w:rsidR="00C51B15" w:rsidRPr="00A2571F" w:rsidTr="00C51B15">
        <w:trPr>
          <w:jc w:val="center"/>
        </w:trPr>
        <w:tc>
          <w:tcPr>
            <w:tcW w:w="427"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7</w:t>
            </w:r>
          </w:p>
        </w:tc>
        <w:tc>
          <w:tcPr>
            <w:tcW w:w="2891"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hint="eastAsia"/>
                <w:bCs/>
                <w:szCs w:val="21"/>
              </w:rPr>
              <w:t>恒生前海恒扬纯债债券型</w:t>
            </w:r>
            <w:r w:rsidRPr="00C51B15">
              <w:rPr>
                <w:bCs/>
                <w:szCs w:val="21"/>
              </w:rPr>
              <w:t>证券投资基金</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864"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r w:rsidR="00C51B15" w:rsidRPr="00A2571F" w:rsidTr="00C51B15">
        <w:trPr>
          <w:jc w:val="center"/>
        </w:trPr>
        <w:tc>
          <w:tcPr>
            <w:tcW w:w="427"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8</w:t>
            </w:r>
          </w:p>
        </w:tc>
        <w:tc>
          <w:tcPr>
            <w:tcW w:w="2891"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hint="eastAsia"/>
                <w:bCs/>
                <w:szCs w:val="21"/>
              </w:rPr>
              <w:t>恒生前海短债债券型发起式</w:t>
            </w:r>
            <w:r w:rsidRPr="00C51B15">
              <w:rPr>
                <w:bCs/>
                <w:szCs w:val="21"/>
              </w:rPr>
              <w:t>证券投资基金</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864"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r w:rsidR="00C51B15" w:rsidRPr="00A2571F" w:rsidTr="00C51B15">
        <w:trPr>
          <w:jc w:val="center"/>
        </w:trPr>
        <w:tc>
          <w:tcPr>
            <w:tcW w:w="427"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ascii="宋体" w:eastAsia="宋体" w:cs="宋体" w:hint="eastAsia"/>
                <w:kern w:val="0"/>
                <w:szCs w:val="21"/>
              </w:rPr>
              <w:t>9</w:t>
            </w:r>
          </w:p>
        </w:tc>
        <w:tc>
          <w:tcPr>
            <w:tcW w:w="2891" w:type="dxa"/>
          </w:tcPr>
          <w:p w:rsidR="00C51B15" w:rsidRPr="00C51B15" w:rsidRDefault="00C51B15" w:rsidP="00C51B15">
            <w:pPr>
              <w:autoSpaceDE w:val="0"/>
              <w:autoSpaceDN w:val="0"/>
              <w:adjustRightInd w:val="0"/>
              <w:snapToGrid w:val="0"/>
              <w:rPr>
                <w:rFonts w:ascii="宋体" w:eastAsia="宋体" w:cs="宋体"/>
                <w:kern w:val="0"/>
                <w:szCs w:val="21"/>
              </w:rPr>
            </w:pPr>
            <w:r w:rsidRPr="00C51B15">
              <w:rPr>
                <w:rFonts w:hint="eastAsia"/>
                <w:bCs/>
                <w:szCs w:val="21"/>
              </w:rPr>
              <w:t>恒生前海恒颐五年定期开放债券型</w:t>
            </w:r>
            <w:r w:rsidRPr="00C51B15">
              <w:rPr>
                <w:bCs/>
                <w:szCs w:val="21"/>
              </w:rPr>
              <w:t>证券投资基金</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是</w:t>
            </w:r>
          </w:p>
        </w:tc>
        <w:tc>
          <w:tcPr>
            <w:tcW w:w="1659"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c>
          <w:tcPr>
            <w:tcW w:w="1864" w:type="dxa"/>
          </w:tcPr>
          <w:p w:rsidR="00C51B15" w:rsidRPr="00C51B15" w:rsidRDefault="00C51B15" w:rsidP="00C51B15">
            <w:pPr>
              <w:autoSpaceDE w:val="0"/>
              <w:autoSpaceDN w:val="0"/>
              <w:adjustRightInd w:val="0"/>
              <w:snapToGrid w:val="0"/>
              <w:jc w:val="center"/>
              <w:rPr>
                <w:rFonts w:ascii="宋体" w:eastAsia="宋体" w:cs="宋体"/>
                <w:kern w:val="0"/>
                <w:szCs w:val="21"/>
              </w:rPr>
            </w:pPr>
            <w:r>
              <w:rPr>
                <w:rFonts w:ascii="宋体" w:eastAsia="宋体" w:cs="宋体" w:hint="eastAsia"/>
                <w:kern w:val="0"/>
                <w:szCs w:val="21"/>
              </w:rPr>
              <w:t>否</w:t>
            </w:r>
          </w:p>
        </w:tc>
      </w:tr>
    </w:tbl>
    <w:bookmarkEnd w:id="2"/>
    <w:bookmarkEnd w:id="3"/>
    <w:p w:rsidR="00260B4E" w:rsidRPr="001527F4" w:rsidRDefault="00260B4E" w:rsidP="00BA3D5E">
      <w:pPr>
        <w:autoSpaceDE w:val="0"/>
        <w:autoSpaceDN w:val="0"/>
        <w:adjustRightInd w:val="0"/>
        <w:snapToGrid w:val="0"/>
        <w:spacing w:line="360" w:lineRule="auto"/>
        <w:ind w:firstLineChars="200" w:firstLine="480"/>
        <w:jc w:val="left"/>
        <w:rPr>
          <w:rFonts w:asciiTheme="majorEastAsia" w:eastAsiaTheme="majorEastAsia" w:hAnsiTheme="majorEastAsia" w:cs="SimSun,Bold"/>
          <w:bCs/>
          <w:kern w:val="0"/>
          <w:sz w:val="24"/>
          <w:szCs w:val="24"/>
        </w:rPr>
      </w:pPr>
      <w:r w:rsidRPr="001527F4">
        <w:rPr>
          <w:rFonts w:asciiTheme="majorEastAsia" w:eastAsiaTheme="majorEastAsia" w:hAnsiTheme="majorEastAsia" w:cs="SimSun,Bold" w:hint="eastAsia"/>
          <w:bCs/>
          <w:kern w:val="0"/>
          <w:sz w:val="24"/>
          <w:szCs w:val="24"/>
        </w:rPr>
        <w:lastRenderedPageBreak/>
        <w:t>二、基金合同和托管协议修订内容</w:t>
      </w:r>
    </w:p>
    <w:p w:rsidR="00A2571F" w:rsidRPr="00260B4E" w:rsidRDefault="00260B4E" w:rsidP="00BA3D5E">
      <w:pPr>
        <w:autoSpaceDE w:val="0"/>
        <w:autoSpaceDN w:val="0"/>
        <w:adjustRightInd w:val="0"/>
        <w:snapToGrid w:val="0"/>
        <w:spacing w:line="360" w:lineRule="auto"/>
        <w:ind w:firstLineChars="200" w:firstLine="480"/>
        <w:rPr>
          <w:rFonts w:asciiTheme="majorEastAsia" w:eastAsiaTheme="majorEastAsia" w:hAnsiTheme="majorEastAsia" w:cs="宋体"/>
          <w:kern w:val="0"/>
          <w:sz w:val="24"/>
          <w:szCs w:val="24"/>
        </w:rPr>
      </w:pPr>
      <w:r w:rsidRPr="00260B4E">
        <w:rPr>
          <w:rFonts w:asciiTheme="majorEastAsia" w:eastAsiaTheme="majorEastAsia" w:hAnsiTheme="majorEastAsia" w:cs="TimesNewRomanPSMT"/>
          <w:kern w:val="0"/>
          <w:sz w:val="24"/>
          <w:szCs w:val="24"/>
        </w:rPr>
        <w:t>1</w:t>
      </w:r>
      <w:r w:rsidRPr="00260B4E">
        <w:rPr>
          <w:rFonts w:asciiTheme="majorEastAsia" w:eastAsiaTheme="majorEastAsia" w:hAnsiTheme="majorEastAsia" w:cs="TimesNewRomanPSMT" w:hint="eastAsia"/>
          <w:kern w:val="0"/>
          <w:sz w:val="24"/>
          <w:szCs w:val="24"/>
        </w:rPr>
        <w:t>、</w:t>
      </w:r>
      <w:r w:rsidRPr="00260B4E">
        <w:rPr>
          <w:rFonts w:asciiTheme="majorEastAsia" w:eastAsiaTheme="majorEastAsia" w:hAnsiTheme="majorEastAsia" w:cs="宋体" w:hint="eastAsia"/>
          <w:kern w:val="0"/>
          <w:sz w:val="24"/>
          <w:szCs w:val="24"/>
        </w:rPr>
        <w:t>根据《侧袋机制指引》修订基金合同</w:t>
      </w:r>
    </w:p>
    <w:p w:rsidR="00260B4E" w:rsidRPr="00260B4E" w:rsidRDefault="00260B4E" w:rsidP="00BA3D5E">
      <w:pPr>
        <w:snapToGrid w:val="0"/>
        <w:spacing w:line="360" w:lineRule="auto"/>
        <w:ind w:firstLineChars="200" w:firstLine="480"/>
        <w:rPr>
          <w:rFonts w:asciiTheme="majorEastAsia" w:eastAsiaTheme="majorEastAsia" w:hAnsiTheme="majorEastAsia" w:cs="TimesNewRomanPSMT"/>
          <w:kern w:val="0"/>
          <w:sz w:val="24"/>
          <w:szCs w:val="24"/>
        </w:rPr>
      </w:pPr>
      <w:r w:rsidRPr="00260B4E">
        <w:rPr>
          <w:rFonts w:asciiTheme="majorEastAsia" w:eastAsiaTheme="majorEastAsia" w:hAnsiTheme="majorEastAsia" w:cs="宋体" w:hint="eastAsia"/>
          <w:kern w:val="0"/>
          <w:sz w:val="24"/>
          <w:szCs w:val="24"/>
        </w:rPr>
        <w:t>（</w:t>
      </w:r>
      <w:r w:rsidRPr="00260B4E">
        <w:rPr>
          <w:rFonts w:asciiTheme="majorEastAsia" w:eastAsiaTheme="majorEastAsia" w:hAnsiTheme="majorEastAsia" w:cs="TimesNewRomanPSMT"/>
          <w:kern w:val="0"/>
          <w:sz w:val="24"/>
          <w:szCs w:val="24"/>
        </w:rPr>
        <w:t>1</w:t>
      </w:r>
      <w:r w:rsidRPr="00260B4E">
        <w:rPr>
          <w:rFonts w:asciiTheme="majorEastAsia" w:eastAsiaTheme="majorEastAsia" w:hAnsiTheme="majorEastAsia" w:cs="宋体" w:hint="eastAsia"/>
          <w:kern w:val="0"/>
          <w:sz w:val="24"/>
          <w:szCs w:val="24"/>
        </w:rPr>
        <w:t>）“释义”章节增加相关表述：“</w:t>
      </w:r>
      <w:r w:rsidRPr="00260B4E">
        <w:rPr>
          <w:rFonts w:asciiTheme="majorEastAsia" w:eastAsiaTheme="majorEastAsia" w:hAnsiTheme="majorEastAsia"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260B4E">
        <w:rPr>
          <w:rFonts w:asciiTheme="majorEastAsia" w:eastAsiaTheme="majorEastAsia" w:hAnsiTheme="majorEastAsia" w:cs="宋体" w:hint="eastAsia"/>
          <w:kern w:val="0"/>
          <w:sz w:val="24"/>
          <w:szCs w:val="24"/>
        </w:rPr>
        <w:t>”、“</w:t>
      </w:r>
      <w:r w:rsidRPr="00260B4E">
        <w:rPr>
          <w:rFonts w:asciiTheme="majorEastAsia" w:eastAsiaTheme="majorEastAsia" w:hAnsiTheme="majorEastAsia" w:hint="eastAsia"/>
          <w:sz w:val="24"/>
        </w:rPr>
        <w:t>特定资产：包括：（一）无可参考的活跃市场价格且采用估值技术仍导致公允价值存在重大不确定性的资产；（二）按摊余成本计量且计提资产减值准备仍导致资产价值存在重大不确</w:t>
      </w:r>
      <w:r w:rsidRPr="00260B4E">
        <w:rPr>
          <w:rFonts w:asciiTheme="majorEastAsia" w:eastAsiaTheme="majorEastAsia" w:hAnsiTheme="majorEastAsia" w:cs="TimesNewRomanPSMT" w:hint="eastAsia"/>
          <w:kern w:val="0"/>
          <w:sz w:val="24"/>
          <w:szCs w:val="24"/>
        </w:rPr>
        <w:t>定性的资产；（三）其他资产价值存在重大不确定性的资产”</w:t>
      </w:r>
    </w:p>
    <w:p w:rsidR="00260B4E" w:rsidRPr="00260B4E" w:rsidRDefault="00260B4E" w:rsidP="00BA3D5E">
      <w:pPr>
        <w:snapToGrid w:val="0"/>
        <w:spacing w:line="360" w:lineRule="auto"/>
        <w:ind w:firstLineChars="200" w:firstLine="480"/>
        <w:rPr>
          <w:rFonts w:asciiTheme="majorEastAsia" w:eastAsiaTheme="majorEastAsia" w:hAnsiTheme="majorEastAsia" w:cs="TimesNewRomanPSMT"/>
          <w:kern w:val="0"/>
          <w:sz w:val="24"/>
          <w:szCs w:val="24"/>
        </w:rPr>
      </w:pPr>
      <w:r w:rsidRPr="00260B4E">
        <w:rPr>
          <w:rFonts w:asciiTheme="majorEastAsia" w:eastAsiaTheme="majorEastAsia" w:hAnsiTheme="majorEastAsia" w:cs="TimesNewRomanPSMT" w:hint="eastAsia"/>
          <w:kern w:val="0"/>
          <w:sz w:val="24"/>
          <w:szCs w:val="24"/>
        </w:rPr>
        <w:t>（</w:t>
      </w:r>
      <w:r w:rsidRPr="00260B4E">
        <w:rPr>
          <w:rFonts w:asciiTheme="majorEastAsia" w:eastAsiaTheme="majorEastAsia" w:hAnsiTheme="majorEastAsia" w:cs="TimesNewRomanPSMT"/>
          <w:kern w:val="0"/>
          <w:sz w:val="24"/>
          <w:szCs w:val="24"/>
        </w:rPr>
        <w:t>2</w:t>
      </w:r>
      <w:r w:rsidRPr="00260B4E">
        <w:rPr>
          <w:rFonts w:asciiTheme="majorEastAsia" w:eastAsiaTheme="majorEastAsia" w:hAnsiTheme="majorEastAsia" w:cs="TimesNewRomanPSMT" w:hint="eastAsia"/>
          <w:kern w:val="0"/>
          <w:sz w:val="24"/>
          <w:szCs w:val="24"/>
        </w:rPr>
        <w:t>）“基金份额的申购与赎回”章节增加实施侧袋机制期间本基金的申购与赎回安排：“本基金实施侧袋机制的，本基金的申购和赎回安排详见招募说明书或相关公告。”</w:t>
      </w:r>
    </w:p>
    <w:p w:rsidR="00260B4E" w:rsidRPr="00260B4E" w:rsidRDefault="00260B4E" w:rsidP="00BA3D5E">
      <w:pPr>
        <w:autoSpaceDE w:val="0"/>
        <w:autoSpaceDN w:val="0"/>
        <w:adjustRightInd w:val="0"/>
        <w:snapToGrid w:val="0"/>
        <w:spacing w:line="360" w:lineRule="auto"/>
        <w:ind w:firstLineChars="200" w:firstLine="480"/>
        <w:rPr>
          <w:rFonts w:ascii="宋体" w:eastAsia="宋体" w:cs="宋体"/>
          <w:kern w:val="0"/>
          <w:sz w:val="24"/>
          <w:szCs w:val="24"/>
        </w:rPr>
      </w:pPr>
      <w:r w:rsidRPr="00260B4E">
        <w:rPr>
          <w:rFonts w:asciiTheme="majorEastAsia" w:eastAsiaTheme="majorEastAsia" w:hAnsiTheme="majorEastAsia" w:cs="TimesNewRomanPSMT" w:hint="eastAsia"/>
          <w:kern w:val="0"/>
          <w:sz w:val="24"/>
          <w:szCs w:val="24"/>
        </w:rPr>
        <w:t>（</w:t>
      </w:r>
      <w:r w:rsidRPr="00260B4E">
        <w:rPr>
          <w:rFonts w:asciiTheme="majorEastAsia" w:eastAsiaTheme="majorEastAsia" w:hAnsiTheme="majorEastAsia" w:cs="TimesNewRomanPSMT"/>
          <w:kern w:val="0"/>
          <w:sz w:val="24"/>
          <w:szCs w:val="24"/>
        </w:rPr>
        <w:t>3</w:t>
      </w:r>
      <w:r w:rsidRPr="00260B4E">
        <w:rPr>
          <w:rFonts w:asciiTheme="majorEastAsia" w:eastAsiaTheme="majorEastAsia" w:hAnsiTheme="majorEastAsia" w:cs="TimesNewRomanPSMT" w:hint="eastAsia"/>
          <w:kern w:val="0"/>
          <w:sz w:val="24"/>
          <w:szCs w:val="24"/>
        </w:rPr>
        <w:t>）</w:t>
      </w:r>
      <w:r>
        <w:rPr>
          <w:rFonts w:ascii="宋体" w:eastAsia="宋体" w:cs="宋体" w:hint="eastAsia"/>
          <w:kern w:val="0"/>
          <w:sz w:val="24"/>
          <w:szCs w:val="24"/>
        </w:rPr>
        <w:t>“基金份额持有人大会”章节增加实施侧袋机制期间基金份额持有人大会的特殊约定：“</w:t>
      </w:r>
      <w:r w:rsidRPr="00094EFC">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Pr="00094EFC">
        <w:rPr>
          <w:rFonts w:hint="eastAsia"/>
          <w:sz w:val="24"/>
        </w:rPr>
        <w:t>1</w:t>
      </w:r>
      <w:r w:rsidRPr="00094EFC">
        <w:rPr>
          <w:rFonts w:hint="eastAsia"/>
          <w:sz w:val="24"/>
        </w:rPr>
        <w:t>、基金份额持有人行使提议权、召集权、提名权所需单独或合计代表相关基金份额</w:t>
      </w:r>
      <w:r w:rsidRPr="00094EFC">
        <w:rPr>
          <w:rFonts w:hint="eastAsia"/>
          <w:sz w:val="24"/>
        </w:rPr>
        <w:t>10%</w:t>
      </w:r>
      <w:r w:rsidRPr="00094EFC">
        <w:rPr>
          <w:rFonts w:hint="eastAsia"/>
          <w:sz w:val="24"/>
        </w:rPr>
        <w:t>以上（含</w:t>
      </w:r>
      <w:r w:rsidRPr="00094EFC">
        <w:rPr>
          <w:rFonts w:hint="eastAsia"/>
          <w:sz w:val="24"/>
        </w:rPr>
        <w:t>10%</w:t>
      </w:r>
      <w:r w:rsidRPr="00094EFC">
        <w:rPr>
          <w:rFonts w:hint="eastAsia"/>
          <w:sz w:val="24"/>
        </w:rPr>
        <w:t>）；</w:t>
      </w:r>
      <w:r w:rsidRPr="00094EFC">
        <w:rPr>
          <w:rFonts w:hint="eastAsia"/>
          <w:sz w:val="24"/>
        </w:rPr>
        <w:t>2</w:t>
      </w:r>
      <w:r w:rsidRPr="00094EFC">
        <w:rPr>
          <w:rFonts w:hint="eastAsia"/>
          <w:sz w:val="24"/>
        </w:rPr>
        <w:t>、现场开会的到会者在权益登记日代表的基金份额不少于本基金在权益登记日相关基金份额的二分之一（含二分之一）；</w:t>
      </w:r>
      <w:r w:rsidRPr="00094EFC">
        <w:rPr>
          <w:rFonts w:hint="eastAsia"/>
          <w:sz w:val="24"/>
        </w:rPr>
        <w:t>3</w:t>
      </w:r>
      <w:r w:rsidRPr="00094EFC">
        <w:rPr>
          <w:rFonts w:hint="eastAsia"/>
          <w:sz w:val="24"/>
        </w:rPr>
        <w:t>、通讯开会的直接出具</w:t>
      </w:r>
      <w:r>
        <w:rPr>
          <w:rFonts w:hint="eastAsia"/>
          <w:sz w:val="24"/>
        </w:rPr>
        <w:t>表决</w:t>
      </w:r>
      <w:r w:rsidRPr="00094EFC">
        <w:rPr>
          <w:rFonts w:hint="eastAsia"/>
          <w:sz w:val="24"/>
        </w:rPr>
        <w:t>意见或授权他人代表出具</w:t>
      </w:r>
      <w:r>
        <w:rPr>
          <w:rFonts w:hint="eastAsia"/>
          <w:sz w:val="24"/>
        </w:rPr>
        <w:t>表决</w:t>
      </w:r>
      <w:r w:rsidRPr="00094EFC">
        <w:rPr>
          <w:rFonts w:hint="eastAsia"/>
          <w:sz w:val="24"/>
        </w:rPr>
        <w:t>意见的基金份额持有人所持有的基金份额不小于在权益登记日相关基金份额的二分之一（含二分之一）；</w:t>
      </w:r>
      <w:r w:rsidRPr="00094EFC">
        <w:rPr>
          <w:rFonts w:hint="eastAsia"/>
          <w:sz w:val="24"/>
        </w:rPr>
        <w:t>4</w:t>
      </w:r>
      <w:r w:rsidRPr="00094EFC">
        <w:rPr>
          <w:rFonts w:hint="eastAsia"/>
          <w:sz w:val="24"/>
        </w:rPr>
        <w:t>、在参与基金份额持有人大会投票的基金份额持有人所持有的基金份额小于在权益登记日相关基金份额的二分之一、召集人在原公告的基金份额持有人大会召开时间的</w:t>
      </w:r>
      <w:r w:rsidRPr="00094EFC">
        <w:rPr>
          <w:rFonts w:hint="eastAsia"/>
          <w:sz w:val="24"/>
        </w:rPr>
        <w:t>3</w:t>
      </w:r>
      <w:r w:rsidRPr="00094EFC">
        <w:rPr>
          <w:rFonts w:hint="eastAsia"/>
          <w:sz w:val="24"/>
        </w:rPr>
        <w:t>个月以后、</w:t>
      </w:r>
      <w:r w:rsidRPr="00094EFC">
        <w:rPr>
          <w:rFonts w:hint="eastAsia"/>
          <w:sz w:val="24"/>
        </w:rPr>
        <w:t>6</w:t>
      </w:r>
      <w:r w:rsidRPr="00094EFC">
        <w:rPr>
          <w:rFonts w:hint="eastAsia"/>
          <w:sz w:val="24"/>
        </w:rPr>
        <w:t>个月以内就原定审议事项重新召集的基金份额持有人大会应当有代表三分之一以上（含三分之一）相关基金份额的持有人参与或授权他人参与基金份额持有人大会投票；</w:t>
      </w:r>
      <w:r w:rsidRPr="00094EFC">
        <w:rPr>
          <w:rFonts w:hint="eastAsia"/>
          <w:sz w:val="24"/>
        </w:rPr>
        <w:t>5</w:t>
      </w:r>
      <w:r w:rsidRPr="00094EFC">
        <w:rPr>
          <w:rFonts w:hint="eastAsia"/>
          <w:sz w:val="24"/>
        </w:rPr>
        <w:t>、现场开会由出席大会的基金份额持有人和代理人所持表决权的</w:t>
      </w:r>
      <w:r w:rsidRPr="00094EFC">
        <w:rPr>
          <w:rFonts w:hint="eastAsia"/>
          <w:sz w:val="24"/>
        </w:rPr>
        <w:t>50%</w:t>
      </w:r>
      <w:r w:rsidRPr="00094EFC">
        <w:rPr>
          <w:rFonts w:hint="eastAsia"/>
          <w:sz w:val="24"/>
        </w:rPr>
        <w:t>以上（含</w:t>
      </w:r>
      <w:r w:rsidRPr="00094EFC">
        <w:rPr>
          <w:rFonts w:hint="eastAsia"/>
          <w:sz w:val="24"/>
        </w:rPr>
        <w:t>50%</w:t>
      </w:r>
      <w:r w:rsidRPr="00094EFC">
        <w:rPr>
          <w:rFonts w:hint="eastAsia"/>
          <w:sz w:val="24"/>
        </w:rPr>
        <w:t>）选举产生一名基金份额持有人作为该次基金份额持有人大会的主持人；</w:t>
      </w:r>
      <w:r w:rsidRPr="00094EFC">
        <w:rPr>
          <w:rFonts w:hint="eastAsia"/>
          <w:sz w:val="24"/>
        </w:rPr>
        <w:t>6</w:t>
      </w:r>
      <w:r w:rsidRPr="00094EFC">
        <w:rPr>
          <w:rFonts w:hint="eastAsia"/>
          <w:sz w:val="24"/>
        </w:rPr>
        <w:t>、一般决议须经参加大会的基金份额持有人或其代理人所持表决权的二分之一以上（含二分之一）通过；</w:t>
      </w:r>
      <w:r w:rsidRPr="00094EFC">
        <w:rPr>
          <w:rFonts w:hint="eastAsia"/>
          <w:sz w:val="24"/>
        </w:rPr>
        <w:t>7</w:t>
      </w:r>
      <w:r w:rsidRPr="00094EFC">
        <w:rPr>
          <w:rFonts w:hint="eastAsia"/>
          <w:sz w:val="24"/>
        </w:rPr>
        <w:t>、特别决议应当经参加大会的基金份额持有</w:t>
      </w:r>
      <w:r w:rsidRPr="00094EFC">
        <w:rPr>
          <w:rFonts w:hint="eastAsia"/>
          <w:sz w:val="24"/>
        </w:rPr>
        <w:lastRenderedPageBreak/>
        <w:t>人或其代理人所持表决权的三分之二以上（含三分之二）通过。同一主侧袋账户内的每份基金份额具有平等的表决权。</w:t>
      </w:r>
      <w:r>
        <w:rPr>
          <w:rFonts w:hint="eastAsia"/>
          <w:sz w:val="24"/>
        </w:rPr>
        <w:t>”</w:t>
      </w:r>
    </w:p>
    <w:p w:rsidR="00260B4E" w:rsidRPr="00260B4E" w:rsidRDefault="00260B4E" w:rsidP="00BA3D5E">
      <w:pPr>
        <w:snapToGrid w:val="0"/>
        <w:spacing w:line="360" w:lineRule="auto"/>
        <w:ind w:firstLineChars="200" w:firstLine="480"/>
        <w:rPr>
          <w:rFonts w:asciiTheme="majorEastAsia" w:eastAsiaTheme="majorEastAsia" w:hAnsiTheme="majorEastAsia" w:cs="TimesNewRomanPSMT"/>
          <w:kern w:val="0"/>
          <w:sz w:val="24"/>
          <w:szCs w:val="24"/>
        </w:rPr>
      </w:pPr>
      <w:r w:rsidRPr="00260B4E">
        <w:rPr>
          <w:rFonts w:asciiTheme="majorEastAsia" w:eastAsiaTheme="majorEastAsia" w:hAnsiTheme="majorEastAsia" w:cs="TimesNewRomanPSMT" w:hint="eastAsia"/>
          <w:kern w:val="0"/>
          <w:sz w:val="24"/>
          <w:szCs w:val="24"/>
        </w:rPr>
        <w:t>（</w:t>
      </w:r>
      <w:r w:rsidRPr="00260B4E">
        <w:rPr>
          <w:rFonts w:asciiTheme="majorEastAsia" w:eastAsiaTheme="majorEastAsia" w:hAnsiTheme="majorEastAsia" w:cs="TimesNewRomanPSMT"/>
          <w:kern w:val="0"/>
          <w:sz w:val="24"/>
          <w:szCs w:val="24"/>
        </w:rPr>
        <w:t>4</w:t>
      </w:r>
      <w:r w:rsidRPr="00260B4E">
        <w:rPr>
          <w:rFonts w:asciiTheme="majorEastAsia" w:eastAsiaTheme="majorEastAsia" w:hAnsiTheme="majorEastAsia" w:cs="TimesNewRomanPSMT" w:hint="eastAsia"/>
          <w:kern w:val="0"/>
          <w:sz w:val="24"/>
          <w:szCs w:val="24"/>
        </w:rPr>
        <w:t>）</w:t>
      </w:r>
      <w:r>
        <w:rPr>
          <w:rFonts w:ascii="宋体" w:eastAsia="宋体" w:cs="宋体" w:hint="eastAsia"/>
          <w:kern w:val="0"/>
          <w:sz w:val="24"/>
          <w:szCs w:val="24"/>
        </w:rPr>
        <w:t>“基金的投资”章节增加侧袋机制的实施和投资运作安排：“</w:t>
      </w:r>
      <w:r w:rsidRPr="00094EFC">
        <w:rPr>
          <w:rFonts w:hint="eastAsia"/>
          <w:sz w:val="24"/>
        </w:rPr>
        <w:t>当基金持有特定资产且存在或潜在</w:t>
      </w:r>
      <w:r>
        <w:rPr>
          <w:rFonts w:hint="eastAsia"/>
          <w:sz w:val="24"/>
        </w:rPr>
        <w:t>大额</w:t>
      </w:r>
      <w:r w:rsidRPr="00094EFC">
        <w:rPr>
          <w:rFonts w:hint="eastAsia"/>
          <w:sz w:val="24"/>
        </w:rPr>
        <w:t>赎回申请时，根据最大限度保护基金份额持有人利益的原则，基金管理人经与基金托管人协商一致，并咨询会计师事务所意见后，可以依照法律法规及基金合同的约定启用侧袋机制。侧袋机制实施期间，本部分约定的投资组合比例、投资策略、组合限制、业绩比较基准、风险收益特征等约定仅适用于主袋账户。侧袋账户的实施条件、实施程序、运作安排、投资安排、特定资产的处置变现和支付等对投资者权益有重大影响的事项详见招募说明书</w:t>
      </w:r>
      <w:r w:rsidRPr="00260B4E">
        <w:rPr>
          <w:rFonts w:asciiTheme="majorEastAsia" w:eastAsiaTheme="majorEastAsia" w:hAnsiTheme="majorEastAsia" w:cs="TimesNewRomanPSMT" w:hint="eastAsia"/>
          <w:kern w:val="0"/>
          <w:sz w:val="24"/>
          <w:szCs w:val="24"/>
        </w:rPr>
        <w:t>的规定。”</w:t>
      </w:r>
    </w:p>
    <w:p w:rsidR="00260B4E" w:rsidRPr="00930A80" w:rsidRDefault="00260B4E" w:rsidP="00BA3D5E">
      <w:pPr>
        <w:snapToGrid w:val="0"/>
        <w:spacing w:line="360" w:lineRule="auto"/>
        <w:ind w:firstLineChars="200" w:firstLine="480"/>
        <w:rPr>
          <w:sz w:val="24"/>
        </w:rPr>
      </w:pPr>
      <w:r w:rsidRPr="00260B4E">
        <w:rPr>
          <w:rFonts w:asciiTheme="majorEastAsia" w:eastAsiaTheme="majorEastAsia" w:hAnsiTheme="majorEastAsia" w:cs="TimesNewRomanPSMT" w:hint="eastAsia"/>
          <w:kern w:val="0"/>
          <w:sz w:val="24"/>
          <w:szCs w:val="24"/>
        </w:rPr>
        <w:t>（</w:t>
      </w:r>
      <w:r w:rsidRPr="00260B4E">
        <w:rPr>
          <w:rFonts w:asciiTheme="majorEastAsia" w:eastAsiaTheme="majorEastAsia" w:hAnsiTheme="majorEastAsia" w:cs="TimesNewRomanPSMT"/>
          <w:kern w:val="0"/>
          <w:sz w:val="24"/>
          <w:szCs w:val="24"/>
        </w:rPr>
        <w:t>5</w:t>
      </w:r>
      <w:r w:rsidRPr="00260B4E">
        <w:rPr>
          <w:rFonts w:asciiTheme="majorEastAsia" w:eastAsiaTheme="majorEastAsia" w:hAnsiTheme="majorEastAsia" w:cs="TimesNewRomanPSMT" w:hint="eastAsia"/>
          <w:kern w:val="0"/>
          <w:sz w:val="24"/>
          <w:szCs w:val="24"/>
        </w:rPr>
        <w:t>）“基金资产估值”章节将暂停估值情形中的“</w:t>
      </w:r>
      <w:r w:rsidR="00930A80">
        <w:rPr>
          <w:bCs/>
          <w:sz w:val="24"/>
        </w:rPr>
        <w:t>当前一估值日基金资产净值</w:t>
      </w:r>
      <w:r w:rsidR="00930A80">
        <w:rPr>
          <w:bCs/>
          <w:sz w:val="24"/>
        </w:rPr>
        <w:t>50%</w:t>
      </w:r>
      <w:r w:rsidR="00930A80">
        <w:rPr>
          <w:bCs/>
          <w:sz w:val="24"/>
        </w:rPr>
        <w:t>以上的资产出现无可参考的活跃市场价格且采用估值技术仍导致公允价值存在重大不确定性时，经与基金托管人协商确认后，基金管理人应当暂停估</w:t>
      </w:r>
      <w:r w:rsidR="00930A80" w:rsidRPr="00930A80">
        <w:rPr>
          <w:sz w:val="24"/>
        </w:rPr>
        <w:t>值</w:t>
      </w:r>
      <w:r w:rsidRPr="00930A80">
        <w:rPr>
          <w:rFonts w:hint="eastAsia"/>
          <w:sz w:val="24"/>
        </w:rPr>
        <w:t>”调整为“</w:t>
      </w:r>
      <w:r w:rsidR="00930A80" w:rsidRPr="00094EFC">
        <w:rPr>
          <w:rFonts w:hint="eastAsia"/>
          <w:sz w:val="24"/>
        </w:rPr>
        <w:t>当特定资产占前一估值日基金资产净值</w:t>
      </w:r>
      <w:r w:rsidR="00930A80" w:rsidRPr="00094EFC">
        <w:rPr>
          <w:rFonts w:hint="eastAsia"/>
          <w:sz w:val="24"/>
        </w:rPr>
        <w:t>50%</w:t>
      </w:r>
      <w:r w:rsidR="00930A80" w:rsidRPr="00094EFC">
        <w:rPr>
          <w:rFonts w:hint="eastAsia"/>
          <w:sz w:val="24"/>
        </w:rPr>
        <w:t>以上的，经与基金托管人协商确认后，基金管理人应当暂停估值</w:t>
      </w:r>
      <w:r w:rsidRPr="00930A80">
        <w:rPr>
          <w:rFonts w:hint="eastAsia"/>
          <w:sz w:val="24"/>
        </w:rPr>
        <w:t>”，并增加实施侧袋机制期间的基金资产估值表述：“</w:t>
      </w:r>
      <w:r w:rsidR="00930A80" w:rsidRPr="00094EFC">
        <w:rPr>
          <w:rFonts w:hint="eastAsia"/>
          <w:sz w:val="24"/>
        </w:rPr>
        <w:t>本基金实施侧袋机制的，应根据本部分的约定对主袋账户资产进行估值并披露主袋账户的基金净值</w:t>
      </w:r>
      <w:r w:rsidR="00930A80" w:rsidRPr="00F76F11">
        <w:rPr>
          <w:rFonts w:hint="eastAsia"/>
          <w:sz w:val="24"/>
        </w:rPr>
        <w:t>信息</w:t>
      </w:r>
      <w:r w:rsidR="00930A80" w:rsidRPr="00094EFC">
        <w:rPr>
          <w:rFonts w:hint="eastAsia"/>
          <w:sz w:val="24"/>
        </w:rPr>
        <w:t>，暂停披露侧袋账户</w:t>
      </w:r>
      <w:r w:rsidR="00930A80">
        <w:rPr>
          <w:rFonts w:hint="eastAsia"/>
          <w:sz w:val="24"/>
        </w:rPr>
        <w:t>的基金</w:t>
      </w:r>
      <w:r w:rsidR="00930A80" w:rsidRPr="00094EFC">
        <w:rPr>
          <w:rFonts w:hint="eastAsia"/>
          <w:sz w:val="24"/>
        </w:rPr>
        <w:t>份额净值。</w:t>
      </w:r>
      <w:r w:rsidRPr="00930A80">
        <w:rPr>
          <w:rFonts w:hint="eastAsia"/>
          <w:sz w:val="24"/>
        </w:rPr>
        <w:t>”</w:t>
      </w:r>
    </w:p>
    <w:p w:rsidR="00930A80" w:rsidRPr="00930A80" w:rsidRDefault="00930A80" w:rsidP="00BA3D5E">
      <w:pPr>
        <w:snapToGrid w:val="0"/>
        <w:spacing w:line="360" w:lineRule="auto"/>
        <w:ind w:firstLineChars="200" w:firstLine="480"/>
        <w:rPr>
          <w:sz w:val="24"/>
        </w:rPr>
      </w:pPr>
      <w:r w:rsidRPr="00930A80">
        <w:rPr>
          <w:rFonts w:hint="eastAsia"/>
          <w:sz w:val="24"/>
        </w:rPr>
        <w:t>（</w:t>
      </w:r>
      <w:r w:rsidRPr="00930A80">
        <w:rPr>
          <w:sz w:val="24"/>
        </w:rPr>
        <w:t>6</w:t>
      </w:r>
      <w:r w:rsidRPr="00930A80">
        <w:rPr>
          <w:rFonts w:hint="eastAsia"/>
          <w:sz w:val="24"/>
        </w:rPr>
        <w:t>）“基金费用与税收”章节增加实施侧袋机制期间的基金费用表述：“</w:t>
      </w:r>
      <w:r w:rsidRPr="00094EFC">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r w:rsidRPr="00930A80">
        <w:rPr>
          <w:rFonts w:hint="eastAsia"/>
          <w:sz w:val="24"/>
        </w:rPr>
        <w:t>”</w:t>
      </w:r>
    </w:p>
    <w:p w:rsidR="00930A80" w:rsidRPr="00930A80" w:rsidRDefault="00930A80" w:rsidP="00BA3D5E">
      <w:pPr>
        <w:snapToGrid w:val="0"/>
        <w:spacing w:line="360" w:lineRule="auto"/>
        <w:ind w:firstLineChars="225" w:firstLine="540"/>
        <w:rPr>
          <w:sz w:val="24"/>
        </w:rPr>
      </w:pPr>
      <w:r w:rsidRPr="00930A80">
        <w:rPr>
          <w:rFonts w:hint="eastAsia"/>
          <w:sz w:val="24"/>
        </w:rPr>
        <w:t>（</w:t>
      </w:r>
      <w:r w:rsidRPr="00930A80">
        <w:rPr>
          <w:sz w:val="24"/>
        </w:rPr>
        <w:t>7</w:t>
      </w:r>
      <w:r w:rsidRPr="00930A80">
        <w:rPr>
          <w:rFonts w:hint="eastAsia"/>
          <w:sz w:val="24"/>
        </w:rPr>
        <w:t>）“基金的收益与分配”章节增加实施侧袋机制期间的收益分配表述：“</w:t>
      </w:r>
      <w:r w:rsidRPr="00094EFC">
        <w:rPr>
          <w:rFonts w:hint="eastAsia"/>
          <w:sz w:val="24"/>
        </w:rPr>
        <w:t>本基金实施侧袋机制的，侧袋账户不进行收益分配，详见招募说明书的规定。</w:t>
      </w:r>
      <w:r w:rsidRPr="00930A80">
        <w:rPr>
          <w:rFonts w:hint="eastAsia"/>
          <w:sz w:val="24"/>
        </w:rPr>
        <w:t>”</w:t>
      </w:r>
    </w:p>
    <w:p w:rsidR="00930A80" w:rsidRDefault="00930A80" w:rsidP="00BA3D5E">
      <w:pPr>
        <w:snapToGrid w:val="0"/>
        <w:spacing w:line="360" w:lineRule="auto"/>
        <w:ind w:firstLineChars="200" w:firstLine="480"/>
        <w:rPr>
          <w:sz w:val="24"/>
        </w:rPr>
      </w:pPr>
      <w:r w:rsidRPr="00930A80">
        <w:rPr>
          <w:rFonts w:hint="eastAsia"/>
          <w:sz w:val="24"/>
        </w:rPr>
        <w:t>（</w:t>
      </w:r>
      <w:r w:rsidRPr="00930A80">
        <w:rPr>
          <w:sz w:val="24"/>
        </w:rPr>
        <w:t>8</w:t>
      </w:r>
      <w:r w:rsidRPr="00930A80">
        <w:rPr>
          <w:rFonts w:hint="eastAsia"/>
          <w:sz w:val="24"/>
        </w:rPr>
        <w:t>）“基金的信息披露”章节增加实施侧袋机制期间的信息披露表述：“</w:t>
      </w:r>
      <w:r w:rsidRPr="00094EFC">
        <w:rPr>
          <w:rFonts w:hint="eastAsia"/>
          <w:sz w:val="24"/>
        </w:rPr>
        <w:t>本基金实施侧袋机制的，相关信息披露义务人应当根据法律法规、基金合同和招募说明书的规定进行信息披露，详见招募说明书的规定。</w:t>
      </w:r>
      <w:r w:rsidRPr="00930A80">
        <w:rPr>
          <w:rFonts w:hint="eastAsia"/>
          <w:sz w:val="24"/>
        </w:rPr>
        <w:t>”</w:t>
      </w:r>
    </w:p>
    <w:p w:rsidR="00930A80" w:rsidRDefault="00930A80" w:rsidP="00BA3D5E">
      <w:pPr>
        <w:snapToGrid w:val="0"/>
        <w:spacing w:line="360" w:lineRule="auto"/>
        <w:ind w:firstLineChars="200" w:firstLine="480"/>
        <w:rPr>
          <w:sz w:val="24"/>
        </w:rPr>
      </w:pPr>
      <w:r w:rsidRPr="00930A80">
        <w:rPr>
          <w:sz w:val="24"/>
        </w:rPr>
        <w:t>2</w:t>
      </w:r>
      <w:r w:rsidRPr="00930A80">
        <w:rPr>
          <w:rFonts w:hint="eastAsia"/>
          <w:sz w:val="24"/>
        </w:rPr>
        <w:t>、根据《管理办法》修订基金合同</w:t>
      </w:r>
    </w:p>
    <w:p w:rsidR="00AD1753" w:rsidRDefault="00AD1753" w:rsidP="00BA3D5E">
      <w:pPr>
        <w:snapToGrid w:val="0"/>
        <w:spacing w:line="360" w:lineRule="auto"/>
        <w:ind w:firstLineChars="200" w:firstLine="480"/>
        <w:rPr>
          <w:rFonts w:ascii="宋体" w:eastAsia="宋体" w:cs="宋体"/>
          <w:kern w:val="0"/>
          <w:sz w:val="24"/>
          <w:szCs w:val="24"/>
        </w:rPr>
      </w:pPr>
      <w:r w:rsidRPr="009E0290">
        <w:rPr>
          <w:rFonts w:hint="eastAsia"/>
          <w:sz w:val="24"/>
        </w:rPr>
        <w:t>（</w:t>
      </w:r>
      <w:r>
        <w:rPr>
          <w:sz w:val="24"/>
        </w:rPr>
        <w:t>1</w:t>
      </w:r>
      <w:r w:rsidRPr="009E0290">
        <w:rPr>
          <w:rFonts w:hint="eastAsia"/>
          <w:sz w:val="24"/>
        </w:rPr>
        <w:t>）“</w:t>
      </w:r>
      <w:r>
        <w:rPr>
          <w:rFonts w:ascii="宋体" w:eastAsia="宋体" w:cs="宋体" w:hint="eastAsia"/>
          <w:kern w:val="0"/>
          <w:sz w:val="24"/>
          <w:szCs w:val="24"/>
        </w:rPr>
        <w:t>前言”增加了基金投资存托凭证的风险提示内容：“</w:t>
      </w:r>
      <w:r w:rsidRPr="00F04E7B">
        <w:rPr>
          <w:bCs/>
          <w:sz w:val="24"/>
        </w:rPr>
        <w:t>本基金的投资范围包括存托凭证，除与其他仅投资于沪深市场股票的基金所面临的共同风险外，本基金还将面临投资存托凭证的特殊风险，详见本基金招募说明书。</w:t>
      </w:r>
      <w:r>
        <w:rPr>
          <w:rFonts w:ascii="宋体" w:eastAsia="宋体" w:cs="宋体" w:hint="eastAsia"/>
          <w:kern w:val="0"/>
          <w:sz w:val="24"/>
          <w:szCs w:val="24"/>
        </w:rPr>
        <w:t>”</w:t>
      </w:r>
    </w:p>
    <w:p w:rsidR="00930A80" w:rsidRDefault="00930A80" w:rsidP="00BA3D5E">
      <w:pPr>
        <w:snapToGrid w:val="0"/>
        <w:spacing w:line="360" w:lineRule="auto"/>
        <w:ind w:firstLineChars="200" w:firstLine="480"/>
        <w:rPr>
          <w:sz w:val="24"/>
        </w:rPr>
      </w:pPr>
      <w:r w:rsidRPr="00522D5F">
        <w:rPr>
          <w:rFonts w:hint="eastAsia"/>
          <w:sz w:val="24"/>
        </w:rPr>
        <w:t>（</w:t>
      </w:r>
      <w:r w:rsidR="00AD1753">
        <w:rPr>
          <w:sz w:val="24"/>
        </w:rPr>
        <w:t>2</w:t>
      </w:r>
      <w:r w:rsidRPr="00522D5F">
        <w:rPr>
          <w:rFonts w:hint="eastAsia"/>
          <w:sz w:val="24"/>
        </w:rPr>
        <w:t>）“投资范围”部分明确了“股票”包含存托凭证，以恒生</w:t>
      </w:r>
      <w:r w:rsidRPr="00522D5F">
        <w:rPr>
          <w:sz w:val="24"/>
        </w:rPr>
        <w:t>前海沪港深</w:t>
      </w:r>
      <w:r w:rsidRPr="00522D5F">
        <w:rPr>
          <w:rFonts w:hint="eastAsia"/>
          <w:sz w:val="24"/>
        </w:rPr>
        <w:t>新兴产业精选</w:t>
      </w:r>
      <w:r w:rsidRPr="00522D5F">
        <w:rPr>
          <w:sz w:val="24"/>
        </w:rPr>
        <w:t>混合型证券投资基金</w:t>
      </w:r>
      <w:r w:rsidRPr="00522D5F">
        <w:rPr>
          <w:rFonts w:hint="eastAsia"/>
          <w:sz w:val="24"/>
        </w:rPr>
        <w:t>为例，投资范围修改为“</w:t>
      </w:r>
      <w:r w:rsidR="00522D5F" w:rsidRPr="00522D5F">
        <w:rPr>
          <w:sz w:val="24"/>
        </w:rPr>
        <w:t>国内依法发行上市的股票</w:t>
      </w:r>
      <w:r w:rsidR="00522D5F" w:rsidRPr="00522D5F">
        <w:rPr>
          <w:rFonts w:hint="eastAsia"/>
          <w:sz w:val="24"/>
        </w:rPr>
        <w:t>（包括主板</w:t>
      </w:r>
      <w:r w:rsidR="00522D5F" w:rsidRPr="00522D5F">
        <w:rPr>
          <w:sz w:val="24"/>
        </w:rPr>
        <w:t>、</w:t>
      </w:r>
      <w:r w:rsidR="00522D5F" w:rsidRPr="00522D5F">
        <w:rPr>
          <w:rFonts w:hint="eastAsia"/>
          <w:sz w:val="24"/>
        </w:rPr>
        <w:t>中小板、创业板及其他经中国证监会核准上市的股票、存托凭证）、港股通标的股票</w:t>
      </w:r>
      <w:r w:rsidR="00522D5F" w:rsidRPr="00522D5F">
        <w:rPr>
          <w:sz w:val="24"/>
        </w:rPr>
        <w:t>、债券</w:t>
      </w:r>
      <w:r w:rsidR="00522D5F" w:rsidRPr="00522D5F">
        <w:rPr>
          <w:rFonts w:hint="eastAsia"/>
          <w:sz w:val="24"/>
        </w:rPr>
        <w:t>（包括国内依法发行和上市交易的国债、央行票据、金融债券、企业债券、公司债券、中期票据、短期融资券、超短期融资券、次级债券、政府支持机构债券、政府支持债券、地方政府债券、可转换债券、</w:t>
      </w:r>
      <w:r w:rsidR="00522D5F" w:rsidRPr="00522D5F">
        <w:rPr>
          <w:sz w:val="24"/>
        </w:rPr>
        <w:t>可交换</w:t>
      </w:r>
      <w:r w:rsidR="00522D5F" w:rsidRPr="00522D5F">
        <w:rPr>
          <w:rFonts w:hint="eastAsia"/>
          <w:sz w:val="24"/>
        </w:rPr>
        <w:t>债、</w:t>
      </w:r>
      <w:r w:rsidR="00522D5F" w:rsidRPr="00522D5F">
        <w:rPr>
          <w:sz w:val="24"/>
        </w:rPr>
        <w:t>可分离交易可转债</w:t>
      </w:r>
      <w:r w:rsidR="00522D5F" w:rsidRPr="00522D5F">
        <w:rPr>
          <w:rFonts w:hint="eastAsia"/>
          <w:sz w:val="24"/>
        </w:rPr>
        <w:t>及其他经中国证监会允许投资的债券或票据）、资产支持证券、债券回购、银行存款、</w:t>
      </w:r>
      <w:r w:rsidR="00522D5F" w:rsidRPr="00522D5F">
        <w:rPr>
          <w:sz w:val="24"/>
        </w:rPr>
        <w:t>同业存单以及法律法规或中国证监会允许基金投资的其他金融工具</w:t>
      </w:r>
      <w:r w:rsidR="00522D5F" w:rsidRPr="00522D5F">
        <w:rPr>
          <w:sz w:val="24"/>
        </w:rPr>
        <w:t>(</w:t>
      </w:r>
      <w:r w:rsidR="00522D5F" w:rsidRPr="00522D5F">
        <w:rPr>
          <w:sz w:val="24"/>
        </w:rPr>
        <w:t>但须符合中国证监会相关规定</w:t>
      </w:r>
      <w:r w:rsidR="00522D5F" w:rsidRPr="00522D5F">
        <w:rPr>
          <w:sz w:val="24"/>
        </w:rPr>
        <w:t>)</w:t>
      </w:r>
      <w:r w:rsidR="00522D5F" w:rsidRPr="00522D5F">
        <w:rPr>
          <w:sz w:val="24"/>
        </w:rPr>
        <w:t>。</w:t>
      </w:r>
      <w:r w:rsidRPr="00522D5F">
        <w:rPr>
          <w:rFonts w:hint="eastAsia"/>
          <w:sz w:val="24"/>
        </w:rPr>
        <w:t>”</w:t>
      </w:r>
    </w:p>
    <w:p w:rsidR="00522D5F" w:rsidRPr="009E0290" w:rsidRDefault="00522D5F" w:rsidP="00BA3D5E">
      <w:pPr>
        <w:snapToGrid w:val="0"/>
        <w:spacing w:line="360" w:lineRule="auto"/>
        <w:ind w:firstLine="482"/>
        <w:rPr>
          <w:sz w:val="24"/>
        </w:rPr>
      </w:pPr>
      <w:r w:rsidRPr="009E0290">
        <w:rPr>
          <w:rFonts w:hint="eastAsia"/>
          <w:sz w:val="24"/>
        </w:rPr>
        <w:t>（</w:t>
      </w:r>
      <w:r w:rsidR="00AD1753">
        <w:rPr>
          <w:sz w:val="24"/>
        </w:rPr>
        <w:t>3</w:t>
      </w:r>
      <w:r w:rsidRPr="009E0290">
        <w:rPr>
          <w:rFonts w:hint="eastAsia"/>
          <w:sz w:val="24"/>
        </w:rPr>
        <w:t>）“投资策略”部分增加存托凭证投资策略</w:t>
      </w:r>
      <w:r w:rsidR="00AD1753" w:rsidRPr="00522D5F">
        <w:rPr>
          <w:rFonts w:hint="eastAsia"/>
          <w:sz w:val="24"/>
        </w:rPr>
        <w:t>，以恒生</w:t>
      </w:r>
      <w:r w:rsidR="00AD1753" w:rsidRPr="00522D5F">
        <w:rPr>
          <w:sz w:val="24"/>
        </w:rPr>
        <w:t>前海沪港深</w:t>
      </w:r>
      <w:r w:rsidR="00AD1753" w:rsidRPr="00522D5F">
        <w:rPr>
          <w:rFonts w:hint="eastAsia"/>
          <w:sz w:val="24"/>
        </w:rPr>
        <w:t>新兴产业精选</w:t>
      </w:r>
      <w:r w:rsidR="00AD1753" w:rsidRPr="00522D5F">
        <w:rPr>
          <w:sz w:val="24"/>
        </w:rPr>
        <w:t>混合型证券投资基金</w:t>
      </w:r>
      <w:r w:rsidR="00AD1753" w:rsidRPr="00522D5F">
        <w:rPr>
          <w:rFonts w:hint="eastAsia"/>
          <w:sz w:val="24"/>
        </w:rPr>
        <w:t>为例</w:t>
      </w:r>
      <w:r w:rsidRPr="009E0290">
        <w:rPr>
          <w:rFonts w:hint="eastAsia"/>
          <w:sz w:val="24"/>
        </w:rPr>
        <w:t>：“本基金将根据本基金的投资目标和股票投资策略，</w:t>
      </w:r>
      <w:r w:rsidRPr="009E0290">
        <w:rPr>
          <w:sz w:val="24"/>
        </w:rPr>
        <w:t>结合对宏观经济状况、行业景气度、公司竞争优势、公司治理结构、估值水平等因素的分析判断，进行存托凭证</w:t>
      </w:r>
      <w:r w:rsidRPr="009E0290">
        <w:rPr>
          <w:rFonts w:hint="eastAsia"/>
          <w:sz w:val="24"/>
        </w:rPr>
        <w:t>的</w:t>
      </w:r>
      <w:r w:rsidRPr="009E0290">
        <w:rPr>
          <w:sz w:val="24"/>
        </w:rPr>
        <w:t>投资。</w:t>
      </w:r>
      <w:r w:rsidRPr="009E0290">
        <w:rPr>
          <w:rFonts w:hint="eastAsia"/>
          <w:sz w:val="24"/>
        </w:rPr>
        <w:t>”</w:t>
      </w:r>
    </w:p>
    <w:p w:rsidR="00522D5F" w:rsidRPr="009E0290" w:rsidRDefault="00522D5F" w:rsidP="00BA3D5E">
      <w:pPr>
        <w:snapToGrid w:val="0"/>
        <w:spacing w:line="360" w:lineRule="auto"/>
        <w:ind w:firstLine="482"/>
        <w:rPr>
          <w:sz w:val="24"/>
        </w:rPr>
      </w:pPr>
      <w:r w:rsidRPr="009E0290">
        <w:rPr>
          <w:rFonts w:hint="eastAsia"/>
          <w:sz w:val="24"/>
        </w:rPr>
        <w:t>（</w:t>
      </w:r>
      <w:r w:rsidR="00AD1753">
        <w:rPr>
          <w:sz w:val="24"/>
        </w:rPr>
        <w:t>4</w:t>
      </w:r>
      <w:r w:rsidRPr="009E0290">
        <w:rPr>
          <w:rFonts w:hint="eastAsia"/>
          <w:sz w:val="24"/>
        </w:rPr>
        <w:t>）“投资限制”部分增加存托凭证投资限制：“</w:t>
      </w:r>
      <w:r w:rsidRPr="009E0290">
        <w:rPr>
          <w:sz w:val="24"/>
        </w:rPr>
        <w:t>本基金投资存托凭证的比例限制依照境内上市交易的股票执行，与境内上市交易的股票合并计算</w:t>
      </w:r>
      <w:r w:rsidRPr="009E0290">
        <w:rPr>
          <w:rFonts w:hint="eastAsia"/>
          <w:sz w:val="24"/>
        </w:rPr>
        <w:t>”。</w:t>
      </w:r>
    </w:p>
    <w:p w:rsidR="00522D5F" w:rsidRPr="009E0290" w:rsidRDefault="00522D5F" w:rsidP="00BA3D5E">
      <w:pPr>
        <w:snapToGrid w:val="0"/>
        <w:spacing w:line="360" w:lineRule="auto"/>
        <w:ind w:firstLineChars="200" w:firstLine="480"/>
        <w:rPr>
          <w:sz w:val="24"/>
        </w:rPr>
      </w:pPr>
      <w:r w:rsidRPr="009E0290">
        <w:rPr>
          <w:rFonts w:hint="eastAsia"/>
          <w:sz w:val="24"/>
        </w:rPr>
        <w:t>（</w:t>
      </w:r>
      <w:r w:rsidR="00AD1753">
        <w:rPr>
          <w:sz w:val="24"/>
        </w:rPr>
        <w:t>5</w:t>
      </w:r>
      <w:r w:rsidRPr="009E0290">
        <w:rPr>
          <w:rFonts w:hint="eastAsia"/>
          <w:sz w:val="24"/>
        </w:rPr>
        <w:t>）“基金资产估值”章节</w:t>
      </w:r>
      <w:r w:rsidR="00AD1753">
        <w:rPr>
          <w:rFonts w:hint="eastAsia"/>
          <w:sz w:val="24"/>
        </w:rPr>
        <w:t>的</w:t>
      </w:r>
      <w:r w:rsidRPr="009E0290">
        <w:rPr>
          <w:rFonts w:hint="eastAsia"/>
          <w:sz w:val="24"/>
        </w:rPr>
        <w:t>估值对象</w:t>
      </w:r>
      <w:r w:rsidR="00AD1753" w:rsidRPr="009E0290">
        <w:rPr>
          <w:rFonts w:hint="eastAsia"/>
          <w:sz w:val="24"/>
        </w:rPr>
        <w:t>增加存托凭证</w:t>
      </w:r>
      <w:r w:rsidR="00AD1753">
        <w:rPr>
          <w:rFonts w:hint="eastAsia"/>
          <w:sz w:val="24"/>
        </w:rPr>
        <w:t>，</w:t>
      </w:r>
      <w:r w:rsidR="000B326E" w:rsidRPr="00522D5F">
        <w:rPr>
          <w:rFonts w:hint="eastAsia"/>
          <w:sz w:val="24"/>
        </w:rPr>
        <w:t>以恒生</w:t>
      </w:r>
      <w:r w:rsidR="000B326E" w:rsidRPr="00522D5F">
        <w:rPr>
          <w:sz w:val="24"/>
        </w:rPr>
        <w:t>前海沪港深</w:t>
      </w:r>
      <w:r w:rsidR="000B326E" w:rsidRPr="00522D5F">
        <w:rPr>
          <w:rFonts w:hint="eastAsia"/>
          <w:sz w:val="24"/>
        </w:rPr>
        <w:t>新兴产业精选</w:t>
      </w:r>
      <w:r w:rsidR="000B326E" w:rsidRPr="00522D5F">
        <w:rPr>
          <w:sz w:val="24"/>
        </w:rPr>
        <w:t>混合型证券投资基金</w:t>
      </w:r>
      <w:r w:rsidR="000B326E" w:rsidRPr="00522D5F">
        <w:rPr>
          <w:rFonts w:hint="eastAsia"/>
          <w:sz w:val="24"/>
        </w:rPr>
        <w:t>为例</w:t>
      </w:r>
      <w:r w:rsidR="000B326E">
        <w:rPr>
          <w:rFonts w:hint="eastAsia"/>
          <w:sz w:val="24"/>
        </w:rPr>
        <w:t>，</w:t>
      </w:r>
      <w:r w:rsidR="00AD1753">
        <w:rPr>
          <w:rFonts w:hint="eastAsia"/>
          <w:sz w:val="24"/>
        </w:rPr>
        <w:t>由</w:t>
      </w:r>
      <w:r w:rsidRPr="009E0290">
        <w:rPr>
          <w:rFonts w:hint="eastAsia"/>
          <w:sz w:val="24"/>
        </w:rPr>
        <w:t>“</w:t>
      </w:r>
      <w:r w:rsidRPr="009E0290">
        <w:rPr>
          <w:sz w:val="24"/>
        </w:rPr>
        <w:t>基金所拥有的股票、债券和银行存款本息、应收款项、其它投资等资产及负债</w:t>
      </w:r>
      <w:r w:rsidRPr="00930A80">
        <w:rPr>
          <w:rFonts w:hint="eastAsia"/>
          <w:sz w:val="24"/>
        </w:rPr>
        <w:t>”调整为“</w:t>
      </w:r>
      <w:r w:rsidRPr="009E0290">
        <w:rPr>
          <w:sz w:val="24"/>
        </w:rPr>
        <w:t>基金所拥有的股票、</w:t>
      </w:r>
      <w:r w:rsidRPr="009E0290">
        <w:rPr>
          <w:rFonts w:hint="eastAsia"/>
          <w:sz w:val="24"/>
        </w:rPr>
        <w:t>存托凭证</w:t>
      </w:r>
      <w:r w:rsidRPr="009E0290">
        <w:rPr>
          <w:sz w:val="24"/>
        </w:rPr>
        <w:t>、债券和银行存款本息、应收款项、其它投资等资产及负债</w:t>
      </w:r>
      <w:r w:rsidRPr="00930A80">
        <w:rPr>
          <w:rFonts w:hint="eastAsia"/>
          <w:sz w:val="24"/>
        </w:rPr>
        <w:t>”，并</w:t>
      </w:r>
      <w:r w:rsidRPr="009E0290">
        <w:rPr>
          <w:rFonts w:hint="eastAsia"/>
          <w:sz w:val="24"/>
        </w:rPr>
        <w:t>增加了存托凭证的估值方法：“</w:t>
      </w:r>
      <w:r w:rsidRPr="009E0290">
        <w:rPr>
          <w:sz w:val="24"/>
        </w:rPr>
        <w:t>本基金投资存托凭证的估值核算，依照境内上市交易的股票执行</w:t>
      </w:r>
      <w:r w:rsidRPr="009E0290">
        <w:rPr>
          <w:rFonts w:hint="eastAsia"/>
          <w:sz w:val="24"/>
        </w:rPr>
        <w:t>”。</w:t>
      </w:r>
    </w:p>
    <w:p w:rsidR="009E0290" w:rsidRDefault="009E0290" w:rsidP="00BA3D5E">
      <w:pPr>
        <w:snapToGrid w:val="0"/>
        <w:spacing w:line="360" w:lineRule="auto"/>
        <w:ind w:firstLineChars="200" w:firstLine="480"/>
        <w:rPr>
          <w:sz w:val="24"/>
        </w:rPr>
      </w:pPr>
      <w:r>
        <w:rPr>
          <w:rFonts w:ascii="宋体" w:eastAsia="宋体" w:cs="宋体" w:hint="eastAsia"/>
          <w:kern w:val="0"/>
          <w:sz w:val="24"/>
          <w:szCs w:val="24"/>
        </w:rPr>
        <w:t>3、</w:t>
      </w:r>
      <w:r w:rsidRPr="00930A80">
        <w:rPr>
          <w:rFonts w:hint="eastAsia"/>
          <w:sz w:val="24"/>
        </w:rPr>
        <w:t>根据《</w:t>
      </w:r>
      <w:r>
        <w:rPr>
          <w:rFonts w:hint="eastAsia"/>
          <w:sz w:val="24"/>
        </w:rPr>
        <w:t>指数</w:t>
      </w:r>
      <w:r w:rsidR="004F6BB7">
        <w:rPr>
          <w:rFonts w:hint="eastAsia"/>
          <w:sz w:val="24"/>
        </w:rPr>
        <w:t>基金指引</w:t>
      </w:r>
      <w:r w:rsidRPr="00930A80">
        <w:rPr>
          <w:rFonts w:hint="eastAsia"/>
          <w:sz w:val="24"/>
        </w:rPr>
        <w:t>》修订基金合同</w:t>
      </w:r>
    </w:p>
    <w:p w:rsidR="00F51B70" w:rsidRPr="00F51B70" w:rsidRDefault="00F51B70" w:rsidP="00BA3D5E">
      <w:pPr>
        <w:snapToGrid w:val="0"/>
        <w:spacing w:line="360" w:lineRule="auto"/>
        <w:ind w:firstLineChars="200" w:firstLine="480"/>
        <w:rPr>
          <w:sz w:val="24"/>
        </w:rPr>
      </w:pPr>
      <w:r w:rsidRPr="00522D5F">
        <w:rPr>
          <w:rFonts w:hint="eastAsia"/>
          <w:sz w:val="24"/>
        </w:rPr>
        <w:t>（</w:t>
      </w:r>
      <w:r w:rsidRPr="00522D5F">
        <w:rPr>
          <w:sz w:val="24"/>
        </w:rPr>
        <w:t>1</w:t>
      </w:r>
      <w:r w:rsidRPr="00522D5F">
        <w:rPr>
          <w:rFonts w:hint="eastAsia"/>
          <w:sz w:val="24"/>
        </w:rPr>
        <w:t>）</w:t>
      </w:r>
      <w:r w:rsidRPr="009E0290">
        <w:rPr>
          <w:rFonts w:hint="eastAsia"/>
          <w:sz w:val="24"/>
        </w:rPr>
        <w:t>“</w:t>
      </w:r>
      <w:r>
        <w:rPr>
          <w:rFonts w:ascii="宋体" w:eastAsia="宋体" w:cs="宋体" w:hint="eastAsia"/>
          <w:kern w:val="0"/>
          <w:sz w:val="24"/>
          <w:szCs w:val="24"/>
        </w:rPr>
        <w:t>前言”增加了指数基金的风险提示内容：“</w:t>
      </w:r>
      <w:r w:rsidR="004249D9" w:rsidRPr="00D11088">
        <w:rPr>
          <w:sz w:val="24"/>
        </w:rPr>
        <w:t>本基金为指数基金，投资者投资于本基金面临跟踪误差控制未达约定目标、</w:t>
      </w:r>
      <w:r w:rsidR="004249D9">
        <w:rPr>
          <w:sz w:val="24"/>
        </w:rPr>
        <w:t>标的</w:t>
      </w:r>
      <w:r w:rsidR="004249D9" w:rsidRPr="00D11088">
        <w:rPr>
          <w:sz w:val="24"/>
        </w:rPr>
        <w:t>指数</w:t>
      </w:r>
      <w:r w:rsidR="004249D9">
        <w:rPr>
          <w:rFonts w:hint="eastAsia"/>
          <w:sz w:val="24"/>
        </w:rPr>
        <w:t>供应商</w:t>
      </w:r>
      <w:r w:rsidR="004249D9" w:rsidRPr="00D11088">
        <w:rPr>
          <w:sz w:val="24"/>
        </w:rPr>
        <w:t>停止服务、成份</w:t>
      </w:r>
      <w:r w:rsidR="004249D9">
        <w:rPr>
          <w:rFonts w:hint="eastAsia"/>
          <w:sz w:val="24"/>
        </w:rPr>
        <w:t>股</w:t>
      </w:r>
      <w:r w:rsidR="004249D9" w:rsidRPr="00D11088">
        <w:rPr>
          <w:sz w:val="24"/>
        </w:rPr>
        <w:t>停牌</w:t>
      </w:r>
      <w:r w:rsidR="004249D9">
        <w:rPr>
          <w:sz w:val="24"/>
        </w:rPr>
        <w:t>或违约</w:t>
      </w:r>
      <w:r w:rsidR="004249D9" w:rsidRPr="00D11088">
        <w:rPr>
          <w:sz w:val="24"/>
        </w:rPr>
        <w:t>等潜在风险，详见本基金招募说明书。</w:t>
      </w:r>
      <w:r>
        <w:rPr>
          <w:rFonts w:ascii="宋体" w:eastAsia="宋体" w:cs="宋体" w:hint="eastAsia"/>
          <w:kern w:val="0"/>
          <w:sz w:val="24"/>
          <w:szCs w:val="24"/>
        </w:rPr>
        <w:t>”</w:t>
      </w:r>
      <w:r w:rsidR="001527F4">
        <w:rPr>
          <w:rFonts w:ascii="宋体" w:eastAsia="宋体" w:cs="宋体" w:hint="eastAsia"/>
          <w:kern w:val="0"/>
          <w:sz w:val="24"/>
          <w:szCs w:val="24"/>
        </w:rPr>
        <w:t>增加了</w:t>
      </w:r>
      <w:r w:rsidR="001527F4">
        <w:rPr>
          <w:bCs/>
          <w:sz w:val="24"/>
        </w:rPr>
        <w:t>订立基金合同的依据</w:t>
      </w:r>
      <w:r w:rsidR="001527F4">
        <w:rPr>
          <w:rFonts w:hint="eastAsia"/>
          <w:bCs/>
          <w:sz w:val="24"/>
        </w:rPr>
        <w:t>“</w:t>
      </w:r>
      <w:r w:rsidR="001527F4">
        <w:rPr>
          <w:rFonts w:ascii="宋体" w:cs="宋体" w:hint="eastAsia"/>
          <w:kern w:val="0"/>
          <w:sz w:val="24"/>
          <w:szCs w:val="24"/>
        </w:rPr>
        <w:t>《公开募集证券投资基金运</w:t>
      </w:r>
      <w:r w:rsidR="001527F4" w:rsidRPr="00F80D38">
        <w:rPr>
          <w:rFonts w:hint="eastAsia"/>
          <w:bCs/>
          <w:sz w:val="24"/>
        </w:rPr>
        <w:t>作指引第</w:t>
      </w:r>
      <w:r w:rsidR="001527F4" w:rsidRPr="00F80D38">
        <w:rPr>
          <w:bCs/>
          <w:sz w:val="24"/>
        </w:rPr>
        <w:t>3</w:t>
      </w:r>
      <w:r w:rsidR="001527F4" w:rsidRPr="00F80D38">
        <w:rPr>
          <w:rFonts w:hint="eastAsia"/>
          <w:bCs/>
          <w:sz w:val="24"/>
        </w:rPr>
        <w:t>号—</w:t>
      </w:r>
      <w:r w:rsidR="001527F4">
        <w:rPr>
          <w:rFonts w:ascii="宋体" w:cs="宋体" w:hint="eastAsia"/>
          <w:kern w:val="0"/>
          <w:sz w:val="24"/>
          <w:szCs w:val="24"/>
        </w:rPr>
        <w:t>—指数基金指引》（以下简称</w:t>
      </w:r>
      <w:r w:rsidR="004F6BB7">
        <w:rPr>
          <w:rFonts w:ascii="宋体" w:cs="宋体" w:hint="eastAsia"/>
          <w:kern w:val="0"/>
          <w:sz w:val="24"/>
          <w:szCs w:val="24"/>
        </w:rPr>
        <w:t>‘</w:t>
      </w:r>
      <w:r w:rsidR="001527F4">
        <w:rPr>
          <w:rFonts w:ascii="宋体" w:cs="宋体" w:hint="eastAsia"/>
          <w:kern w:val="0"/>
          <w:sz w:val="24"/>
          <w:szCs w:val="24"/>
        </w:rPr>
        <w:t>《指数基金指引》</w:t>
      </w:r>
      <w:r w:rsidR="004F6BB7">
        <w:rPr>
          <w:rFonts w:ascii="宋体" w:cs="宋体" w:hint="eastAsia"/>
          <w:kern w:val="0"/>
          <w:sz w:val="24"/>
          <w:szCs w:val="24"/>
        </w:rPr>
        <w:t>’</w:t>
      </w:r>
      <w:r w:rsidR="001527F4">
        <w:rPr>
          <w:rFonts w:ascii="宋体" w:cs="宋体" w:hint="eastAsia"/>
          <w:kern w:val="0"/>
          <w:sz w:val="24"/>
          <w:szCs w:val="24"/>
        </w:rPr>
        <w:t>）”。</w:t>
      </w:r>
    </w:p>
    <w:p w:rsidR="009E0290" w:rsidRDefault="00CC0F21" w:rsidP="00BA3D5E">
      <w:pPr>
        <w:snapToGrid w:val="0"/>
        <w:spacing w:line="360" w:lineRule="auto"/>
        <w:ind w:firstLineChars="200" w:firstLine="480"/>
        <w:rPr>
          <w:rFonts w:asciiTheme="majorEastAsia" w:eastAsiaTheme="majorEastAsia" w:hAnsiTheme="majorEastAsia" w:cs="宋体"/>
          <w:kern w:val="0"/>
          <w:sz w:val="24"/>
          <w:szCs w:val="24"/>
        </w:rPr>
      </w:pPr>
      <w:r w:rsidRPr="00522D5F">
        <w:rPr>
          <w:rFonts w:hint="eastAsia"/>
          <w:sz w:val="24"/>
        </w:rPr>
        <w:t>（</w:t>
      </w:r>
      <w:r w:rsidR="00F51B70">
        <w:rPr>
          <w:sz w:val="24"/>
        </w:rPr>
        <w:t>2</w:t>
      </w:r>
      <w:r w:rsidRPr="00522D5F">
        <w:rPr>
          <w:rFonts w:hint="eastAsia"/>
          <w:sz w:val="24"/>
        </w:rPr>
        <w:t>）</w:t>
      </w:r>
      <w:r w:rsidR="00F51B70" w:rsidRPr="00260B4E">
        <w:rPr>
          <w:rFonts w:asciiTheme="majorEastAsia" w:eastAsiaTheme="majorEastAsia" w:hAnsiTheme="majorEastAsia" w:cs="宋体" w:hint="eastAsia"/>
          <w:kern w:val="0"/>
          <w:sz w:val="24"/>
          <w:szCs w:val="24"/>
        </w:rPr>
        <w:t>“释义”章节增加相关表述：</w:t>
      </w:r>
      <w:r w:rsidR="00F51B70">
        <w:rPr>
          <w:rFonts w:asciiTheme="majorEastAsia" w:eastAsiaTheme="majorEastAsia" w:hAnsiTheme="majorEastAsia" w:cs="宋体" w:hint="eastAsia"/>
          <w:kern w:val="0"/>
          <w:sz w:val="24"/>
          <w:szCs w:val="24"/>
        </w:rPr>
        <w:t>“</w:t>
      </w:r>
      <w:r w:rsidR="00F51B70" w:rsidRPr="00D11088">
        <w:rPr>
          <w:sz w:val="24"/>
        </w:rPr>
        <w:t>《指数基金指引》：指中国证监会</w:t>
      </w:r>
      <w:r w:rsidR="00F51B70" w:rsidRPr="00D11088">
        <w:rPr>
          <w:sz w:val="24"/>
        </w:rPr>
        <w:t>2021</w:t>
      </w:r>
      <w:r w:rsidR="00F51B70" w:rsidRPr="00D11088">
        <w:rPr>
          <w:sz w:val="24"/>
        </w:rPr>
        <w:t>年</w:t>
      </w:r>
      <w:r w:rsidR="00F51B70" w:rsidRPr="00D11088">
        <w:rPr>
          <w:sz w:val="24"/>
        </w:rPr>
        <w:t>1</w:t>
      </w:r>
      <w:r w:rsidR="00F51B70" w:rsidRPr="00D11088">
        <w:rPr>
          <w:sz w:val="24"/>
        </w:rPr>
        <w:t>月</w:t>
      </w:r>
      <w:r w:rsidR="00F51B70" w:rsidRPr="00D11088">
        <w:rPr>
          <w:sz w:val="24"/>
        </w:rPr>
        <w:t>22</w:t>
      </w:r>
      <w:r w:rsidR="00F51B70" w:rsidRPr="00D11088">
        <w:rPr>
          <w:sz w:val="24"/>
        </w:rPr>
        <w:t>日颁布、同年</w:t>
      </w:r>
      <w:r w:rsidR="00F51B70" w:rsidRPr="00D11088">
        <w:rPr>
          <w:sz w:val="24"/>
        </w:rPr>
        <w:t>2</w:t>
      </w:r>
      <w:r w:rsidR="00F51B70" w:rsidRPr="00D11088">
        <w:rPr>
          <w:sz w:val="24"/>
        </w:rPr>
        <w:t>月</w:t>
      </w:r>
      <w:r w:rsidR="00F51B70" w:rsidRPr="00D11088">
        <w:rPr>
          <w:sz w:val="24"/>
        </w:rPr>
        <w:t>1</w:t>
      </w:r>
      <w:r w:rsidR="00F51B70" w:rsidRPr="00D11088">
        <w:rPr>
          <w:sz w:val="24"/>
        </w:rPr>
        <w:t>日实施的《公开募集证券投资基金运作指引第</w:t>
      </w:r>
      <w:r w:rsidR="00F51B70" w:rsidRPr="00D11088">
        <w:rPr>
          <w:sz w:val="24"/>
        </w:rPr>
        <w:t>3</w:t>
      </w:r>
      <w:r w:rsidR="00F51B70" w:rsidRPr="00D11088">
        <w:rPr>
          <w:sz w:val="24"/>
        </w:rPr>
        <w:t>号</w:t>
      </w:r>
      <w:r w:rsidR="00F51B70" w:rsidRPr="00D11088">
        <w:rPr>
          <w:sz w:val="24"/>
        </w:rPr>
        <w:t>——</w:t>
      </w:r>
      <w:r w:rsidR="00F51B70" w:rsidRPr="00D11088">
        <w:rPr>
          <w:sz w:val="24"/>
        </w:rPr>
        <w:t>指数基金指引》及颁布机关对其不时做出的修订</w:t>
      </w:r>
      <w:r w:rsidR="00F51B70">
        <w:rPr>
          <w:rFonts w:asciiTheme="majorEastAsia" w:eastAsiaTheme="majorEastAsia" w:hAnsiTheme="majorEastAsia" w:cs="宋体" w:hint="eastAsia"/>
          <w:kern w:val="0"/>
          <w:sz w:val="24"/>
          <w:szCs w:val="24"/>
        </w:rPr>
        <w:t>”。</w:t>
      </w:r>
    </w:p>
    <w:p w:rsidR="004249D9" w:rsidRDefault="00F51B70" w:rsidP="004562A1">
      <w:pPr>
        <w:widowControl/>
        <w:autoSpaceDE w:val="0"/>
        <w:autoSpaceDN w:val="0"/>
        <w:adjustRightInd w:val="0"/>
        <w:snapToGrid w:val="0"/>
        <w:spacing w:line="360" w:lineRule="auto"/>
        <w:ind w:firstLine="200"/>
        <w:rPr>
          <w:bCs/>
          <w:sz w:val="24"/>
        </w:rPr>
      </w:pPr>
      <w:r w:rsidRPr="00522D5F">
        <w:rPr>
          <w:rFonts w:hint="eastAsia"/>
          <w:sz w:val="24"/>
        </w:rPr>
        <w:t>（</w:t>
      </w:r>
      <w:r>
        <w:rPr>
          <w:sz w:val="24"/>
        </w:rPr>
        <w:t>3</w:t>
      </w:r>
      <w:r w:rsidRPr="00522D5F">
        <w:rPr>
          <w:rFonts w:hint="eastAsia"/>
          <w:sz w:val="24"/>
        </w:rPr>
        <w:t>）</w:t>
      </w:r>
      <w:r w:rsidRPr="009E0290">
        <w:rPr>
          <w:rFonts w:hint="eastAsia"/>
          <w:sz w:val="24"/>
        </w:rPr>
        <w:t>“投资策略”部分增加</w:t>
      </w:r>
      <w:r w:rsidR="004562A1" w:rsidRPr="004562A1">
        <w:rPr>
          <w:rFonts w:hint="eastAsia"/>
          <w:bCs/>
          <w:sz w:val="24"/>
        </w:rPr>
        <w:t>标的指数不符合要求、指数编制机构退出等情形时的应急处置安排</w:t>
      </w:r>
      <w:r>
        <w:rPr>
          <w:rFonts w:hint="eastAsia"/>
          <w:bCs/>
          <w:sz w:val="24"/>
        </w:rPr>
        <w:t>：</w:t>
      </w:r>
    </w:p>
    <w:p w:rsidR="004249D9" w:rsidRPr="0090442F" w:rsidRDefault="00F51B70" w:rsidP="00BA3D5E">
      <w:pPr>
        <w:widowControl/>
        <w:autoSpaceDE w:val="0"/>
        <w:autoSpaceDN w:val="0"/>
        <w:adjustRightInd w:val="0"/>
        <w:snapToGrid w:val="0"/>
        <w:spacing w:line="360" w:lineRule="auto"/>
        <w:ind w:firstLine="480"/>
        <w:rPr>
          <w:bCs/>
          <w:sz w:val="24"/>
        </w:rPr>
      </w:pPr>
      <w:r>
        <w:rPr>
          <w:rFonts w:hint="eastAsia"/>
          <w:bCs/>
          <w:sz w:val="24"/>
        </w:rPr>
        <w:t>“</w:t>
      </w:r>
      <w:r w:rsidR="004249D9" w:rsidRPr="0090442F">
        <w:rPr>
          <w:rFonts w:hint="eastAsia"/>
          <w:bCs/>
          <w:sz w:val="24"/>
        </w:rPr>
        <w:t>未来若出现标的指数不符合要求（因成份股价格波动等指数编制方法变动之外的因素致使标的指数不符合要求的情形除外）、标的指数供应商退出等情形，基金管理人应当自该情形发生之日起十个工作日向中国证监会报告并提出解决方案，如更换基金标的指数、转换运作方式，与其他基金合并、或者终止基金合同等，并在</w:t>
      </w:r>
      <w:r w:rsidR="004249D9" w:rsidRPr="0090442F">
        <w:rPr>
          <w:rFonts w:hint="eastAsia"/>
          <w:bCs/>
          <w:sz w:val="24"/>
        </w:rPr>
        <w:t>6</w:t>
      </w:r>
      <w:r w:rsidR="004249D9" w:rsidRPr="0090442F">
        <w:rPr>
          <w:rFonts w:hint="eastAsia"/>
          <w:bCs/>
          <w:sz w:val="24"/>
        </w:rPr>
        <w:t>个月内召集基金份额持有人大会进行表决，基金份额持有人大会未成功召开或就上述事项表决未通过的，本基金合同终止。</w:t>
      </w:r>
    </w:p>
    <w:p w:rsidR="00F51B70" w:rsidRPr="00FD44B3" w:rsidRDefault="004249D9" w:rsidP="00BA3D5E">
      <w:pPr>
        <w:widowControl/>
        <w:autoSpaceDE w:val="0"/>
        <w:autoSpaceDN w:val="0"/>
        <w:adjustRightInd w:val="0"/>
        <w:snapToGrid w:val="0"/>
        <w:spacing w:line="360" w:lineRule="auto"/>
        <w:ind w:firstLine="480"/>
        <w:rPr>
          <w:bCs/>
          <w:sz w:val="24"/>
        </w:rPr>
      </w:pPr>
      <w:r w:rsidRPr="0090442F">
        <w:rPr>
          <w:rFonts w:hint="eastAsia"/>
          <w:bCs/>
          <w:sz w:val="24"/>
        </w:rPr>
        <w:t>自标的指数供应商停止标的指数的编制及发布至解决方案确定期间，基金管理人应按照标的指数供应商提供的最近一个交易日的指数信息遵循基金份额持有人利益优先原则维持基金投资运作。</w:t>
      </w:r>
      <w:r w:rsidR="00FD44B3">
        <w:rPr>
          <w:rFonts w:hint="eastAsia"/>
          <w:bCs/>
          <w:sz w:val="24"/>
        </w:rPr>
        <w:t>”</w:t>
      </w:r>
    </w:p>
    <w:p w:rsidR="0099278F" w:rsidRPr="0099278F" w:rsidRDefault="0099278F"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4</w:t>
      </w:r>
      <w:r>
        <w:rPr>
          <w:rFonts w:ascii="宋体" w:eastAsia="宋体" w:cs="宋体" w:hint="eastAsia"/>
          <w:kern w:val="0"/>
          <w:sz w:val="24"/>
          <w:szCs w:val="24"/>
        </w:rPr>
        <w:t>、</w:t>
      </w:r>
      <w:r w:rsidRPr="0099278F">
        <w:rPr>
          <w:rFonts w:ascii="宋体" w:eastAsia="宋体" w:cs="宋体" w:hint="eastAsia"/>
          <w:kern w:val="0"/>
          <w:sz w:val="24"/>
          <w:szCs w:val="24"/>
        </w:rPr>
        <w:t>托管协议涉及上述内容的条款已一并调整。</w:t>
      </w:r>
    </w:p>
    <w:p w:rsidR="0099278F" w:rsidRDefault="0099278F"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5</w:t>
      </w:r>
      <w:r>
        <w:rPr>
          <w:rFonts w:ascii="宋体" w:eastAsia="宋体" w:cs="宋体" w:hint="eastAsia"/>
          <w:kern w:val="0"/>
          <w:sz w:val="24"/>
          <w:szCs w:val="24"/>
        </w:rPr>
        <w:t>、</w:t>
      </w:r>
      <w:r w:rsidRPr="0099278F">
        <w:rPr>
          <w:rFonts w:ascii="宋体" w:eastAsia="宋体" w:cs="宋体" w:hint="eastAsia"/>
          <w:kern w:val="0"/>
          <w:sz w:val="24"/>
          <w:szCs w:val="24"/>
        </w:rPr>
        <w:t>本次修订已履行规定程序，符合相关法律法规及</w:t>
      </w:r>
      <w:r w:rsidR="004A2F22">
        <w:rPr>
          <w:rFonts w:ascii="宋体" w:eastAsia="宋体" w:cs="宋体" w:hint="eastAsia"/>
          <w:kern w:val="0"/>
          <w:sz w:val="24"/>
          <w:szCs w:val="24"/>
        </w:rPr>
        <w:t>各</w:t>
      </w:r>
      <w:r w:rsidR="004A2F22" w:rsidRPr="00FD44B3">
        <w:rPr>
          <w:rFonts w:ascii="宋体" w:eastAsia="宋体" w:cs="宋体" w:hint="eastAsia"/>
          <w:kern w:val="0"/>
          <w:sz w:val="24"/>
          <w:szCs w:val="24"/>
        </w:rPr>
        <w:t>基金</w:t>
      </w:r>
      <w:r w:rsidRPr="0099278F">
        <w:rPr>
          <w:rFonts w:ascii="宋体" w:eastAsia="宋体" w:cs="宋体" w:hint="eastAsia"/>
          <w:kern w:val="0"/>
          <w:sz w:val="24"/>
          <w:szCs w:val="24"/>
        </w:rPr>
        <w:t>基金合同的规定。</w:t>
      </w:r>
    </w:p>
    <w:p w:rsidR="009E0290" w:rsidRPr="0099278F"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p>
    <w:p w:rsidR="0099278F" w:rsidRPr="00FD44B3" w:rsidRDefault="009E0290" w:rsidP="00BA3D5E">
      <w:pPr>
        <w:autoSpaceDE w:val="0"/>
        <w:autoSpaceDN w:val="0"/>
        <w:adjustRightInd w:val="0"/>
        <w:snapToGrid w:val="0"/>
        <w:spacing w:line="360" w:lineRule="auto"/>
        <w:ind w:firstLineChars="200" w:firstLine="480"/>
        <w:rPr>
          <w:rFonts w:ascii="宋体" w:eastAsia="宋体" w:cs="宋体"/>
          <w:kern w:val="0"/>
          <w:sz w:val="24"/>
          <w:szCs w:val="24"/>
        </w:rPr>
      </w:pPr>
      <w:r w:rsidRPr="00FD44B3">
        <w:rPr>
          <w:rFonts w:ascii="宋体" w:eastAsia="宋体" w:cs="宋体" w:hint="eastAsia"/>
          <w:kern w:val="0"/>
          <w:sz w:val="24"/>
          <w:szCs w:val="24"/>
        </w:rPr>
        <w:t>三</w:t>
      </w:r>
      <w:r w:rsidR="0099278F" w:rsidRPr="00FD44B3">
        <w:rPr>
          <w:rFonts w:ascii="宋体" w:eastAsia="宋体" w:cs="宋体" w:hint="eastAsia"/>
          <w:kern w:val="0"/>
          <w:sz w:val="24"/>
          <w:szCs w:val="24"/>
        </w:rPr>
        <w:t>、修改后的基金合同自</w:t>
      </w:r>
      <w:r w:rsidR="0099278F" w:rsidRPr="00FD44B3">
        <w:rPr>
          <w:rFonts w:ascii="宋体" w:eastAsia="宋体" w:cs="宋体"/>
          <w:kern w:val="0"/>
          <w:sz w:val="24"/>
          <w:szCs w:val="24"/>
        </w:rPr>
        <w:t>2021</w:t>
      </w:r>
      <w:r w:rsidR="0099278F" w:rsidRPr="00FD44B3">
        <w:rPr>
          <w:rFonts w:ascii="宋体" w:eastAsia="宋体" w:cs="宋体" w:hint="eastAsia"/>
          <w:kern w:val="0"/>
          <w:sz w:val="24"/>
          <w:szCs w:val="24"/>
        </w:rPr>
        <w:t>年</w:t>
      </w:r>
      <w:r w:rsidR="0004501B">
        <w:rPr>
          <w:rFonts w:ascii="宋体" w:eastAsia="宋体" w:cs="宋体"/>
          <w:kern w:val="0"/>
          <w:sz w:val="24"/>
          <w:szCs w:val="24"/>
        </w:rPr>
        <w:t>3</w:t>
      </w:r>
      <w:r w:rsidR="0099278F" w:rsidRPr="00FD44B3">
        <w:rPr>
          <w:rFonts w:ascii="宋体" w:eastAsia="宋体" w:cs="宋体" w:hint="eastAsia"/>
          <w:kern w:val="0"/>
          <w:sz w:val="24"/>
          <w:szCs w:val="24"/>
        </w:rPr>
        <w:t>月</w:t>
      </w:r>
      <w:r w:rsidR="0004501B">
        <w:rPr>
          <w:rFonts w:ascii="宋体" w:eastAsia="宋体" w:cs="宋体"/>
          <w:kern w:val="0"/>
          <w:sz w:val="24"/>
          <w:szCs w:val="24"/>
        </w:rPr>
        <w:t>31</w:t>
      </w:r>
      <w:r w:rsidR="0099278F" w:rsidRPr="00FD44B3">
        <w:rPr>
          <w:rFonts w:ascii="宋体" w:eastAsia="宋体" w:cs="宋体" w:hint="eastAsia"/>
          <w:kern w:val="0"/>
          <w:sz w:val="24"/>
          <w:szCs w:val="24"/>
        </w:rPr>
        <w:t>日起生效，基金管理人已履行了规定程序，符合相关法律法规的规定及</w:t>
      </w:r>
      <w:r w:rsidR="007F1702">
        <w:rPr>
          <w:rFonts w:ascii="宋体" w:eastAsia="宋体" w:cs="宋体" w:hint="eastAsia"/>
          <w:kern w:val="0"/>
          <w:sz w:val="24"/>
          <w:szCs w:val="24"/>
        </w:rPr>
        <w:t>各</w:t>
      </w:r>
      <w:r w:rsidR="0099278F" w:rsidRPr="00FD44B3">
        <w:rPr>
          <w:rFonts w:ascii="宋体" w:eastAsia="宋体" w:cs="宋体" w:hint="eastAsia"/>
          <w:kern w:val="0"/>
          <w:sz w:val="24"/>
          <w:szCs w:val="24"/>
        </w:rPr>
        <w:t>基金基金合同的约定。修改后的</w:t>
      </w:r>
      <w:r w:rsidRPr="00FD44B3">
        <w:rPr>
          <w:rFonts w:ascii="宋体" w:eastAsia="宋体" w:cs="宋体" w:hint="eastAsia"/>
          <w:kern w:val="0"/>
          <w:sz w:val="24"/>
          <w:szCs w:val="24"/>
        </w:rPr>
        <w:t>各</w:t>
      </w:r>
      <w:r w:rsidR="0099278F" w:rsidRPr="00FD44B3">
        <w:rPr>
          <w:rFonts w:ascii="宋体" w:eastAsia="宋体" w:cs="宋体" w:hint="eastAsia"/>
          <w:kern w:val="0"/>
          <w:sz w:val="24"/>
          <w:szCs w:val="24"/>
        </w:rPr>
        <w:t>基金基金合同</w:t>
      </w:r>
      <w:r w:rsidR="004A2AA7">
        <w:rPr>
          <w:rFonts w:ascii="宋体" w:eastAsia="宋体" w:cs="宋体" w:hint="eastAsia"/>
          <w:kern w:val="0"/>
          <w:sz w:val="24"/>
          <w:szCs w:val="24"/>
        </w:rPr>
        <w:t>及托管协议</w:t>
      </w:r>
      <w:r w:rsidR="0099278F" w:rsidRPr="00FD44B3">
        <w:rPr>
          <w:rFonts w:ascii="宋体" w:eastAsia="宋体" w:cs="宋体" w:hint="eastAsia"/>
          <w:kern w:val="0"/>
          <w:sz w:val="24"/>
          <w:szCs w:val="24"/>
        </w:rPr>
        <w:t>全文将与本公告同日登载于基金管理人网站及中国证监会基金电子披露网站（</w:t>
      </w:r>
      <w:r w:rsidR="0099278F" w:rsidRPr="00FD44B3">
        <w:rPr>
          <w:rFonts w:ascii="宋体" w:hAnsi="宋体"/>
          <w:sz w:val="24"/>
          <w:szCs w:val="24"/>
        </w:rPr>
        <w:t>http://eid.csrc.gov.cn/fund</w:t>
      </w:r>
      <w:r w:rsidR="0099278F" w:rsidRPr="00FD44B3">
        <w:rPr>
          <w:rFonts w:ascii="宋体" w:eastAsia="宋体" w:cs="宋体" w:hint="eastAsia"/>
          <w:kern w:val="0"/>
          <w:sz w:val="24"/>
          <w:szCs w:val="24"/>
        </w:rPr>
        <w:t>）。根据修改的基金合同</w:t>
      </w:r>
      <w:r w:rsidR="003F54E4">
        <w:rPr>
          <w:rFonts w:ascii="宋体" w:eastAsia="宋体" w:cs="宋体" w:hint="eastAsia"/>
          <w:kern w:val="0"/>
          <w:sz w:val="24"/>
          <w:szCs w:val="24"/>
        </w:rPr>
        <w:t>及托管协议</w:t>
      </w:r>
      <w:r w:rsidR="0099278F" w:rsidRPr="00FD44B3">
        <w:rPr>
          <w:rFonts w:ascii="宋体" w:eastAsia="宋体" w:cs="宋体" w:hint="eastAsia"/>
          <w:kern w:val="0"/>
          <w:sz w:val="24"/>
          <w:szCs w:val="24"/>
        </w:rPr>
        <w:t>，基金管理人将更新</w:t>
      </w:r>
      <w:r w:rsidRPr="00FD44B3">
        <w:rPr>
          <w:rFonts w:ascii="宋体" w:eastAsia="宋体" w:cs="宋体" w:hint="eastAsia"/>
          <w:kern w:val="0"/>
          <w:sz w:val="24"/>
          <w:szCs w:val="24"/>
        </w:rPr>
        <w:t>各</w:t>
      </w:r>
      <w:r w:rsidR="0099278F" w:rsidRPr="00FD44B3">
        <w:rPr>
          <w:rFonts w:ascii="宋体" w:eastAsia="宋体" w:cs="宋体" w:hint="eastAsia"/>
          <w:kern w:val="0"/>
          <w:sz w:val="24"/>
          <w:szCs w:val="24"/>
        </w:rPr>
        <w:t>基金的招募说明书和基金产品资料概要相关内容，并揭示风险。</w:t>
      </w:r>
    </w:p>
    <w:p w:rsidR="009E0290" w:rsidRDefault="009E0290" w:rsidP="00BA3D5E">
      <w:pPr>
        <w:autoSpaceDE w:val="0"/>
        <w:autoSpaceDN w:val="0"/>
        <w:adjustRightInd w:val="0"/>
        <w:snapToGrid w:val="0"/>
        <w:spacing w:line="360" w:lineRule="auto"/>
        <w:ind w:firstLineChars="200" w:firstLine="480"/>
        <w:rPr>
          <w:rFonts w:ascii="宋体" w:eastAsia="宋体" w:cs="宋体"/>
          <w:kern w:val="0"/>
          <w:sz w:val="24"/>
          <w:szCs w:val="24"/>
        </w:rPr>
      </w:pPr>
    </w:p>
    <w:p w:rsidR="009E0290" w:rsidRPr="009E0290"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sidRPr="009E0290">
        <w:rPr>
          <w:rFonts w:ascii="宋体" w:eastAsia="宋体" w:cs="宋体" w:hint="eastAsia"/>
          <w:kern w:val="0"/>
          <w:sz w:val="24"/>
          <w:szCs w:val="24"/>
        </w:rPr>
        <w:t>四、其他事项</w:t>
      </w:r>
    </w:p>
    <w:p w:rsidR="009E0290"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sidRPr="009E0290">
        <w:rPr>
          <w:rFonts w:ascii="宋体" w:eastAsia="宋体" w:cs="宋体"/>
          <w:kern w:val="0"/>
          <w:sz w:val="24"/>
          <w:szCs w:val="24"/>
        </w:rPr>
        <w:t>1</w:t>
      </w:r>
      <w:r>
        <w:rPr>
          <w:rFonts w:ascii="宋体" w:eastAsia="宋体" w:cs="宋体" w:hint="eastAsia"/>
          <w:kern w:val="0"/>
          <w:sz w:val="24"/>
          <w:szCs w:val="24"/>
        </w:rPr>
        <w:t>、投资者可通过以下途径咨询有关详情</w:t>
      </w:r>
    </w:p>
    <w:p w:rsidR="009E0290" w:rsidRPr="009E0290"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客户服务电话：</w:t>
      </w:r>
      <w:r w:rsidRPr="009E0290">
        <w:rPr>
          <w:rFonts w:ascii="宋体" w:eastAsia="宋体" w:cs="宋体"/>
          <w:kern w:val="0"/>
          <w:sz w:val="24"/>
          <w:szCs w:val="24"/>
        </w:rPr>
        <w:t>400-620-</w:t>
      </w:r>
      <w:bookmarkStart w:id="4" w:name="_Toc332373592"/>
      <w:r w:rsidRPr="009E0290">
        <w:rPr>
          <w:rFonts w:ascii="宋体" w:eastAsia="宋体" w:cs="宋体"/>
          <w:kern w:val="0"/>
          <w:sz w:val="24"/>
          <w:szCs w:val="24"/>
        </w:rPr>
        <w:t>6608</w:t>
      </w:r>
      <w:bookmarkEnd w:id="4"/>
    </w:p>
    <w:p w:rsidR="009E0290" w:rsidRPr="009E0290"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网址：</w:t>
      </w:r>
      <w:r w:rsidRPr="009E0290">
        <w:rPr>
          <w:rFonts w:ascii="宋体" w:eastAsia="宋体" w:cs="宋体"/>
          <w:kern w:val="0"/>
          <w:sz w:val="24"/>
          <w:szCs w:val="24"/>
        </w:rPr>
        <w:t>www.hsqhfunds.com</w:t>
      </w:r>
    </w:p>
    <w:p w:rsidR="009E0290" w:rsidRDefault="009E0290" w:rsidP="00BA3D5E">
      <w:pPr>
        <w:autoSpaceDE w:val="0"/>
        <w:autoSpaceDN w:val="0"/>
        <w:adjustRightInd w:val="0"/>
        <w:snapToGrid w:val="0"/>
        <w:spacing w:line="360" w:lineRule="auto"/>
        <w:ind w:firstLineChars="200" w:firstLine="480"/>
        <w:jc w:val="left"/>
        <w:rPr>
          <w:rFonts w:ascii="宋体" w:eastAsia="宋体" w:cs="宋体"/>
          <w:kern w:val="0"/>
          <w:sz w:val="24"/>
          <w:szCs w:val="24"/>
        </w:rPr>
      </w:pPr>
      <w:r w:rsidRPr="009E0290">
        <w:rPr>
          <w:rFonts w:ascii="宋体" w:eastAsia="宋体" w:cs="宋体"/>
          <w:kern w:val="0"/>
          <w:sz w:val="24"/>
          <w:szCs w:val="24"/>
        </w:rPr>
        <w:t>2</w:t>
      </w:r>
      <w:r>
        <w:rPr>
          <w:rFonts w:ascii="宋体" w:eastAsia="宋体" w:cs="宋体" w:hint="eastAsia"/>
          <w:kern w:val="0"/>
          <w:sz w:val="24"/>
          <w:szCs w:val="24"/>
        </w:rPr>
        <w:t>．风险提示：</w:t>
      </w:r>
    </w:p>
    <w:p w:rsidR="009E0290" w:rsidRDefault="009E0290" w:rsidP="00BA3D5E">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9E0290" w:rsidRDefault="009E0290" w:rsidP="00BA3D5E">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特此公告。</w:t>
      </w:r>
    </w:p>
    <w:p w:rsidR="009E0290" w:rsidRDefault="009E0290" w:rsidP="00BA3D5E">
      <w:pPr>
        <w:autoSpaceDE w:val="0"/>
        <w:autoSpaceDN w:val="0"/>
        <w:adjustRightInd w:val="0"/>
        <w:snapToGrid w:val="0"/>
        <w:spacing w:line="360" w:lineRule="auto"/>
        <w:ind w:firstLineChars="200" w:firstLine="480"/>
        <w:rPr>
          <w:rFonts w:ascii="宋体" w:eastAsia="宋体" w:cs="宋体"/>
          <w:kern w:val="0"/>
          <w:sz w:val="24"/>
          <w:szCs w:val="24"/>
        </w:rPr>
      </w:pPr>
    </w:p>
    <w:p w:rsidR="009E0290" w:rsidRDefault="009E0290" w:rsidP="00BA3D5E">
      <w:pPr>
        <w:autoSpaceDE w:val="0"/>
        <w:autoSpaceDN w:val="0"/>
        <w:adjustRightInd w:val="0"/>
        <w:snapToGrid w:val="0"/>
        <w:spacing w:line="360" w:lineRule="auto"/>
        <w:ind w:firstLineChars="200" w:firstLine="480"/>
        <w:jc w:val="right"/>
        <w:rPr>
          <w:rFonts w:ascii="宋体" w:eastAsia="宋体" w:cs="宋体"/>
          <w:kern w:val="0"/>
          <w:sz w:val="24"/>
          <w:szCs w:val="24"/>
        </w:rPr>
      </w:pPr>
      <w:r>
        <w:rPr>
          <w:rFonts w:ascii="宋体" w:eastAsia="宋体" w:cs="宋体" w:hint="eastAsia"/>
          <w:kern w:val="0"/>
          <w:sz w:val="24"/>
          <w:szCs w:val="24"/>
        </w:rPr>
        <w:t>恒生前海基金管理有限公司</w:t>
      </w:r>
    </w:p>
    <w:p w:rsidR="009E0290" w:rsidRPr="009E0290" w:rsidRDefault="009E0290" w:rsidP="00BA3D5E">
      <w:pPr>
        <w:autoSpaceDE w:val="0"/>
        <w:autoSpaceDN w:val="0"/>
        <w:adjustRightInd w:val="0"/>
        <w:snapToGrid w:val="0"/>
        <w:spacing w:line="360" w:lineRule="auto"/>
        <w:ind w:firstLineChars="200" w:firstLine="480"/>
        <w:jc w:val="right"/>
        <w:rPr>
          <w:rFonts w:ascii="宋体" w:eastAsia="宋体" w:cs="宋体"/>
          <w:kern w:val="0"/>
          <w:sz w:val="24"/>
          <w:szCs w:val="24"/>
        </w:rPr>
      </w:pPr>
      <w:r>
        <w:rPr>
          <w:rFonts w:ascii="TimesNewRomanPSMT" w:eastAsia="宋体" w:hAnsi="TimesNewRomanPSMT" w:cs="TimesNewRomanPSMT"/>
          <w:kern w:val="0"/>
          <w:sz w:val="24"/>
          <w:szCs w:val="24"/>
        </w:rPr>
        <w:t>2021</w:t>
      </w:r>
      <w:r>
        <w:rPr>
          <w:rFonts w:ascii="宋体" w:eastAsia="宋体" w:cs="宋体" w:hint="eastAsia"/>
          <w:kern w:val="0"/>
          <w:sz w:val="24"/>
          <w:szCs w:val="24"/>
        </w:rPr>
        <w:t>年</w:t>
      </w:r>
      <w:r w:rsidR="00E117CD">
        <w:rPr>
          <w:rFonts w:ascii="TimesNewRomanPSMT" w:eastAsia="宋体" w:hAnsi="TimesNewRomanPSMT" w:cs="TimesNewRomanPSMT"/>
          <w:kern w:val="0"/>
          <w:sz w:val="24"/>
          <w:szCs w:val="24"/>
        </w:rPr>
        <w:t>3</w:t>
      </w:r>
      <w:r>
        <w:rPr>
          <w:rFonts w:ascii="宋体" w:eastAsia="宋体" w:cs="宋体" w:hint="eastAsia"/>
          <w:kern w:val="0"/>
          <w:sz w:val="24"/>
          <w:szCs w:val="24"/>
        </w:rPr>
        <w:t>月</w:t>
      </w:r>
      <w:r w:rsidR="00E117CD">
        <w:rPr>
          <w:rFonts w:ascii="TimesNewRomanPSMT" w:eastAsia="宋体" w:hAnsi="TimesNewRomanPSMT" w:cs="TimesNewRomanPSMT"/>
          <w:kern w:val="0"/>
          <w:sz w:val="24"/>
          <w:szCs w:val="24"/>
        </w:rPr>
        <w:t>31</w:t>
      </w:r>
      <w:r>
        <w:rPr>
          <w:rFonts w:ascii="宋体" w:eastAsia="宋体" w:cs="宋体" w:hint="eastAsia"/>
          <w:kern w:val="0"/>
          <w:sz w:val="24"/>
          <w:szCs w:val="24"/>
        </w:rPr>
        <w:t>日</w:t>
      </w:r>
    </w:p>
    <w:sectPr w:rsidR="009E0290" w:rsidRPr="009E0290" w:rsidSect="00AA01F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F3" w:rsidRDefault="008A2CF3" w:rsidP="007C1227">
      <w:r>
        <w:separator/>
      </w:r>
    </w:p>
  </w:endnote>
  <w:endnote w:type="continuationSeparator" w:id="0">
    <w:p w:rsidR="008A2CF3" w:rsidRDefault="008A2CF3" w:rsidP="007C1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Bold">
    <w:altName w:val="等线"/>
    <w:panose1 w:val="00000000000000000000"/>
    <w:charset w:val="86"/>
    <w:family w:val="auto"/>
    <w:notTrueType/>
    <w:pitch w:val="default"/>
    <w:sig w:usb0="00000003" w:usb1="080E0000" w:usb2="00000010" w:usb3="00000000" w:csb0="00040001" w:csb1="00000000"/>
  </w:font>
  <w:font w:name="TimesNewRomanPSMT">
    <w:altName w:val="Arial"/>
    <w:panose1 w:val="00000000000000000000"/>
    <w:charset w:val="00"/>
    <w:family w:val="swiss"/>
    <w:notTrueType/>
    <w:pitch w:val="default"/>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11139"/>
      <w:docPartObj>
        <w:docPartGallery w:val="Page Numbers (Bottom of Page)"/>
        <w:docPartUnique/>
      </w:docPartObj>
    </w:sdtPr>
    <w:sdtContent>
      <w:p w:rsidR="00930A80" w:rsidRDefault="00AA01F4">
        <w:pPr>
          <w:pStyle w:val="a4"/>
          <w:jc w:val="center"/>
        </w:pPr>
        <w:r>
          <w:fldChar w:fldCharType="begin"/>
        </w:r>
        <w:r w:rsidR="00930A80">
          <w:instrText>PAGE   \* MERGEFORMAT</w:instrText>
        </w:r>
        <w:r>
          <w:fldChar w:fldCharType="separate"/>
        </w:r>
        <w:r w:rsidR="00B85560" w:rsidRPr="00B85560">
          <w:rPr>
            <w:noProof/>
            <w:lang w:val="zh-CN"/>
          </w:rPr>
          <w:t>1</w:t>
        </w:r>
        <w:r>
          <w:fldChar w:fldCharType="end"/>
        </w:r>
      </w:p>
    </w:sdtContent>
  </w:sdt>
  <w:p w:rsidR="00930A80" w:rsidRDefault="00930A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F3" w:rsidRDefault="008A2CF3" w:rsidP="007C1227">
      <w:r>
        <w:separator/>
      </w:r>
    </w:p>
  </w:footnote>
  <w:footnote w:type="continuationSeparator" w:id="0">
    <w:p w:rsidR="008A2CF3" w:rsidRDefault="008A2CF3" w:rsidP="007C1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29"/>
    <w:rsid w:val="0004501B"/>
    <w:rsid w:val="000B326E"/>
    <w:rsid w:val="000D4B52"/>
    <w:rsid w:val="000D58DB"/>
    <w:rsid w:val="001527F4"/>
    <w:rsid w:val="001E4810"/>
    <w:rsid w:val="002128AE"/>
    <w:rsid w:val="00260B4E"/>
    <w:rsid w:val="0027095C"/>
    <w:rsid w:val="002C1A94"/>
    <w:rsid w:val="003C1429"/>
    <w:rsid w:val="003F54E4"/>
    <w:rsid w:val="004249D9"/>
    <w:rsid w:val="00437C3A"/>
    <w:rsid w:val="004562A1"/>
    <w:rsid w:val="00476951"/>
    <w:rsid w:val="004A2AA7"/>
    <w:rsid w:val="004A2F22"/>
    <w:rsid w:val="004F6BB7"/>
    <w:rsid w:val="00522D5F"/>
    <w:rsid w:val="005F6B5A"/>
    <w:rsid w:val="005F7948"/>
    <w:rsid w:val="006478C4"/>
    <w:rsid w:val="006A3554"/>
    <w:rsid w:val="006B65A2"/>
    <w:rsid w:val="007C1227"/>
    <w:rsid w:val="007C6B46"/>
    <w:rsid w:val="007F1702"/>
    <w:rsid w:val="008A2CF3"/>
    <w:rsid w:val="008B70F2"/>
    <w:rsid w:val="008C2CB1"/>
    <w:rsid w:val="008C6BE1"/>
    <w:rsid w:val="00930A80"/>
    <w:rsid w:val="0099278F"/>
    <w:rsid w:val="009E0290"/>
    <w:rsid w:val="00A2571F"/>
    <w:rsid w:val="00AA01F4"/>
    <w:rsid w:val="00AD10D0"/>
    <w:rsid w:val="00AD1753"/>
    <w:rsid w:val="00AD7413"/>
    <w:rsid w:val="00B85560"/>
    <w:rsid w:val="00BA3D5E"/>
    <w:rsid w:val="00C24AD8"/>
    <w:rsid w:val="00C51B15"/>
    <w:rsid w:val="00CC0F21"/>
    <w:rsid w:val="00D75ADD"/>
    <w:rsid w:val="00E117CD"/>
    <w:rsid w:val="00F10704"/>
    <w:rsid w:val="00F51B70"/>
    <w:rsid w:val="00FC33EA"/>
    <w:rsid w:val="00FD4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227"/>
    <w:rPr>
      <w:sz w:val="18"/>
      <w:szCs w:val="18"/>
    </w:rPr>
  </w:style>
  <w:style w:type="paragraph" w:styleId="a4">
    <w:name w:val="footer"/>
    <w:basedOn w:val="a"/>
    <w:link w:val="Char0"/>
    <w:uiPriority w:val="99"/>
    <w:unhideWhenUsed/>
    <w:rsid w:val="007C122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227"/>
    <w:rPr>
      <w:sz w:val="18"/>
      <w:szCs w:val="18"/>
    </w:rPr>
  </w:style>
  <w:style w:type="table" w:styleId="a5">
    <w:name w:val="Table Grid"/>
    <w:basedOn w:val="a1"/>
    <w:uiPriority w:val="39"/>
    <w:rsid w:val="00A2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A2571F"/>
    <w:rPr>
      <w:rFonts w:ascii="Times New Roman" w:eastAsia="宋体" w:hAnsi="Times New Roman" w:cs="Times New Roman"/>
      <w:szCs w:val="20"/>
    </w:rPr>
  </w:style>
  <w:style w:type="paragraph" w:styleId="a6">
    <w:name w:val="Balloon Text"/>
    <w:basedOn w:val="a"/>
    <w:link w:val="Char1"/>
    <w:uiPriority w:val="99"/>
    <w:semiHidden/>
    <w:unhideWhenUsed/>
    <w:rsid w:val="000D4B52"/>
    <w:rPr>
      <w:sz w:val="18"/>
      <w:szCs w:val="18"/>
    </w:rPr>
  </w:style>
  <w:style w:type="character" w:customStyle="1" w:styleId="Char1">
    <w:name w:val="批注框文本 Char"/>
    <w:basedOn w:val="a0"/>
    <w:link w:val="a6"/>
    <w:uiPriority w:val="99"/>
    <w:semiHidden/>
    <w:rsid w:val="000D4B52"/>
    <w:rPr>
      <w:sz w:val="18"/>
      <w:szCs w:val="18"/>
    </w:rPr>
  </w:style>
  <w:style w:type="character" w:styleId="a7">
    <w:name w:val="annotation reference"/>
    <w:rsid w:val="001527F4"/>
    <w:rPr>
      <w:sz w:val="21"/>
    </w:rPr>
  </w:style>
  <w:style w:type="character" w:customStyle="1" w:styleId="Char2">
    <w:name w:val="批注文字 Char"/>
    <w:link w:val="a8"/>
    <w:rsid w:val="001527F4"/>
  </w:style>
  <w:style w:type="paragraph" w:styleId="a8">
    <w:name w:val="annotation text"/>
    <w:basedOn w:val="a"/>
    <w:link w:val="Char2"/>
    <w:rsid w:val="001527F4"/>
    <w:pPr>
      <w:jc w:val="left"/>
    </w:pPr>
  </w:style>
  <w:style w:type="character" w:customStyle="1" w:styleId="Char10">
    <w:name w:val="批注文字 Char1"/>
    <w:basedOn w:val="a0"/>
    <w:uiPriority w:val="99"/>
    <w:semiHidden/>
    <w:rsid w:val="001527F4"/>
  </w:style>
  <w:style w:type="paragraph" w:styleId="a9">
    <w:name w:val="annotation subject"/>
    <w:basedOn w:val="a8"/>
    <w:next w:val="a8"/>
    <w:link w:val="Char3"/>
    <w:uiPriority w:val="99"/>
    <w:semiHidden/>
    <w:unhideWhenUsed/>
    <w:rsid w:val="000B326E"/>
    <w:rPr>
      <w:b/>
      <w:bCs/>
    </w:rPr>
  </w:style>
  <w:style w:type="character" w:customStyle="1" w:styleId="Char3">
    <w:name w:val="批注主题 Char"/>
    <w:basedOn w:val="Char2"/>
    <w:link w:val="a9"/>
    <w:uiPriority w:val="99"/>
    <w:semiHidden/>
    <w:rsid w:val="000B326E"/>
    <w:rPr>
      <w:b/>
      <w:bCs/>
    </w:rPr>
  </w:style>
  <w:style w:type="paragraph" w:styleId="aa">
    <w:name w:val="Revision"/>
    <w:hidden/>
    <w:uiPriority w:val="99"/>
    <w:semiHidden/>
    <w:rsid w:val="008C6B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xiewei</XMLData>
</file>

<file path=customXml/item2.xml><?xml version="1.0" encoding="utf-8"?>
<XMLData TextToDisplay="%EMAILADDRESS%">xiewei@hsqhfunds.com</XMLData>
</file>

<file path=customXml/item3.xml><?xml version="1.0" encoding="utf-8"?>
<XMLData TextToDisplay="%DOCUMENTGUID%">{00000000-0000-0000-0000-000000000000}</XMLData>
</file>

<file path=customXml/item4.xml><?xml version="1.0" encoding="utf-8"?>
<XMLData TextToDisplay="RightsWATCHMark">4|HQSH-HSQH-内部信息|{00000000-0000-0000-0000-000000000000}</XMLData>
</file>

<file path=customXml/item5.xml><?xml version="1.0" encoding="utf-8"?>
<XMLData TextToDisplay="%CLASSIFICATIONDATETIME%">03:22 24/03/2021</XMLData>
</file>

<file path=customXml/item6.xml><?xml version="1.0" encoding="utf-8"?>
<XMLData TextToDisplay="%HOSTNAME%">DESKTOP-RERBK9K.hsqhfunds.com</XMLData>
</file>

<file path=customXml/itemProps1.xml><?xml version="1.0" encoding="utf-8"?>
<ds:datastoreItem xmlns:ds="http://schemas.openxmlformats.org/officeDocument/2006/customXml" ds:itemID="{1FF5CED8-C1EF-4C43-A6B4-3218421FA257}">
  <ds:schemaRefs/>
</ds:datastoreItem>
</file>

<file path=customXml/itemProps2.xml><?xml version="1.0" encoding="utf-8"?>
<ds:datastoreItem xmlns:ds="http://schemas.openxmlformats.org/officeDocument/2006/customXml" ds:itemID="{E9E6C008-4AC1-48BB-9A36-669AC86D19E0}">
  <ds:schemaRefs/>
</ds:datastoreItem>
</file>

<file path=customXml/itemProps3.xml><?xml version="1.0" encoding="utf-8"?>
<ds:datastoreItem xmlns:ds="http://schemas.openxmlformats.org/officeDocument/2006/customXml" ds:itemID="{4DB766F2-CCC1-4654-8A4A-D935288302C6}">
  <ds:schemaRefs/>
</ds:datastoreItem>
</file>

<file path=customXml/itemProps4.xml><?xml version="1.0" encoding="utf-8"?>
<ds:datastoreItem xmlns:ds="http://schemas.openxmlformats.org/officeDocument/2006/customXml" ds:itemID="{81E7A188-4E80-4A55-92DB-2CDBFF388F8C}">
  <ds:schemaRefs/>
</ds:datastoreItem>
</file>

<file path=customXml/itemProps5.xml><?xml version="1.0" encoding="utf-8"?>
<ds:datastoreItem xmlns:ds="http://schemas.openxmlformats.org/officeDocument/2006/customXml" ds:itemID="{99BDDE6A-7BDA-4CB7-BBBF-39914C578CB7}">
  <ds:schemaRefs/>
</ds:datastoreItem>
</file>

<file path=customXml/itemProps6.xml><?xml version="1.0" encoding="utf-8"?>
<ds:datastoreItem xmlns:ds="http://schemas.openxmlformats.org/officeDocument/2006/customXml" ds:itemID="{4AF3F1C4-63DA-461B-B893-E67AB0633A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Office Word</Application>
  <DocSecurity>4</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dc:creator>
  <cp:keywords/>
  <dc:description/>
  <cp:lastModifiedBy>ZHONGM</cp:lastModifiedBy>
  <cp:revision>2</cp:revision>
  <dcterms:created xsi:type="dcterms:W3CDTF">2021-03-30T16:03:00Z</dcterms:created>
  <dcterms:modified xsi:type="dcterms:W3CDTF">2021-03-30T16:03:00Z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4|HQSH-HSQH-内部信息|{00000000-0000-0000-0000-000000000000}</vt:lpwstr>
  </property>
</Properties>
</file>