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E" w:rsidRDefault="00D5175F">
      <w:pPr>
        <w:adjustRightInd w:val="0"/>
        <w:snapToGrid w:val="0"/>
        <w:spacing w:line="360" w:lineRule="auto"/>
        <w:jc w:val="center"/>
        <w:rPr>
          <w:rFonts w:asciiTheme="minorEastAsia" w:hAnsiTheme="minorEastAsia" w:cs="Times New Roman"/>
          <w:b/>
          <w:sz w:val="28"/>
          <w:szCs w:val="28"/>
        </w:rPr>
      </w:pPr>
      <w:r>
        <w:rPr>
          <w:rFonts w:asciiTheme="minorEastAsia" w:hAnsiTheme="minorEastAsia" w:cs="Times New Roman" w:hint="eastAsia"/>
          <w:b/>
          <w:sz w:val="28"/>
          <w:szCs w:val="28"/>
        </w:rPr>
        <w:t>博时基金管理有限公司根据《公开募集证券投资基金运作指引第3号——指数基金指引》修改旗下指数基金法律文件的公告</w:t>
      </w:r>
    </w:p>
    <w:p w:rsidR="0034763E" w:rsidRDefault="0034763E">
      <w:pPr>
        <w:adjustRightInd w:val="0"/>
        <w:snapToGrid w:val="0"/>
        <w:spacing w:line="360" w:lineRule="auto"/>
        <w:ind w:firstLineChars="200" w:firstLine="480"/>
        <w:rPr>
          <w:rFonts w:asciiTheme="minorEastAsia" w:hAnsiTheme="minorEastAsia" w:cs="Times New Roman"/>
          <w:sz w:val="24"/>
          <w:szCs w:val="24"/>
        </w:rPr>
      </w:pP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根据中国证券监督管理委员会于2021年1月22日颁布《公开募集证券投资基金运作指引第3号——指数基金指引》（中国证券监督管理委员会公告〔2021〕2号）（以下简称：“《指数基金指引》”），博时基金管理有限公司（以下简称“本公司”）经与基金托管人协商一致，并</w:t>
      </w:r>
      <w:bookmarkStart w:id="0" w:name="_GoBack"/>
      <w:bookmarkEnd w:id="0"/>
      <w:r>
        <w:rPr>
          <w:rFonts w:asciiTheme="minorEastAsia" w:hAnsiTheme="minorEastAsia" w:cs="Times New Roman" w:hint="eastAsia"/>
          <w:color w:val="000000" w:themeColor="text1"/>
          <w:szCs w:val="21"/>
        </w:rPr>
        <w:t>报中国证券监督管理委员会备案，决定对本公司旗下</w:t>
      </w:r>
      <w:r w:rsidR="00976F53">
        <w:rPr>
          <w:rFonts w:asciiTheme="minorEastAsia" w:hAnsiTheme="minorEastAsia" w:cs="Times New Roman"/>
          <w:color w:val="000000" w:themeColor="text1"/>
          <w:szCs w:val="21"/>
        </w:rPr>
        <w:t>38</w:t>
      </w:r>
      <w:r>
        <w:rPr>
          <w:rFonts w:asciiTheme="minorEastAsia" w:hAnsiTheme="minorEastAsia" w:cs="Times New Roman" w:hint="eastAsia"/>
          <w:color w:val="000000" w:themeColor="text1"/>
          <w:szCs w:val="21"/>
        </w:rPr>
        <w:t>指数基金的基金合同</w:t>
      </w:r>
      <w:r w:rsidR="00BC5754" w:rsidRPr="00BC5754">
        <w:rPr>
          <w:rFonts w:asciiTheme="minorEastAsia" w:hAnsiTheme="minorEastAsia" w:cs="Times New Roman" w:hint="eastAsia"/>
          <w:color w:val="000000" w:themeColor="text1"/>
          <w:szCs w:val="21"/>
        </w:rPr>
        <w:t>、招募说明书</w:t>
      </w:r>
      <w:r>
        <w:rPr>
          <w:rFonts w:asciiTheme="minorEastAsia" w:hAnsiTheme="minorEastAsia" w:cs="Times New Roman" w:hint="eastAsia"/>
          <w:color w:val="000000" w:themeColor="text1"/>
          <w:szCs w:val="21"/>
        </w:rPr>
        <w:t>进行修改。</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现将相关事项公告如下：</w:t>
      </w:r>
    </w:p>
    <w:p w:rsidR="0034763E" w:rsidRDefault="00D5175F">
      <w:pPr>
        <w:pStyle w:val="ac"/>
        <w:numPr>
          <w:ilvl w:val="0"/>
          <w:numId w:val="1"/>
        </w:numPr>
        <w:adjustRightInd w:val="0"/>
        <w:snapToGrid w:val="0"/>
        <w:spacing w:line="360" w:lineRule="auto"/>
        <w:ind w:firstLineChars="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适用基金</w:t>
      </w:r>
    </w:p>
    <w:tbl>
      <w:tblPr>
        <w:tblW w:w="11482" w:type="dxa"/>
        <w:jc w:val="center"/>
        <w:tblLook w:val="04A0"/>
      </w:tblPr>
      <w:tblGrid>
        <w:gridCol w:w="741"/>
        <w:gridCol w:w="6058"/>
        <w:gridCol w:w="1985"/>
        <w:gridCol w:w="2698"/>
      </w:tblGrid>
      <w:tr w:rsidR="0034763E" w:rsidTr="0052418B">
        <w:trPr>
          <w:trHeight w:val="25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63E" w:rsidRPr="0052418B" w:rsidRDefault="00D5175F">
            <w:pPr>
              <w:widowControl/>
              <w:jc w:val="center"/>
              <w:rPr>
                <w:rFonts w:ascii="宋体" w:eastAsia="宋体" w:hAnsi="宋体" w:cs="Arial"/>
                <w:b/>
                <w:bCs/>
                <w:kern w:val="0"/>
                <w:sz w:val="20"/>
                <w:szCs w:val="20"/>
              </w:rPr>
            </w:pPr>
            <w:r w:rsidRPr="0052418B">
              <w:rPr>
                <w:rFonts w:ascii="宋体" w:eastAsia="宋体" w:hAnsi="宋体" w:cs="Arial" w:hint="eastAsia"/>
                <w:b/>
                <w:bCs/>
                <w:kern w:val="0"/>
                <w:sz w:val="20"/>
                <w:szCs w:val="20"/>
              </w:rPr>
              <w:t>序号</w:t>
            </w:r>
          </w:p>
        </w:tc>
        <w:tc>
          <w:tcPr>
            <w:tcW w:w="6058" w:type="dxa"/>
            <w:tcBorders>
              <w:top w:val="single" w:sz="4" w:space="0" w:color="auto"/>
              <w:left w:val="nil"/>
              <w:bottom w:val="single" w:sz="4" w:space="0" w:color="auto"/>
              <w:right w:val="single" w:sz="4" w:space="0" w:color="auto"/>
            </w:tcBorders>
            <w:shd w:val="clear" w:color="auto" w:fill="auto"/>
            <w:noWrap/>
            <w:vAlign w:val="bottom"/>
          </w:tcPr>
          <w:p w:rsidR="0034763E" w:rsidRPr="0052418B" w:rsidRDefault="00D5175F">
            <w:pPr>
              <w:widowControl/>
              <w:jc w:val="left"/>
              <w:rPr>
                <w:rFonts w:ascii="Arial" w:eastAsia="宋体" w:hAnsi="Arial" w:cs="Arial"/>
                <w:b/>
                <w:bCs/>
                <w:kern w:val="0"/>
                <w:sz w:val="20"/>
                <w:szCs w:val="20"/>
              </w:rPr>
            </w:pPr>
            <w:r w:rsidRPr="0052418B">
              <w:rPr>
                <w:rFonts w:ascii="Arial" w:eastAsia="宋体" w:hAnsi="Arial" w:cs="Arial"/>
                <w:b/>
                <w:bCs/>
                <w:kern w:val="0"/>
                <w:sz w:val="20"/>
                <w:szCs w:val="20"/>
              </w:rPr>
              <w:t>基金全称</w:t>
            </w:r>
          </w:p>
        </w:tc>
        <w:tc>
          <w:tcPr>
            <w:tcW w:w="1985" w:type="dxa"/>
            <w:tcBorders>
              <w:top w:val="single" w:sz="4" w:space="0" w:color="auto"/>
              <w:left w:val="nil"/>
              <w:bottom w:val="single" w:sz="4" w:space="0" w:color="auto"/>
              <w:right w:val="single" w:sz="4" w:space="0" w:color="auto"/>
            </w:tcBorders>
            <w:shd w:val="clear" w:color="auto" w:fill="auto"/>
            <w:vAlign w:val="bottom"/>
          </w:tcPr>
          <w:p w:rsidR="0034763E" w:rsidRPr="0052418B" w:rsidRDefault="00365478">
            <w:pPr>
              <w:widowControl/>
              <w:jc w:val="left"/>
              <w:rPr>
                <w:rFonts w:ascii="Arial" w:eastAsia="宋体" w:hAnsi="Arial" w:cs="Arial"/>
                <w:b/>
                <w:bCs/>
                <w:kern w:val="0"/>
                <w:sz w:val="20"/>
                <w:szCs w:val="20"/>
              </w:rPr>
            </w:pPr>
            <w:r w:rsidRPr="0052418B">
              <w:rPr>
                <w:rFonts w:ascii="Arial" w:eastAsia="宋体" w:hAnsi="Arial" w:cs="Arial" w:hint="eastAsia"/>
                <w:b/>
                <w:bCs/>
                <w:kern w:val="0"/>
                <w:sz w:val="20"/>
                <w:szCs w:val="20"/>
              </w:rPr>
              <w:t>基金合同生效日</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63E" w:rsidRPr="0052418B" w:rsidRDefault="00D5175F" w:rsidP="003577D9">
            <w:pPr>
              <w:widowControl/>
              <w:ind w:rightChars="281" w:right="590"/>
              <w:jc w:val="left"/>
              <w:rPr>
                <w:rFonts w:ascii="Arial" w:eastAsia="宋体" w:hAnsi="Arial" w:cs="Arial"/>
                <w:b/>
                <w:bCs/>
                <w:kern w:val="0"/>
                <w:sz w:val="20"/>
                <w:szCs w:val="20"/>
              </w:rPr>
            </w:pPr>
            <w:r w:rsidRPr="0052418B">
              <w:rPr>
                <w:rFonts w:ascii="Arial" w:eastAsia="宋体" w:hAnsi="Arial" w:cs="Arial"/>
                <w:b/>
                <w:bCs/>
                <w:kern w:val="0"/>
                <w:sz w:val="20"/>
                <w:szCs w:val="20"/>
              </w:rPr>
              <w:t>基金托管人</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博时恒生沪深港通大湾区综合交易型开放式指数证券投资基金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4</w:t>
            </w:r>
            <w:r>
              <w:rPr>
                <w:rFonts w:ascii="Arial" w:eastAsia="宋体" w:hAnsi="Arial" w:cs="Arial"/>
                <w:kern w:val="0"/>
                <w:sz w:val="20"/>
                <w:szCs w:val="20"/>
              </w:rPr>
              <w:t>月</w:t>
            </w:r>
            <w:r>
              <w:rPr>
                <w:rFonts w:ascii="Arial" w:eastAsia="宋体" w:hAnsi="Arial" w:cs="Arial"/>
                <w:kern w:val="0"/>
                <w:sz w:val="20"/>
                <w:szCs w:val="20"/>
              </w:rPr>
              <w:t>30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博时沪深</w:t>
            </w:r>
            <w:r>
              <w:rPr>
                <w:rFonts w:ascii="Arial" w:eastAsia="宋体" w:hAnsi="Arial" w:cs="Arial"/>
                <w:kern w:val="0"/>
                <w:sz w:val="20"/>
                <w:szCs w:val="20"/>
              </w:rPr>
              <w:t>300</w:t>
            </w:r>
            <w:r>
              <w:rPr>
                <w:rFonts w:ascii="Arial" w:eastAsia="宋体" w:hAnsi="Arial" w:cs="Arial"/>
                <w:kern w:val="0"/>
                <w:sz w:val="20"/>
                <w:szCs w:val="20"/>
              </w:rPr>
              <w:t>指数增强发起式证券投资基金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30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博时中证可持续发展</w:t>
            </w:r>
            <w:r>
              <w:rPr>
                <w:rFonts w:ascii="Arial" w:eastAsia="宋体" w:hAnsi="Arial" w:cs="Arial"/>
                <w:kern w:val="0"/>
                <w:sz w:val="20"/>
                <w:szCs w:val="20"/>
              </w:rPr>
              <w:t>100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1</w:t>
            </w:r>
            <w:r>
              <w:rPr>
                <w:rFonts w:ascii="Arial" w:eastAsia="宋体" w:hAnsi="Arial" w:cs="Arial"/>
                <w:kern w:val="0"/>
                <w:sz w:val="20"/>
                <w:szCs w:val="20"/>
              </w:rPr>
              <w:t>月</w:t>
            </w:r>
            <w:r>
              <w:rPr>
                <w:rFonts w:ascii="Arial" w:eastAsia="宋体" w:hAnsi="Arial" w:cs="Arial"/>
                <w:kern w:val="0"/>
                <w:sz w:val="20"/>
                <w:szCs w:val="20"/>
              </w:rPr>
              <w:t>19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4</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博时上证</w:t>
            </w:r>
            <w:r>
              <w:rPr>
                <w:rFonts w:ascii="Arial" w:eastAsia="宋体" w:hAnsi="Arial" w:cs="Arial"/>
                <w:kern w:val="0"/>
                <w:sz w:val="20"/>
                <w:szCs w:val="20"/>
              </w:rPr>
              <w:t>50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2015</w:t>
            </w:r>
            <w:r>
              <w:rPr>
                <w:rFonts w:ascii="Arial" w:eastAsia="宋体" w:hAnsi="Arial" w:cs="Arial"/>
                <w:kern w:val="0"/>
                <w:sz w:val="20"/>
                <w:szCs w:val="20"/>
              </w:rPr>
              <w:t>年</w:t>
            </w:r>
            <w:r>
              <w:rPr>
                <w:rFonts w:ascii="Arial" w:eastAsia="宋体" w:hAnsi="Arial" w:cs="Arial"/>
                <w:kern w:val="0"/>
                <w:sz w:val="20"/>
                <w:szCs w:val="20"/>
              </w:rPr>
              <w:t>5</w:t>
            </w:r>
            <w:r>
              <w:rPr>
                <w:rFonts w:ascii="Arial" w:eastAsia="宋体" w:hAnsi="Arial" w:cs="Arial"/>
                <w:kern w:val="0"/>
                <w:sz w:val="20"/>
                <w:szCs w:val="20"/>
              </w:rPr>
              <w:t>月</w:t>
            </w:r>
            <w:r>
              <w:rPr>
                <w:rFonts w:ascii="Arial" w:eastAsia="宋体" w:hAnsi="Arial" w:cs="Arial"/>
                <w:kern w:val="0"/>
                <w:sz w:val="20"/>
                <w:szCs w:val="20"/>
              </w:rPr>
              <w:t>27</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5</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博时上证</w:t>
            </w:r>
            <w:r>
              <w:rPr>
                <w:rFonts w:ascii="Arial" w:eastAsia="宋体" w:hAnsi="Arial" w:cs="Arial"/>
                <w:kern w:val="0"/>
                <w:sz w:val="20"/>
                <w:szCs w:val="20"/>
              </w:rPr>
              <w:t>50</w:t>
            </w:r>
            <w:r>
              <w:rPr>
                <w:rFonts w:ascii="Arial" w:eastAsia="宋体" w:hAnsi="Arial" w:cs="Arial"/>
                <w:kern w:val="0"/>
                <w:sz w:val="20"/>
                <w:szCs w:val="20"/>
              </w:rPr>
              <w:t>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2015</w:t>
            </w:r>
            <w:r>
              <w:rPr>
                <w:rFonts w:ascii="Arial" w:eastAsia="宋体" w:hAnsi="Arial" w:cs="Arial"/>
                <w:kern w:val="0"/>
                <w:sz w:val="20"/>
                <w:szCs w:val="20"/>
              </w:rPr>
              <w:t>年</w:t>
            </w:r>
            <w:r>
              <w:rPr>
                <w:rFonts w:ascii="Arial" w:eastAsia="宋体" w:hAnsi="Arial" w:cs="Arial"/>
                <w:kern w:val="0"/>
                <w:sz w:val="20"/>
                <w:szCs w:val="20"/>
              </w:rPr>
              <w:t>5</w:t>
            </w:r>
            <w:r>
              <w:rPr>
                <w:rFonts w:ascii="Arial" w:eastAsia="宋体" w:hAnsi="Arial" w:cs="Arial"/>
                <w:kern w:val="0"/>
                <w:sz w:val="20"/>
                <w:szCs w:val="20"/>
              </w:rPr>
              <w:t>月</w:t>
            </w:r>
            <w:r>
              <w:rPr>
                <w:rFonts w:ascii="Arial" w:eastAsia="宋体" w:hAnsi="Arial" w:cs="Arial"/>
                <w:kern w:val="0"/>
                <w:sz w:val="20"/>
                <w:szCs w:val="20"/>
              </w:rPr>
              <w:t>27</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6</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博时中证央企创新驱动交易型开放式指数证券投资基金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9</w:t>
            </w:r>
            <w:r>
              <w:rPr>
                <w:rFonts w:ascii="Arial" w:eastAsia="宋体" w:hAnsi="Arial" w:cs="Arial"/>
                <w:kern w:val="0"/>
                <w:sz w:val="20"/>
                <w:szCs w:val="20"/>
              </w:rPr>
              <w:t>月</w:t>
            </w:r>
            <w:r>
              <w:rPr>
                <w:rFonts w:ascii="Arial" w:eastAsia="宋体" w:hAnsi="Arial" w:cs="Arial"/>
                <w:kern w:val="0"/>
                <w:sz w:val="20"/>
                <w:szCs w:val="20"/>
              </w:rPr>
              <w:t>20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7</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博时中证央企结构调整交易型开放式指数证券投资基金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2018</w:t>
            </w:r>
            <w:r>
              <w:rPr>
                <w:rFonts w:ascii="Arial" w:eastAsia="宋体" w:hAnsi="Arial" w:cs="Arial"/>
                <w:kern w:val="0"/>
                <w:sz w:val="20"/>
                <w:szCs w:val="20"/>
              </w:rPr>
              <w:t>年</w:t>
            </w:r>
            <w:r>
              <w:rPr>
                <w:rFonts w:ascii="Arial" w:eastAsia="宋体" w:hAnsi="Arial" w:cs="Arial"/>
                <w:kern w:val="0"/>
                <w:sz w:val="20"/>
                <w:szCs w:val="20"/>
              </w:rPr>
              <w:t>10</w:t>
            </w:r>
            <w:r>
              <w:rPr>
                <w:rFonts w:ascii="Arial" w:eastAsia="宋体" w:hAnsi="Arial" w:cs="Arial"/>
                <w:kern w:val="0"/>
                <w:sz w:val="20"/>
                <w:szCs w:val="20"/>
              </w:rPr>
              <w:t>月</w:t>
            </w:r>
            <w:r>
              <w:rPr>
                <w:rFonts w:ascii="Arial" w:eastAsia="宋体" w:hAnsi="Arial" w:cs="Arial"/>
                <w:kern w:val="0"/>
                <w:sz w:val="20"/>
                <w:szCs w:val="20"/>
              </w:rPr>
              <w:t>19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8</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w:t>
            </w:r>
            <w:r>
              <w:rPr>
                <w:rFonts w:ascii="Arial" w:eastAsia="宋体" w:hAnsi="Arial" w:cs="Arial"/>
                <w:kern w:val="0"/>
                <w:sz w:val="20"/>
                <w:szCs w:val="20"/>
              </w:rPr>
              <w:t>500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8</w:t>
            </w:r>
            <w:r>
              <w:rPr>
                <w:rFonts w:ascii="Arial" w:eastAsia="宋体" w:hAnsi="Arial" w:cs="Arial"/>
                <w:kern w:val="0"/>
                <w:sz w:val="20"/>
                <w:szCs w:val="20"/>
              </w:rPr>
              <w:t>月</w:t>
            </w:r>
            <w:r>
              <w:rPr>
                <w:rFonts w:ascii="Arial" w:eastAsia="宋体" w:hAnsi="Arial" w:cs="Arial"/>
                <w:kern w:val="0"/>
                <w:sz w:val="20"/>
                <w:szCs w:val="20"/>
              </w:rPr>
              <w:t>1</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9</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w:t>
            </w:r>
            <w:r>
              <w:rPr>
                <w:rFonts w:ascii="Arial" w:eastAsia="宋体" w:hAnsi="Arial" w:cs="Arial"/>
                <w:kern w:val="0"/>
                <w:sz w:val="20"/>
                <w:szCs w:val="20"/>
              </w:rPr>
              <w:t>500</w:t>
            </w:r>
            <w:r>
              <w:rPr>
                <w:rFonts w:ascii="Arial" w:eastAsia="宋体" w:hAnsi="Arial" w:cs="Arial"/>
                <w:kern w:val="0"/>
                <w:sz w:val="20"/>
                <w:szCs w:val="20"/>
              </w:rPr>
              <w:t>交易型开放式指数证券投资基金发起式联接基金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30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10</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博时中证红利交易型开放式指数证券投资基金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3</w:t>
            </w:r>
            <w:r>
              <w:rPr>
                <w:rFonts w:ascii="Arial" w:eastAsia="宋体" w:hAnsi="Arial" w:cs="Arial"/>
                <w:kern w:val="0"/>
                <w:sz w:val="20"/>
                <w:szCs w:val="20"/>
              </w:rPr>
              <w:t>月</w:t>
            </w:r>
            <w:r>
              <w:rPr>
                <w:rFonts w:ascii="Arial" w:eastAsia="宋体" w:hAnsi="Arial" w:cs="Arial"/>
                <w:kern w:val="0"/>
                <w:sz w:val="20"/>
                <w:szCs w:val="20"/>
              </w:rPr>
              <w:t>20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11</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博时中证可转债及可交换债券交易型开放式指数证券投资基金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3</w:t>
            </w:r>
            <w:r>
              <w:rPr>
                <w:rFonts w:ascii="Arial" w:eastAsia="宋体" w:hAnsi="Arial" w:cs="Arial"/>
                <w:kern w:val="0"/>
                <w:sz w:val="20"/>
                <w:szCs w:val="20"/>
              </w:rPr>
              <w:t>月</w:t>
            </w:r>
            <w:r>
              <w:rPr>
                <w:rFonts w:ascii="Arial" w:eastAsia="宋体" w:hAnsi="Arial" w:cs="Arial"/>
                <w:kern w:val="0"/>
                <w:sz w:val="20"/>
                <w:szCs w:val="20"/>
              </w:rPr>
              <w:t>6</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12</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博时中证央企创新驱动交易型开放式指数证券投资基金联接基金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11</w:t>
            </w:r>
            <w:r>
              <w:rPr>
                <w:rFonts w:ascii="Arial" w:eastAsia="宋体" w:hAnsi="Arial" w:cs="Arial"/>
                <w:kern w:val="0"/>
                <w:sz w:val="20"/>
                <w:szCs w:val="20"/>
              </w:rPr>
              <w:t>月</w:t>
            </w:r>
            <w:r>
              <w:rPr>
                <w:rFonts w:ascii="Arial" w:eastAsia="宋体" w:hAnsi="Arial" w:cs="Arial"/>
                <w:kern w:val="0"/>
                <w:sz w:val="20"/>
                <w:szCs w:val="20"/>
              </w:rPr>
              <w:t>13</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13</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博时中证央企结构调整交易型开放式指数证券投资基金联接基金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2018</w:t>
            </w:r>
            <w:r>
              <w:rPr>
                <w:rFonts w:ascii="Arial" w:eastAsia="宋体" w:hAnsi="Arial" w:cs="Arial"/>
                <w:kern w:val="0"/>
                <w:sz w:val="20"/>
                <w:szCs w:val="20"/>
              </w:rPr>
              <w:t>年</w:t>
            </w:r>
            <w:r>
              <w:rPr>
                <w:rFonts w:ascii="Arial" w:eastAsia="宋体" w:hAnsi="Arial" w:cs="Arial"/>
                <w:kern w:val="0"/>
                <w:sz w:val="20"/>
                <w:szCs w:val="20"/>
              </w:rPr>
              <w:t>11</w:t>
            </w:r>
            <w:r>
              <w:rPr>
                <w:rFonts w:ascii="Arial" w:eastAsia="宋体" w:hAnsi="Arial" w:cs="Arial"/>
                <w:kern w:val="0"/>
                <w:sz w:val="20"/>
                <w:szCs w:val="20"/>
              </w:rPr>
              <w:t>月</w:t>
            </w:r>
            <w:r>
              <w:rPr>
                <w:rFonts w:ascii="Arial" w:eastAsia="宋体" w:hAnsi="Arial" w:cs="Arial"/>
                <w:kern w:val="0"/>
                <w:sz w:val="20"/>
                <w:szCs w:val="20"/>
              </w:rPr>
              <w:t>14</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招商银行股份有限公司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14</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1-3</w:t>
            </w:r>
            <w:r>
              <w:rPr>
                <w:rFonts w:ascii="Arial" w:eastAsia="宋体" w:hAnsi="Arial" w:cs="Arial"/>
                <w:kern w:val="0"/>
                <w:sz w:val="20"/>
                <w:szCs w:val="20"/>
              </w:rPr>
              <w:t>年国开行债券指数证券投资基金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4</w:t>
            </w:r>
            <w:r>
              <w:rPr>
                <w:rFonts w:ascii="Arial" w:eastAsia="宋体" w:hAnsi="Arial" w:cs="Arial"/>
                <w:kern w:val="0"/>
                <w:sz w:val="20"/>
                <w:szCs w:val="20"/>
              </w:rPr>
              <w:t>月</w:t>
            </w:r>
            <w:r>
              <w:rPr>
                <w:rFonts w:ascii="Arial" w:eastAsia="宋体" w:hAnsi="Arial" w:cs="Arial"/>
                <w:kern w:val="0"/>
                <w:sz w:val="20"/>
                <w:szCs w:val="20"/>
              </w:rPr>
              <w:t>22</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中国光大银行股份有限公司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15</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上证超级大盘交易型开放式指数证券投资基金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2009</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29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16</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博时上证超级大盘交易型开放式指数证券投资基金联接基金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2009</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29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17</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博时沪深</w:t>
            </w:r>
            <w:r>
              <w:rPr>
                <w:rFonts w:ascii="Arial" w:eastAsia="宋体" w:hAnsi="Arial" w:cs="Arial"/>
                <w:kern w:val="0"/>
                <w:sz w:val="20"/>
                <w:szCs w:val="20"/>
              </w:rPr>
              <w:t>300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4</w:t>
            </w:r>
            <w:r>
              <w:rPr>
                <w:rFonts w:ascii="Arial" w:eastAsia="宋体" w:hAnsi="Arial" w:cs="Arial"/>
                <w:kern w:val="0"/>
                <w:sz w:val="20"/>
                <w:szCs w:val="20"/>
              </w:rPr>
              <w:t>月</w:t>
            </w:r>
            <w:r>
              <w:rPr>
                <w:rFonts w:ascii="Arial" w:eastAsia="宋体" w:hAnsi="Arial" w:cs="Arial"/>
                <w:kern w:val="0"/>
                <w:sz w:val="20"/>
                <w:szCs w:val="20"/>
              </w:rPr>
              <w:t>3</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18</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博时中证淘金大数据</w:t>
            </w:r>
            <w:r>
              <w:rPr>
                <w:rFonts w:ascii="Arial" w:eastAsia="宋体" w:hAnsi="Arial" w:cs="Arial"/>
                <w:kern w:val="0"/>
                <w:sz w:val="20"/>
                <w:szCs w:val="20"/>
              </w:rPr>
              <w:t>100</w:t>
            </w:r>
            <w:r>
              <w:rPr>
                <w:rFonts w:ascii="Arial" w:eastAsia="宋体" w:hAnsi="Arial" w:cs="Arial"/>
                <w:kern w:val="0"/>
                <w:sz w:val="20"/>
                <w:szCs w:val="20"/>
              </w:rPr>
              <w:t>指数型证券投资基金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2015</w:t>
            </w:r>
            <w:r>
              <w:rPr>
                <w:rFonts w:ascii="Arial" w:eastAsia="宋体" w:hAnsi="Arial" w:cs="Arial"/>
                <w:kern w:val="0"/>
                <w:sz w:val="20"/>
                <w:szCs w:val="20"/>
              </w:rPr>
              <w:t>年</w:t>
            </w:r>
            <w:r>
              <w:rPr>
                <w:rFonts w:ascii="Arial" w:eastAsia="宋体" w:hAnsi="Arial" w:cs="Arial"/>
                <w:kern w:val="0"/>
                <w:sz w:val="20"/>
                <w:szCs w:val="20"/>
              </w:rPr>
              <w:t>5</w:t>
            </w:r>
            <w:r>
              <w:rPr>
                <w:rFonts w:ascii="Arial" w:eastAsia="宋体" w:hAnsi="Arial" w:cs="Arial"/>
                <w:kern w:val="0"/>
                <w:sz w:val="20"/>
                <w:szCs w:val="20"/>
              </w:rPr>
              <w:t>月</w:t>
            </w:r>
            <w:r>
              <w:rPr>
                <w:rFonts w:ascii="Arial" w:eastAsia="宋体" w:hAnsi="Arial" w:cs="Arial"/>
                <w:kern w:val="0"/>
                <w:sz w:val="20"/>
                <w:szCs w:val="20"/>
              </w:rPr>
              <w:t>4</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19</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博时裕富沪深</w:t>
            </w:r>
            <w:r>
              <w:rPr>
                <w:rFonts w:ascii="Arial" w:eastAsia="宋体" w:hAnsi="Arial" w:cs="Arial"/>
                <w:kern w:val="0"/>
                <w:sz w:val="20"/>
                <w:szCs w:val="20"/>
              </w:rPr>
              <w:t>300</w:t>
            </w:r>
            <w:r>
              <w:rPr>
                <w:rFonts w:ascii="Arial" w:eastAsia="宋体" w:hAnsi="Arial" w:cs="Arial"/>
                <w:kern w:val="0"/>
                <w:sz w:val="20"/>
                <w:szCs w:val="20"/>
              </w:rPr>
              <w:t>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2003</w:t>
            </w:r>
            <w:r>
              <w:rPr>
                <w:rFonts w:ascii="Arial" w:eastAsia="宋体" w:hAnsi="Arial" w:cs="Arial"/>
                <w:kern w:val="0"/>
                <w:sz w:val="20"/>
                <w:szCs w:val="20"/>
              </w:rPr>
              <w:t>年</w:t>
            </w:r>
            <w:r>
              <w:rPr>
                <w:rFonts w:ascii="Arial" w:eastAsia="宋体" w:hAnsi="Arial" w:cs="Arial"/>
                <w:kern w:val="0"/>
                <w:sz w:val="20"/>
                <w:szCs w:val="20"/>
              </w:rPr>
              <w:t>8</w:t>
            </w:r>
            <w:r>
              <w:rPr>
                <w:rFonts w:ascii="Arial" w:eastAsia="宋体" w:hAnsi="Arial" w:cs="Arial"/>
                <w:kern w:val="0"/>
                <w:sz w:val="20"/>
                <w:szCs w:val="20"/>
              </w:rPr>
              <w:t>月</w:t>
            </w:r>
            <w:r>
              <w:rPr>
                <w:rFonts w:ascii="Arial" w:eastAsia="宋体" w:hAnsi="Arial" w:cs="Arial"/>
                <w:kern w:val="0"/>
                <w:sz w:val="20"/>
                <w:szCs w:val="20"/>
              </w:rPr>
              <w:t>26</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20</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3-5</w:t>
            </w:r>
            <w:r>
              <w:rPr>
                <w:rFonts w:ascii="Arial" w:eastAsia="宋体" w:hAnsi="Arial" w:cs="Arial"/>
                <w:kern w:val="0"/>
                <w:sz w:val="20"/>
                <w:szCs w:val="20"/>
              </w:rPr>
              <w:t>年进出口行债券指数证券投资基金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2018</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25</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21</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博时中证银行指数证券投资基金</w:t>
            </w:r>
            <w:r>
              <w:rPr>
                <w:rFonts w:ascii="Arial" w:eastAsia="宋体" w:hAnsi="Arial" w:cs="Arial"/>
                <w:kern w:val="0"/>
                <w:sz w:val="20"/>
                <w:szCs w:val="20"/>
              </w:rPr>
              <w:t>(LOF)</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8</w:t>
            </w:r>
            <w:r>
              <w:rPr>
                <w:rFonts w:ascii="Arial" w:eastAsia="宋体" w:hAnsi="Arial" w:cs="Arial"/>
                <w:kern w:val="0"/>
                <w:sz w:val="20"/>
                <w:szCs w:val="20"/>
              </w:rPr>
              <w:t>月</w:t>
            </w:r>
            <w:r>
              <w:rPr>
                <w:rFonts w:ascii="Arial" w:eastAsia="宋体" w:hAnsi="Arial" w:cs="Arial"/>
                <w:kern w:val="0"/>
                <w:sz w:val="20"/>
                <w:szCs w:val="20"/>
              </w:rPr>
              <w:t>6</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22</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上证自然资源交易型开放式指数证券投资基金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2012</w:t>
            </w:r>
            <w:r>
              <w:rPr>
                <w:rFonts w:ascii="Arial" w:eastAsia="宋体" w:hAnsi="Arial" w:cs="Arial"/>
                <w:kern w:val="0"/>
                <w:sz w:val="20"/>
                <w:szCs w:val="20"/>
              </w:rPr>
              <w:t>年</w:t>
            </w:r>
            <w:r>
              <w:rPr>
                <w:rFonts w:ascii="Arial" w:eastAsia="宋体" w:hAnsi="Arial" w:cs="Arial"/>
                <w:kern w:val="0"/>
                <w:sz w:val="20"/>
                <w:szCs w:val="20"/>
              </w:rPr>
              <w:t>4</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23</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博时上证自然资源交易型开放式指数证券投资基金联接基金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2012</w:t>
            </w:r>
            <w:r>
              <w:rPr>
                <w:rFonts w:ascii="Arial" w:eastAsia="宋体" w:hAnsi="Arial" w:cs="Arial"/>
                <w:kern w:val="0"/>
                <w:sz w:val="20"/>
                <w:szCs w:val="20"/>
              </w:rPr>
              <w:t>年</w:t>
            </w:r>
            <w:r>
              <w:rPr>
                <w:rFonts w:ascii="Arial" w:eastAsia="宋体" w:hAnsi="Arial" w:cs="Arial"/>
                <w:kern w:val="0"/>
                <w:sz w:val="20"/>
                <w:szCs w:val="20"/>
              </w:rPr>
              <w:t>4</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中国建设银行股份有限公司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24</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w:t>
            </w:r>
            <w:r>
              <w:rPr>
                <w:rFonts w:ascii="Arial" w:eastAsia="宋体" w:hAnsi="Arial" w:cs="Arial"/>
                <w:kern w:val="0"/>
                <w:sz w:val="20"/>
                <w:szCs w:val="20"/>
              </w:rPr>
              <w:t>500</w:t>
            </w:r>
            <w:r>
              <w:rPr>
                <w:rFonts w:ascii="Arial" w:eastAsia="宋体" w:hAnsi="Arial" w:cs="Arial"/>
                <w:kern w:val="0"/>
                <w:sz w:val="20"/>
                <w:szCs w:val="20"/>
              </w:rPr>
              <w:t>指数增强型证券投资基金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2017</w:t>
            </w:r>
            <w:r>
              <w:rPr>
                <w:rFonts w:ascii="Arial" w:eastAsia="宋体" w:hAnsi="Arial" w:cs="Arial"/>
                <w:kern w:val="0"/>
                <w:sz w:val="20"/>
                <w:szCs w:val="20"/>
              </w:rPr>
              <w:t>年</w:t>
            </w:r>
            <w:r>
              <w:rPr>
                <w:rFonts w:ascii="Arial" w:eastAsia="宋体" w:hAnsi="Arial" w:cs="Arial"/>
                <w:kern w:val="0"/>
                <w:sz w:val="20"/>
                <w:szCs w:val="20"/>
              </w:rPr>
              <w:t>9</w:t>
            </w:r>
            <w:r>
              <w:rPr>
                <w:rFonts w:ascii="Arial" w:eastAsia="宋体" w:hAnsi="Arial" w:cs="Arial"/>
                <w:kern w:val="0"/>
                <w:sz w:val="20"/>
                <w:szCs w:val="20"/>
              </w:rPr>
              <w:t>月</w:t>
            </w:r>
            <w:r>
              <w:rPr>
                <w:rFonts w:ascii="Arial" w:eastAsia="宋体" w:hAnsi="Arial" w:cs="Arial"/>
                <w:kern w:val="0"/>
                <w:sz w:val="20"/>
                <w:szCs w:val="20"/>
              </w:rPr>
              <w:t>26</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25</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博时中证全指证券公司指数证券投资基金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8</w:t>
            </w:r>
            <w:r>
              <w:rPr>
                <w:rFonts w:ascii="Arial" w:eastAsia="宋体" w:hAnsi="Arial" w:cs="Arial"/>
                <w:kern w:val="0"/>
                <w:sz w:val="20"/>
                <w:szCs w:val="20"/>
              </w:rPr>
              <w:t>月</w:t>
            </w:r>
            <w:r>
              <w:rPr>
                <w:rFonts w:ascii="Arial" w:eastAsia="宋体" w:hAnsi="Arial" w:cs="Arial"/>
                <w:kern w:val="0"/>
                <w:sz w:val="20"/>
                <w:szCs w:val="20"/>
              </w:rPr>
              <w:t>7</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26</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博时中证新能源汽车交易型开放式指数证券投资基金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华泰证券股份有限公司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27</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博时创业板交易型开放式指数证券投资基金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2011</w:t>
            </w:r>
            <w:r>
              <w:rPr>
                <w:rFonts w:ascii="Arial" w:eastAsia="宋体" w:hAnsi="Arial" w:cs="Arial"/>
                <w:kern w:val="0"/>
                <w:sz w:val="20"/>
                <w:szCs w:val="20"/>
              </w:rPr>
              <w:t>年</w:t>
            </w:r>
            <w:r>
              <w:rPr>
                <w:rFonts w:ascii="Arial" w:eastAsia="宋体" w:hAnsi="Arial" w:cs="Arial"/>
                <w:kern w:val="0"/>
                <w:sz w:val="20"/>
                <w:szCs w:val="20"/>
              </w:rPr>
              <w:t>6</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交通银行股份有限公司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28</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博时创业板交易型开放式指数证券投资基金联接基金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2011</w:t>
            </w:r>
            <w:r>
              <w:rPr>
                <w:rFonts w:ascii="Arial" w:eastAsia="宋体" w:hAnsi="Arial" w:cs="Arial"/>
                <w:kern w:val="0"/>
                <w:sz w:val="20"/>
                <w:szCs w:val="20"/>
              </w:rPr>
              <w:t>年</w:t>
            </w:r>
            <w:r>
              <w:rPr>
                <w:rFonts w:ascii="Arial" w:eastAsia="宋体" w:hAnsi="Arial" w:cs="Arial"/>
                <w:kern w:val="0"/>
                <w:sz w:val="20"/>
                <w:szCs w:val="20"/>
              </w:rPr>
              <w:t>6</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交通银行股份有限公司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lastRenderedPageBreak/>
              <w:t>29</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1-3</w:t>
            </w:r>
            <w:r>
              <w:rPr>
                <w:rFonts w:ascii="Arial" w:eastAsia="宋体" w:hAnsi="Arial" w:cs="Arial"/>
                <w:kern w:val="0"/>
                <w:sz w:val="20"/>
                <w:szCs w:val="20"/>
              </w:rPr>
              <w:t>年政策性金融债指数证券投资基金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2018</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10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上海浦东发展银行股份有限公司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30</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博时中证智能消费主题交易型开放式指数证券投资基金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30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申万宏源证券有限公司</w:t>
            </w:r>
          </w:p>
        </w:tc>
      </w:tr>
      <w:tr w:rsidR="0034763E" w:rsidTr="00EA43C8">
        <w:trPr>
          <w:trHeight w:val="258"/>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31</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3-5</w:t>
            </w:r>
            <w:r>
              <w:rPr>
                <w:rFonts w:ascii="Arial" w:eastAsia="宋体" w:hAnsi="Arial" w:cs="Arial"/>
                <w:kern w:val="0"/>
                <w:sz w:val="20"/>
                <w:szCs w:val="20"/>
              </w:rPr>
              <w:t>年国开行债券指数证券投资基金</w:t>
            </w:r>
          </w:p>
        </w:tc>
        <w:tc>
          <w:tcPr>
            <w:tcW w:w="1985" w:type="dxa"/>
            <w:tcBorders>
              <w:top w:val="single" w:sz="4" w:space="0" w:color="auto"/>
              <w:left w:val="nil"/>
              <w:bottom w:val="single" w:sz="4" w:space="0" w:color="auto"/>
              <w:right w:val="single" w:sz="4" w:space="0" w:color="auto"/>
            </w:tcBorders>
            <w:vAlign w:val="bottom"/>
          </w:tcPr>
          <w:p w:rsidR="0034763E" w:rsidRPr="00BC5754"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7</w:t>
            </w:r>
            <w:r>
              <w:rPr>
                <w:rFonts w:ascii="Arial" w:eastAsia="宋体" w:hAnsi="Arial" w:cs="Arial"/>
                <w:kern w:val="0"/>
                <w:sz w:val="20"/>
                <w:szCs w:val="20"/>
              </w:rPr>
              <w:t>月</w:t>
            </w:r>
            <w:r>
              <w:rPr>
                <w:rFonts w:ascii="Arial" w:eastAsia="宋体" w:hAnsi="Arial" w:cs="Arial"/>
                <w:kern w:val="0"/>
                <w:sz w:val="20"/>
                <w:szCs w:val="20"/>
              </w:rPr>
              <w:t>19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Pr="00BC5754" w:rsidRDefault="00D5175F">
            <w:pPr>
              <w:widowControl/>
              <w:jc w:val="left"/>
              <w:rPr>
                <w:rFonts w:ascii="Arial" w:eastAsia="宋体" w:hAnsi="Arial" w:cs="Arial"/>
                <w:kern w:val="0"/>
                <w:sz w:val="20"/>
                <w:szCs w:val="20"/>
              </w:rPr>
            </w:pPr>
            <w:r w:rsidRPr="00BC5754">
              <w:rPr>
                <w:rFonts w:ascii="Arial" w:eastAsia="宋体" w:hAnsi="Arial" w:cs="Arial" w:hint="eastAsia"/>
                <w:kern w:val="0"/>
                <w:sz w:val="20"/>
                <w:szCs w:val="20"/>
              </w:rPr>
              <w:t>兴业银行股份有限公司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32</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博时标普</w:t>
            </w:r>
            <w:r>
              <w:rPr>
                <w:rFonts w:ascii="Arial" w:eastAsia="宋体" w:hAnsi="Arial" w:cs="Arial"/>
                <w:kern w:val="0"/>
                <w:sz w:val="20"/>
                <w:szCs w:val="20"/>
              </w:rPr>
              <w:t>500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2013</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5</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中国工商银行股份有限公司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33</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博时标普</w:t>
            </w:r>
            <w:r>
              <w:rPr>
                <w:rFonts w:ascii="Arial" w:eastAsia="宋体" w:hAnsi="Arial" w:cs="Arial"/>
                <w:kern w:val="0"/>
                <w:sz w:val="20"/>
                <w:szCs w:val="20"/>
              </w:rPr>
              <w:t>500</w:t>
            </w:r>
            <w:r>
              <w:rPr>
                <w:rFonts w:ascii="Arial" w:eastAsia="宋体" w:hAnsi="Arial" w:cs="Arial"/>
                <w:kern w:val="0"/>
                <w:sz w:val="20"/>
                <w:szCs w:val="20"/>
              </w:rPr>
              <w:t>交易型开放式指数证券投资基金联接基金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2012</w:t>
            </w:r>
            <w:r>
              <w:rPr>
                <w:rFonts w:ascii="Arial" w:eastAsia="宋体" w:hAnsi="Arial" w:cs="Arial"/>
                <w:kern w:val="0"/>
                <w:sz w:val="20"/>
                <w:szCs w:val="20"/>
              </w:rPr>
              <w:t>年</w:t>
            </w:r>
            <w:r>
              <w:rPr>
                <w:rFonts w:ascii="Arial" w:eastAsia="宋体" w:hAnsi="Arial" w:cs="Arial"/>
                <w:kern w:val="0"/>
                <w:sz w:val="20"/>
                <w:szCs w:val="20"/>
              </w:rPr>
              <w:t>6</w:t>
            </w:r>
            <w:r>
              <w:rPr>
                <w:rFonts w:ascii="Arial" w:eastAsia="宋体" w:hAnsi="Arial" w:cs="Arial"/>
                <w:kern w:val="0"/>
                <w:sz w:val="20"/>
                <w:szCs w:val="20"/>
              </w:rPr>
              <w:t>月</w:t>
            </w:r>
            <w:r>
              <w:rPr>
                <w:rFonts w:ascii="Arial" w:eastAsia="宋体" w:hAnsi="Arial" w:cs="Arial"/>
                <w:kern w:val="0"/>
                <w:sz w:val="20"/>
                <w:szCs w:val="20"/>
              </w:rPr>
              <w:t>14</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中国工商银行股份有限公司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34</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博时中证银联智惠大数据</w:t>
            </w:r>
            <w:r>
              <w:rPr>
                <w:rFonts w:ascii="Arial" w:eastAsia="宋体" w:hAnsi="Arial" w:cs="Arial"/>
                <w:kern w:val="0"/>
                <w:sz w:val="20"/>
                <w:szCs w:val="20"/>
              </w:rPr>
              <w:t>100</w:t>
            </w:r>
            <w:r>
              <w:rPr>
                <w:rFonts w:ascii="Arial" w:eastAsia="宋体" w:hAnsi="Arial" w:cs="Arial"/>
                <w:kern w:val="0"/>
                <w:sz w:val="20"/>
                <w:szCs w:val="20"/>
              </w:rPr>
              <w:t>指数型证券投资基金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2016</w:t>
            </w:r>
            <w:r>
              <w:rPr>
                <w:rFonts w:ascii="Arial" w:eastAsia="宋体" w:hAnsi="Arial" w:cs="Arial"/>
                <w:kern w:val="0"/>
                <w:sz w:val="20"/>
                <w:szCs w:val="20"/>
              </w:rPr>
              <w:t>年</w:t>
            </w:r>
            <w:r>
              <w:rPr>
                <w:rFonts w:ascii="Arial" w:eastAsia="宋体" w:hAnsi="Arial" w:cs="Arial"/>
                <w:kern w:val="0"/>
                <w:sz w:val="20"/>
                <w:szCs w:val="20"/>
              </w:rPr>
              <w:t>5</w:t>
            </w:r>
            <w:r>
              <w:rPr>
                <w:rFonts w:ascii="Arial" w:eastAsia="宋体" w:hAnsi="Arial" w:cs="Arial"/>
                <w:kern w:val="0"/>
                <w:sz w:val="20"/>
                <w:szCs w:val="20"/>
              </w:rPr>
              <w:t>月</w:t>
            </w:r>
            <w:r>
              <w:rPr>
                <w:rFonts w:ascii="Arial" w:eastAsia="宋体" w:hAnsi="Arial" w:cs="Arial"/>
                <w:kern w:val="0"/>
                <w:sz w:val="20"/>
                <w:szCs w:val="20"/>
              </w:rPr>
              <w:t>20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中国工商银行股份有限公司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35</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5-10</w:t>
            </w:r>
            <w:r>
              <w:rPr>
                <w:rFonts w:ascii="Arial" w:eastAsia="宋体" w:hAnsi="Arial" w:cs="Arial"/>
                <w:kern w:val="0"/>
                <w:sz w:val="20"/>
                <w:szCs w:val="20"/>
              </w:rPr>
              <w:t>年农发行债券指数证券投资基金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3</w:t>
            </w:r>
            <w:r>
              <w:rPr>
                <w:rFonts w:ascii="Arial" w:eastAsia="宋体" w:hAnsi="Arial" w:cs="Arial"/>
                <w:kern w:val="0"/>
                <w:sz w:val="20"/>
                <w:szCs w:val="20"/>
              </w:rPr>
              <w:t>月</w:t>
            </w:r>
            <w:r>
              <w:rPr>
                <w:rFonts w:ascii="Arial" w:eastAsia="宋体" w:hAnsi="Arial" w:cs="Arial"/>
                <w:kern w:val="0"/>
                <w:sz w:val="20"/>
                <w:szCs w:val="20"/>
              </w:rPr>
              <w:t>20</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中国工商银行股份有限公司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36</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博时中债</w:t>
            </w:r>
            <w:r>
              <w:rPr>
                <w:rFonts w:ascii="Arial" w:eastAsia="宋体" w:hAnsi="Arial" w:cs="Arial"/>
                <w:kern w:val="0"/>
                <w:sz w:val="20"/>
                <w:szCs w:val="20"/>
              </w:rPr>
              <w:t>3-5</w:t>
            </w:r>
            <w:r>
              <w:rPr>
                <w:rFonts w:ascii="Arial" w:eastAsia="宋体" w:hAnsi="Arial" w:cs="Arial"/>
                <w:kern w:val="0"/>
                <w:sz w:val="20"/>
                <w:szCs w:val="20"/>
              </w:rPr>
              <w:t>年政策性金融债指数证券投资基金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2019</w:t>
            </w:r>
            <w:r>
              <w:rPr>
                <w:rFonts w:ascii="Arial" w:eastAsia="宋体" w:hAnsi="Arial" w:cs="Arial"/>
                <w:kern w:val="0"/>
                <w:sz w:val="20"/>
                <w:szCs w:val="20"/>
              </w:rPr>
              <w:t>年</w:t>
            </w:r>
            <w:r>
              <w:rPr>
                <w:rFonts w:ascii="Arial" w:eastAsia="宋体" w:hAnsi="Arial" w:cs="Arial"/>
                <w:kern w:val="0"/>
                <w:sz w:val="20"/>
                <w:szCs w:val="20"/>
              </w:rPr>
              <w:t>12</w:t>
            </w:r>
            <w:r>
              <w:rPr>
                <w:rFonts w:ascii="Arial" w:eastAsia="宋体" w:hAnsi="Arial" w:cs="Arial"/>
                <w:kern w:val="0"/>
                <w:sz w:val="20"/>
                <w:szCs w:val="20"/>
              </w:rPr>
              <w:t>月</w:t>
            </w:r>
            <w:r>
              <w:rPr>
                <w:rFonts w:ascii="Arial" w:eastAsia="宋体" w:hAnsi="Arial" w:cs="Arial"/>
                <w:kern w:val="0"/>
                <w:sz w:val="20"/>
                <w:szCs w:val="20"/>
              </w:rPr>
              <w:t>19</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中国邮政储蓄银行股份有限公司</w:t>
            </w:r>
          </w:p>
        </w:tc>
      </w:tr>
      <w:tr w:rsidR="0034763E" w:rsidTr="00EA43C8">
        <w:trPr>
          <w:trHeight w:val="249"/>
          <w:jc w:val="center"/>
        </w:trPr>
        <w:tc>
          <w:tcPr>
            <w:tcW w:w="741"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kern w:val="0"/>
                <w:sz w:val="20"/>
                <w:szCs w:val="20"/>
              </w:rPr>
              <w:t>37</w:t>
            </w:r>
          </w:p>
        </w:tc>
        <w:tc>
          <w:tcPr>
            <w:tcW w:w="6058" w:type="dxa"/>
            <w:tcBorders>
              <w:top w:val="nil"/>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博时中证</w:t>
            </w:r>
            <w:r>
              <w:rPr>
                <w:rFonts w:ascii="Arial" w:eastAsia="宋体" w:hAnsi="Arial" w:cs="Arial"/>
                <w:kern w:val="0"/>
                <w:sz w:val="20"/>
                <w:szCs w:val="20"/>
              </w:rPr>
              <w:t>5G</w:t>
            </w:r>
            <w:r>
              <w:rPr>
                <w:rFonts w:ascii="Arial" w:eastAsia="宋体" w:hAnsi="Arial" w:cs="Arial"/>
                <w:kern w:val="0"/>
                <w:sz w:val="20"/>
                <w:szCs w:val="20"/>
              </w:rPr>
              <w:t>产业</w:t>
            </w:r>
            <w:r>
              <w:rPr>
                <w:rFonts w:ascii="Arial" w:eastAsia="宋体" w:hAnsi="Arial" w:cs="Arial"/>
                <w:kern w:val="0"/>
                <w:sz w:val="20"/>
                <w:szCs w:val="20"/>
              </w:rPr>
              <w:t>50</w:t>
            </w:r>
            <w:r>
              <w:rPr>
                <w:rFonts w:ascii="Arial" w:eastAsia="宋体" w:hAnsi="Arial" w:cs="Arial"/>
                <w:kern w:val="0"/>
                <w:sz w:val="20"/>
                <w:szCs w:val="20"/>
              </w:rPr>
              <w:t>交易型开放式指数证券投资基金</w:t>
            </w:r>
          </w:p>
        </w:tc>
        <w:tc>
          <w:tcPr>
            <w:tcW w:w="1985" w:type="dxa"/>
            <w:tcBorders>
              <w:top w:val="single" w:sz="4" w:space="0" w:color="auto"/>
              <w:left w:val="nil"/>
              <w:bottom w:val="single" w:sz="4" w:space="0" w:color="auto"/>
              <w:right w:val="single" w:sz="4" w:space="0" w:color="auto"/>
            </w:tcBorders>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2020</w:t>
            </w:r>
            <w:r>
              <w:rPr>
                <w:rFonts w:ascii="Arial" w:eastAsia="宋体" w:hAnsi="Arial" w:cs="Arial"/>
                <w:kern w:val="0"/>
                <w:sz w:val="20"/>
                <w:szCs w:val="20"/>
              </w:rPr>
              <w:t>年</w:t>
            </w:r>
            <w:r>
              <w:rPr>
                <w:rFonts w:ascii="Arial" w:eastAsia="宋体" w:hAnsi="Arial" w:cs="Arial"/>
                <w:kern w:val="0"/>
                <w:sz w:val="20"/>
                <w:szCs w:val="20"/>
              </w:rPr>
              <w:t>3</w:t>
            </w:r>
            <w:r>
              <w:rPr>
                <w:rFonts w:ascii="Arial" w:eastAsia="宋体" w:hAnsi="Arial" w:cs="Arial"/>
                <w:kern w:val="0"/>
                <w:sz w:val="20"/>
                <w:szCs w:val="20"/>
              </w:rPr>
              <w:t>月</w:t>
            </w:r>
            <w:r>
              <w:rPr>
                <w:rFonts w:ascii="Arial" w:eastAsia="宋体" w:hAnsi="Arial" w:cs="Arial"/>
                <w:kern w:val="0"/>
                <w:sz w:val="20"/>
                <w:szCs w:val="20"/>
              </w:rPr>
              <w:t>27</w:t>
            </w:r>
            <w:r>
              <w:rPr>
                <w:rFonts w:ascii="Arial" w:eastAsia="宋体" w:hAnsi="Arial" w:cs="Arial"/>
                <w:kern w:val="0"/>
                <w:sz w:val="20"/>
                <w:szCs w:val="20"/>
              </w:rPr>
              <w:t>日</w:t>
            </w:r>
          </w:p>
        </w:tc>
        <w:tc>
          <w:tcPr>
            <w:tcW w:w="2698" w:type="dxa"/>
            <w:tcBorders>
              <w:top w:val="nil"/>
              <w:left w:val="single" w:sz="4" w:space="0" w:color="auto"/>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中信建投证券股份有限公司</w:t>
            </w:r>
          </w:p>
        </w:tc>
      </w:tr>
      <w:tr w:rsidR="0034763E" w:rsidTr="00EA43C8">
        <w:trPr>
          <w:trHeight w:val="249"/>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63E" w:rsidRDefault="00D5175F">
            <w:pPr>
              <w:widowControl/>
              <w:jc w:val="center"/>
              <w:rPr>
                <w:rFonts w:ascii="Arial" w:eastAsia="宋体" w:hAnsi="Arial" w:cs="Arial"/>
                <w:kern w:val="0"/>
                <w:sz w:val="20"/>
                <w:szCs w:val="20"/>
              </w:rPr>
            </w:pPr>
            <w:r>
              <w:rPr>
                <w:rFonts w:ascii="Arial" w:eastAsia="宋体" w:hAnsi="Arial" w:cs="Arial" w:hint="eastAsia"/>
                <w:kern w:val="0"/>
                <w:sz w:val="20"/>
                <w:szCs w:val="20"/>
              </w:rPr>
              <w:t>3</w:t>
            </w:r>
            <w:r>
              <w:rPr>
                <w:rFonts w:ascii="Arial" w:eastAsia="宋体" w:hAnsi="Arial" w:cs="Arial"/>
                <w:kern w:val="0"/>
                <w:sz w:val="20"/>
                <w:szCs w:val="20"/>
              </w:rPr>
              <w:t>8</w:t>
            </w:r>
          </w:p>
        </w:tc>
        <w:tc>
          <w:tcPr>
            <w:tcW w:w="6058" w:type="dxa"/>
            <w:tcBorders>
              <w:top w:val="single" w:sz="4" w:space="0" w:color="auto"/>
              <w:left w:val="nil"/>
              <w:bottom w:val="single" w:sz="4" w:space="0" w:color="auto"/>
              <w:right w:val="single" w:sz="4" w:space="0" w:color="auto"/>
            </w:tcBorders>
            <w:shd w:val="clear" w:color="auto" w:fill="auto"/>
            <w:noWrap/>
            <w:vAlign w:val="bottom"/>
          </w:tcPr>
          <w:p w:rsidR="0034763E" w:rsidRDefault="00D5175F">
            <w:pPr>
              <w:widowControl/>
              <w:jc w:val="left"/>
              <w:rPr>
                <w:rFonts w:ascii="Arial" w:eastAsia="宋体" w:hAnsi="Arial" w:cs="Arial"/>
                <w:kern w:val="0"/>
                <w:sz w:val="20"/>
                <w:szCs w:val="20"/>
              </w:rPr>
            </w:pPr>
            <w:r>
              <w:rPr>
                <w:rFonts w:ascii="Arial" w:eastAsia="宋体" w:hAnsi="Arial" w:cs="Arial" w:hint="eastAsia"/>
                <w:kern w:val="0"/>
                <w:sz w:val="20"/>
                <w:szCs w:val="20"/>
              </w:rPr>
              <w:t>博时恒生医疗保健交易型开放式指数证券投资基金</w:t>
            </w:r>
            <w:r>
              <w:rPr>
                <w:rFonts w:ascii="Arial" w:eastAsia="宋体" w:hAnsi="Arial" w:cs="Arial" w:hint="eastAsia"/>
                <w:kern w:val="0"/>
                <w:sz w:val="20"/>
                <w:szCs w:val="20"/>
              </w:rPr>
              <w:t>(QDII)</w:t>
            </w:r>
          </w:p>
        </w:tc>
        <w:tc>
          <w:tcPr>
            <w:tcW w:w="1985" w:type="dxa"/>
            <w:tcBorders>
              <w:top w:val="single" w:sz="4" w:space="0" w:color="auto"/>
              <w:left w:val="nil"/>
              <w:bottom w:val="single" w:sz="4" w:space="0" w:color="auto"/>
              <w:right w:val="single" w:sz="4" w:space="0" w:color="auto"/>
            </w:tcBorders>
          </w:tcPr>
          <w:p w:rsidR="0034763E" w:rsidRDefault="00D5175F">
            <w:pPr>
              <w:widowControl/>
              <w:jc w:val="left"/>
              <w:rPr>
                <w:rFonts w:ascii="Arial" w:eastAsia="宋体" w:hAnsi="Arial" w:cs="Arial"/>
                <w:kern w:val="0"/>
                <w:sz w:val="20"/>
                <w:szCs w:val="20"/>
              </w:rPr>
            </w:pPr>
            <w:r>
              <w:rPr>
                <w:rFonts w:ascii="Arial" w:eastAsia="宋体" w:hAnsi="Arial" w:cs="Arial"/>
                <w:kern w:val="0"/>
                <w:sz w:val="20"/>
                <w:szCs w:val="20"/>
              </w:rPr>
              <w:t>2021</w:t>
            </w:r>
            <w:r>
              <w:rPr>
                <w:rFonts w:ascii="Arial" w:eastAsia="宋体" w:hAnsi="Arial" w:cs="Arial"/>
                <w:kern w:val="0"/>
                <w:sz w:val="20"/>
                <w:szCs w:val="20"/>
              </w:rPr>
              <w:t>年</w:t>
            </w:r>
            <w:r>
              <w:rPr>
                <w:rFonts w:ascii="Arial" w:eastAsia="宋体" w:hAnsi="Arial" w:cs="Arial"/>
                <w:kern w:val="0"/>
                <w:sz w:val="20"/>
                <w:szCs w:val="20"/>
              </w:rPr>
              <w:t>3</w:t>
            </w:r>
            <w:r>
              <w:rPr>
                <w:rFonts w:ascii="Arial" w:eastAsia="宋体" w:hAnsi="Arial" w:cs="Arial"/>
                <w:kern w:val="0"/>
                <w:sz w:val="20"/>
                <w:szCs w:val="20"/>
              </w:rPr>
              <w:t>月</w:t>
            </w:r>
            <w:r>
              <w:rPr>
                <w:rFonts w:ascii="Arial" w:eastAsia="宋体" w:hAnsi="Arial" w:cs="Arial"/>
                <w:kern w:val="0"/>
                <w:sz w:val="20"/>
                <w:szCs w:val="20"/>
              </w:rPr>
              <w:t>18</w:t>
            </w:r>
            <w:r>
              <w:rPr>
                <w:rFonts w:ascii="Arial" w:eastAsia="宋体" w:hAnsi="Arial" w:cs="Arial"/>
                <w:kern w:val="0"/>
                <w:sz w:val="20"/>
                <w:szCs w:val="20"/>
              </w:rPr>
              <w:t>日</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63E" w:rsidRDefault="00D5175F" w:rsidP="00BC5754">
            <w:pPr>
              <w:widowControl/>
              <w:jc w:val="center"/>
              <w:rPr>
                <w:rFonts w:ascii="Arial" w:eastAsia="宋体" w:hAnsi="Arial" w:cs="Arial"/>
                <w:kern w:val="0"/>
                <w:sz w:val="20"/>
                <w:szCs w:val="20"/>
              </w:rPr>
            </w:pPr>
            <w:r>
              <w:rPr>
                <w:rFonts w:ascii="Arial" w:eastAsia="宋体" w:hAnsi="Arial" w:cs="Arial"/>
                <w:kern w:val="0"/>
                <w:sz w:val="20"/>
                <w:szCs w:val="20"/>
              </w:rPr>
              <w:t>中国农业银行股份有限公司</w:t>
            </w:r>
          </w:p>
        </w:tc>
      </w:tr>
    </w:tbl>
    <w:p w:rsidR="0034763E" w:rsidRDefault="0034763E">
      <w:pPr>
        <w:adjustRightInd w:val="0"/>
        <w:snapToGrid w:val="0"/>
        <w:spacing w:line="360" w:lineRule="auto"/>
        <w:ind w:firstLineChars="200" w:firstLine="420"/>
        <w:rPr>
          <w:rFonts w:asciiTheme="minorEastAsia" w:hAnsiTheme="minorEastAsia" w:cs="Times New Roman"/>
          <w:color w:val="000000" w:themeColor="text1"/>
          <w:szCs w:val="21"/>
        </w:rPr>
      </w:pPr>
    </w:p>
    <w:p w:rsidR="0034763E" w:rsidRDefault="00D5175F">
      <w:pPr>
        <w:pStyle w:val="ac"/>
        <w:numPr>
          <w:ilvl w:val="0"/>
          <w:numId w:val="1"/>
        </w:numPr>
        <w:adjustRightInd w:val="0"/>
        <w:snapToGrid w:val="0"/>
        <w:spacing w:line="360" w:lineRule="auto"/>
        <w:ind w:firstLineChars="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基金合同修改内容</w:t>
      </w:r>
    </w:p>
    <w:p w:rsidR="0034763E" w:rsidRDefault="00D5175F">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（一）股票指数基金</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1、在前言部分，订立基金合同的依据中增加“《公开募集证券投资基金运作指引第3号——指数基金指引》（以下简称“《指数基金指引》”）”；</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2、在前言部分补充“本基金为指数基金，投资者投资于本基金面临跟踪误差控制未达约定目标、指数编制机构停止服务、成份股停牌或退市等潜在风险，具体风险详见本基金招募说明书。”；</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3、在释义部分增加“《指数基金指引》：指中国证监会2021年1月22日颁布、同年2月1日实施的《公开募集证券投资基金运作指引第3号——指数基金指引》及颁布机关对其不时做出的修订”；</w:t>
      </w:r>
    </w:p>
    <w:p w:rsidR="0034763E" w:rsidRDefault="00D5175F" w:rsidP="00CC3DCA">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在投资章节，标的指数或者业绩比较基准中增加“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自指数编制机构停止标的指数的编制及发布至解决方案确定期间，基金管理人应按照指数编制机构提供的最近一个交易日的指数信息遵循基金份额持有人利益优先原则维持基金投资运作。”</w:t>
      </w:r>
      <w:r w:rsidR="00CC3DCA">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同时删除原来的内容。</w:t>
      </w:r>
    </w:p>
    <w:p w:rsidR="0034763E" w:rsidRDefault="00D5175F">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（二）股票指数基金联接基金</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1、在前言部分，订立基金合同的依据中增加“《公开募集证券投资基金运作指引第3号——指数基金指引》（以下简称“《指数基金指引》”）”</w:t>
      </w:r>
      <w:r w:rsidR="007B33E5">
        <w:rPr>
          <w:rFonts w:asciiTheme="minorEastAsia" w:hAnsiTheme="minorEastAsia" w:cs="Times New Roman" w:hint="eastAsia"/>
          <w:color w:val="000000" w:themeColor="text1"/>
          <w:szCs w:val="21"/>
        </w:rPr>
        <w:t>；</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2</w:t>
      </w:r>
      <w:r>
        <w:rPr>
          <w:rFonts w:asciiTheme="minorEastAsia" w:hAnsiTheme="minorEastAsia" w:cs="Times New Roman" w:hint="eastAsia"/>
          <w:color w:val="000000" w:themeColor="text1"/>
          <w:szCs w:val="21"/>
        </w:rPr>
        <w:t>、在前言部分补充：“本基金主要投资于目标ETF、标的指数成份股和备选成分股，投资者投资于本基金面临跟踪误差控制未达约定目标、指数编制机构停止服务、成份股停牌或退市等潜在风险，具体风险详见本基金招募说明书。”；</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lastRenderedPageBreak/>
        <w:t>3、在释义部分增加“《指数基金指引》：指中国证监会2021年1月22日颁布、同年2月1日实施的《公开募集证券投资基金运作指引第3号——指数基金指引》及颁布机关对其不时做出的修订”</w:t>
      </w:r>
      <w:r w:rsidR="007B33E5">
        <w:rPr>
          <w:rFonts w:asciiTheme="minorEastAsia" w:hAnsiTheme="minorEastAsia" w:cs="Times New Roman" w:hint="eastAsia"/>
          <w:color w:val="000000" w:themeColor="text1"/>
          <w:szCs w:val="21"/>
        </w:rPr>
        <w:t>；</w:t>
      </w:r>
    </w:p>
    <w:p w:rsidR="0034763E" w:rsidRDefault="00D5175F" w:rsidP="001F76C5">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4</w:t>
      </w:r>
      <w:r>
        <w:rPr>
          <w:rFonts w:asciiTheme="minorEastAsia" w:hAnsiTheme="minorEastAsia" w:cs="Times New Roman" w:hint="eastAsia"/>
          <w:color w:val="000000" w:themeColor="text1"/>
          <w:szCs w:val="21"/>
        </w:rPr>
        <w:t>、在投资章节中，标的指数或者业绩比较基准中增加“未来若出现标的指数不符合要求（因成份股价格波动等指数编制方法变动之外的因素致使标的指数不符合要求以及法律法规、监管机构另有规定的情形除外）、指数编制机构退出等情形，除法律法规、监管机构另有规定或基金合同另有规定除外，基金管理人应当自该情形发生之日起十个工作日内向中国证监会报告并提出解决方案，如更换基金标的指数、转换运作方式、与其他基金合并或者终止基金合同等，并在6个月内召集基金份额持有人大会进行表决。自指数编制机构停止标的指数的编制及发布至解决方案确定期间，基金管理人应按照指数编制机构提供的最近一个交易日的指数信息遵循基金份额持有人利益优先原则维持基金投资运作。”</w:t>
      </w:r>
      <w:r w:rsidR="00407E0C">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同时删除原来的内容</w:t>
      </w:r>
      <w:r w:rsidR="007B33E5">
        <w:rPr>
          <w:rFonts w:asciiTheme="minorEastAsia" w:hAnsiTheme="minorEastAsia" w:cs="Times New Roman" w:hint="eastAsia"/>
          <w:color w:val="000000" w:themeColor="text1"/>
          <w:szCs w:val="21"/>
        </w:rPr>
        <w:t>；</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5、如有，在投资章节“目标ETF发生相关变更情形的处理方式”中增加“除标的指数不符合要求（因成份股价格波动等指数编制方法变动之外的因素致使标的指数不符合要求以及法律法规、监管机构另有规定的情形除外）、指数编制机构退出等原因外</w:t>
      </w:r>
      <w:r>
        <w:rPr>
          <w:rFonts w:asciiTheme="minorEastAsia" w:hAnsiTheme="minorEastAsia" w:cs="Times New Roman"/>
          <w:color w:val="000000" w:themeColor="text1"/>
          <w:szCs w:val="21"/>
        </w:rPr>
        <w:t>……</w:t>
      </w:r>
      <w:r>
        <w:rPr>
          <w:rFonts w:asciiTheme="minorEastAsia" w:hAnsiTheme="minorEastAsia" w:cs="Times New Roman" w:hint="eastAsia"/>
          <w:color w:val="000000" w:themeColor="text1"/>
          <w:szCs w:val="21"/>
        </w:rPr>
        <w:t>”</w:t>
      </w:r>
      <w:r w:rsidR="007B33E5">
        <w:rPr>
          <w:rFonts w:asciiTheme="minorEastAsia" w:hAnsiTheme="minorEastAsia" w:cs="Times New Roman" w:hint="eastAsia"/>
          <w:color w:val="000000" w:themeColor="text1"/>
          <w:szCs w:val="21"/>
        </w:rPr>
        <w:t>。</w:t>
      </w:r>
    </w:p>
    <w:p w:rsidR="0034763E" w:rsidRDefault="00D5175F">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（三）债券指数基金</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1、在前言部分，订立基金合同的依据中增加“《公开募集证券投资基金运作指引第3号——指数基金指引》（以下简称“《指数基金指引》”）”；</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2、在前言部分补充“本基金为指数基金，投资者投资于本基金面临跟踪误差控制未达约定目标、指数编制机构停止服务、成份券违约等潜在风险，具体风险详见本基金招募说明书。”</w:t>
      </w:r>
      <w:r w:rsidR="007B33E5">
        <w:rPr>
          <w:rFonts w:asciiTheme="minorEastAsia" w:hAnsiTheme="minorEastAsia" w:cs="Times New Roman" w:hint="eastAsia"/>
          <w:color w:val="000000" w:themeColor="text1"/>
          <w:szCs w:val="21"/>
        </w:rPr>
        <w:t>；</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3、在释义部分增加“《指数基金指引》：指中国证监会2021年1月22日颁布、同年2月1日实施的《公开募集证券投资基金运作指引第3号——指数基金指引》及颁布机关对其不时做出的修订”</w:t>
      </w:r>
      <w:r w:rsidR="007B33E5">
        <w:rPr>
          <w:rFonts w:asciiTheme="minorEastAsia" w:hAnsiTheme="minorEastAsia" w:cs="Times New Roman" w:hint="eastAsia"/>
          <w:color w:val="000000" w:themeColor="text1"/>
          <w:szCs w:val="21"/>
        </w:rPr>
        <w:t>；</w:t>
      </w:r>
    </w:p>
    <w:p w:rsidR="0034763E" w:rsidRDefault="00EA43C8" w:rsidP="00407E0C">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4</w:t>
      </w:r>
      <w:r w:rsidR="00D5175F">
        <w:rPr>
          <w:rFonts w:asciiTheme="minorEastAsia" w:hAnsiTheme="minorEastAsia" w:cs="Times New Roman" w:hint="eastAsia"/>
          <w:color w:val="000000" w:themeColor="text1"/>
          <w:szCs w:val="21"/>
        </w:rPr>
        <w:t>、在投资章节，业绩比较基准中增加“未来若出现标的指数不符合要求（因成份券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r w:rsidR="00407E0C">
        <w:rPr>
          <w:rFonts w:asciiTheme="minorEastAsia" w:hAnsiTheme="minorEastAsia" w:cs="Times New Roman" w:hint="eastAsia"/>
          <w:color w:val="000000" w:themeColor="text1"/>
          <w:szCs w:val="21"/>
        </w:rPr>
        <w:t>。</w:t>
      </w:r>
      <w:r w:rsidR="00D5175F">
        <w:rPr>
          <w:rFonts w:asciiTheme="minorEastAsia" w:hAnsiTheme="minorEastAsia" w:cs="Times New Roman"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r w:rsidR="00CC3DCA">
        <w:rPr>
          <w:rFonts w:asciiTheme="minorEastAsia" w:hAnsiTheme="minorEastAsia" w:cs="Times New Roman" w:hint="eastAsia"/>
          <w:color w:val="000000" w:themeColor="text1"/>
          <w:szCs w:val="21"/>
        </w:rPr>
        <w:t>，</w:t>
      </w:r>
      <w:r w:rsidR="00D5175F">
        <w:rPr>
          <w:rFonts w:asciiTheme="minorEastAsia" w:hAnsiTheme="minorEastAsia" w:cs="Times New Roman" w:hint="eastAsia"/>
          <w:color w:val="000000" w:themeColor="text1"/>
          <w:szCs w:val="21"/>
        </w:rPr>
        <w:t>同时删除原来的内容。</w:t>
      </w:r>
    </w:p>
    <w:p w:rsidR="0034763E" w:rsidRDefault="0034763E">
      <w:pPr>
        <w:adjustRightInd w:val="0"/>
        <w:snapToGrid w:val="0"/>
        <w:spacing w:line="360" w:lineRule="auto"/>
        <w:ind w:firstLineChars="200" w:firstLine="480"/>
        <w:rPr>
          <w:rFonts w:ascii="宋体" w:eastAsia="宋体" w:hAnsi="宋体" w:cs="Times New Roman"/>
          <w:sz w:val="24"/>
          <w:szCs w:val="24"/>
        </w:rPr>
      </w:pP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三、本次修改系根据法律法规的变动而进行的修改，对基金份额持有人利益无实质性不利影响，不需要召开基金份额持有人大会。</w:t>
      </w:r>
      <w:r>
        <w:rPr>
          <w:rFonts w:asciiTheme="minorEastAsia" w:hAnsiTheme="minorEastAsia" w:cs="Times New Roman"/>
          <w:color w:val="000000" w:themeColor="text1"/>
          <w:szCs w:val="21"/>
        </w:rPr>
        <w:t>修改后的基金合同自2021年3月31日起生效，基金管理人已履行了规定程序，符合相关法律法规的规定及基金合同的约定。修改后的基金合同全文将与本公告同日登载于基金管理人网站（www.</w:t>
      </w:r>
      <w:r>
        <w:rPr>
          <w:rFonts w:asciiTheme="minorEastAsia" w:hAnsiTheme="minorEastAsia" w:cs="Times New Roman" w:hint="eastAsia"/>
          <w:color w:val="000000" w:themeColor="text1"/>
          <w:szCs w:val="21"/>
        </w:rPr>
        <w:t>bosera</w:t>
      </w:r>
      <w:r>
        <w:rPr>
          <w:rFonts w:asciiTheme="minorEastAsia" w:hAnsiTheme="minorEastAsia" w:cs="Times New Roman"/>
          <w:color w:val="000000" w:themeColor="text1"/>
          <w:szCs w:val="21"/>
        </w:rPr>
        <w:t>.com.cn）及中国证监会基金电子披露网站（http://eid.csrc.gov.cn/fund）。根据修改的基金合同，基金管理人将更新本基金的招募说明书和基金产品资料概要相关内容，并揭示风险。</w:t>
      </w:r>
    </w:p>
    <w:p w:rsidR="0034763E" w:rsidRDefault="0034763E">
      <w:pPr>
        <w:adjustRightInd w:val="0"/>
        <w:snapToGrid w:val="0"/>
        <w:spacing w:line="360" w:lineRule="auto"/>
        <w:ind w:firstLineChars="200" w:firstLine="420"/>
        <w:rPr>
          <w:rFonts w:asciiTheme="minorEastAsia" w:hAnsiTheme="minorEastAsia" w:cs="Times New Roman"/>
          <w:color w:val="000000" w:themeColor="text1"/>
          <w:szCs w:val="21"/>
        </w:rPr>
      </w:pPr>
    </w:p>
    <w:p w:rsidR="0034763E" w:rsidRDefault="00D5175F" w:rsidP="009C2F01">
      <w:pPr>
        <w:adjustRightInd w:val="0"/>
        <w:snapToGrid w:val="0"/>
        <w:spacing w:line="360" w:lineRule="auto"/>
        <w:ind w:left="480"/>
        <w:rPr>
          <w:rFonts w:ascii="宋体" w:eastAsia="宋体" w:hAnsi="宋体" w:cs="Times New Roman"/>
          <w:sz w:val="24"/>
          <w:szCs w:val="24"/>
        </w:rPr>
      </w:pPr>
      <w:r>
        <w:rPr>
          <w:rFonts w:ascii="宋体" w:hAnsi="宋体"/>
          <w:szCs w:val="21"/>
        </w:rPr>
        <w:t>四</w:t>
      </w:r>
      <w:r>
        <w:rPr>
          <w:rFonts w:ascii="宋体" w:hAnsi="宋体" w:hint="eastAsia"/>
          <w:szCs w:val="21"/>
        </w:rPr>
        <w:t>、</w:t>
      </w:r>
      <w:r w:rsidRPr="003577D9">
        <w:rPr>
          <w:rFonts w:ascii="宋体" w:hAnsi="宋体" w:hint="eastAsia"/>
          <w:szCs w:val="21"/>
        </w:rPr>
        <w:t>其他事项</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Pr>
          <w:rFonts w:asciiTheme="minorEastAsia" w:hAnsiTheme="minorEastAsia" w:cs="Times New Roman"/>
          <w:color w:val="000000" w:themeColor="text1"/>
          <w:szCs w:val="21"/>
        </w:rPr>
        <w:t>投资者可通过以下途径咨询有关详情</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（1）本公司</w:t>
      </w:r>
      <w:r>
        <w:rPr>
          <w:rFonts w:asciiTheme="minorEastAsia" w:hAnsiTheme="minorEastAsia" w:cs="Times New Roman"/>
          <w:color w:val="000000" w:themeColor="text1"/>
          <w:szCs w:val="21"/>
        </w:rPr>
        <w:t>客户服务电话：</w:t>
      </w:r>
      <w:r>
        <w:rPr>
          <w:rFonts w:asciiTheme="minorEastAsia" w:hAnsiTheme="minorEastAsia" w:cs="Times New Roman" w:hint="eastAsia"/>
          <w:color w:val="000000" w:themeColor="text1"/>
          <w:szCs w:val="21"/>
        </w:rPr>
        <w:t>95105568（</w:t>
      </w:r>
      <w:r>
        <w:rPr>
          <w:rFonts w:asciiTheme="minorEastAsia" w:hAnsiTheme="minorEastAsia" w:cs="Times New Roman"/>
          <w:color w:val="000000" w:themeColor="text1"/>
          <w:szCs w:val="21"/>
        </w:rPr>
        <w:t>全国免长途话费）；</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（2）本公司</w:t>
      </w:r>
      <w:r>
        <w:rPr>
          <w:rFonts w:asciiTheme="minorEastAsia" w:hAnsiTheme="minorEastAsia" w:cs="Times New Roman"/>
          <w:color w:val="000000" w:themeColor="text1"/>
          <w:szCs w:val="21"/>
        </w:rPr>
        <w:t>网址</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http://www.bosera.com。</w:t>
      </w:r>
    </w:p>
    <w:p w:rsidR="0034763E" w:rsidRDefault="00D5175F">
      <w:pPr>
        <w:adjustRightInd w:val="0"/>
        <w:snapToGrid w:val="0"/>
        <w:spacing w:line="360" w:lineRule="auto"/>
        <w:ind w:firstLineChars="200" w:firstLine="420"/>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 xml:space="preserve">2．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 </w:t>
      </w:r>
    </w:p>
    <w:p w:rsidR="0034763E" w:rsidRDefault="0034763E">
      <w:pPr>
        <w:adjustRightInd w:val="0"/>
        <w:snapToGrid w:val="0"/>
        <w:spacing w:line="360" w:lineRule="auto"/>
        <w:ind w:left="480"/>
        <w:rPr>
          <w:rFonts w:ascii="宋体" w:hAnsi="宋体"/>
          <w:szCs w:val="21"/>
        </w:rPr>
      </w:pPr>
    </w:p>
    <w:p w:rsidR="0034763E" w:rsidRDefault="00D5175F">
      <w:pPr>
        <w:adjustRightInd w:val="0"/>
        <w:snapToGrid w:val="0"/>
        <w:spacing w:line="360" w:lineRule="auto"/>
        <w:ind w:left="480"/>
        <w:rPr>
          <w:rFonts w:ascii="宋体" w:hAnsi="宋体"/>
          <w:szCs w:val="21"/>
        </w:rPr>
      </w:pPr>
      <w:r>
        <w:rPr>
          <w:rFonts w:ascii="宋体" w:hAnsi="宋体"/>
          <w:szCs w:val="21"/>
        </w:rPr>
        <w:t xml:space="preserve">特此公告。 </w:t>
      </w:r>
    </w:p>
    <w:p w:rsidR="00A76B3B" w:rsidRDefault="00A76B3B">
      <w:pPr>
        <w:adjustRightInd w:val="0"/>
        <w:snapToGrid w:val="0"/>
        <w:spacing w:line="360" w:lineRule="auto"/>
        <w:ind w:left="480"/>
        <w:jc w:val="right"/>
        <w:rPr>
          <w:rFonts w:ascii="宋体" w:hAnsi="宋体"/>
          <w:szCs w:val="21"/>
        </w:rPr>
      </w:pPr>
    </w:p>
    <w:p w:rsidR="0034763E" w:rsidRDefault="00D5175F">
      <w:pPr>
        <w:adjustRightInd w:val="0"/>
        <w:snapToGrid w:val="0"/>
        <w:spacing w:line="360" w:lineRule="auto"/>
        <w:ind w:left="480"/>
        <w:jc w:val="right"/>
        <w:rPr>
          <w:rFonts w:ascii="宋体" w:hAnsi="宋体"/>
          <w:szCs w:val="21"/>
        </w:rPr>
      </w:pPr>
      <w:r>
        <w:rPr>
          <w:rFonts w:ascii="宋体" w:hAnsi="宋体" w:hint="eastAsia"/>
          <w:szCs w:val="21"/>
        </w:rPr>
        <w:t>博时</w:t>
      </w:r>
      <w:r>
        <w:rPr>
          <w:rFonts w:ascii="宋体" w:hAnsi="宋体"/>
          <w:szCs w:val="21"/>
        </w:rPr>
        <w:t xml:space="preserve">基金管理有限公司 </w:t>
      </w:r>
    </w:p>
    <w:p w:rsidR="0034763E" w:rsidRDefault="00D5175F" w:rsidP="00A76B3B">
      <w:pPr>
        <w:adjustRightInd w:val="0"/>
        <w:snapToGrid w:val="0"/>
        <w:spacing w:line="360" w:lineRule="auto"/>
        <w:jc w:val="right"/>
        <w:rPr>
          <w:rFonts w:ascii="宋体" w:eastAsia="宋体" w:hAnsi="宋体" w:cs="Times New Roman"/>
          <w:sz w:val="24"/>
          <w:szCs w:val="24"/>
        </w:rPr>
      </w:pPr>
      <w:r>
        <w:rPr>
          <w:rFonts w:ascii="宋体" w:hAnsi="宋体"/>
          <w:szCs w:val="21"/>
        </w:rPr>
        <w:t>2021年03月31日</w:t>
      </w:r>
    </w:p>
    <w:p w:rsidR="0034763E" w:rsidRDefault="0034763E" w:rsidP="00A76B3B">
      <w:pPr>
        <w:adjustRightInd w:val="0"/>
        <w:snapToGrid w:val="0"/>
        <w:spacing w:line="360" w:lineRule="auto"/>
        <w:jc w:val="left"/>
        <w:rPr>
          <w:rFonts w:asciiTheme="minorEastAsia" w:hAnsiTheme="minorEastAsia" w:cs="Times New Roman"/>
          <w:b/>
          <w:szCs w:val="21"/>
        </w:rPr>
      </w:pPr>
    </w:p>
    <w:sectPr w:rsidR="0034763E" w:rsidSect="00873F03">
      <w:footerReference w:type="default" r:id="rId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53" w:rsidRDefault="003F1A53">
      <w:r>
        <w:separator/>
      </w:r>
    </w:p>
  </w:endnote>
  <w:endnote w:type="continuationSeparator" w:id="0">
    <w:p w:rsidR="003F1A53" w:rsidRDefault="003F1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96626"/>
      <w:docPartObj>
        <w:docPartGallery w:val="AutoText"/>
      </w:docPartObj>
    </w:sdtPr>
    <w:sdtContent>
      <w:p w:rsidR="0034763E" w:rsidRDefault="00873F03">
        <w:pPr>
          <w:pStyle w:val="a6"/>
          <w:jc w:val="center"/>
        </w:pPr>
        <w:r>
          <w:fldChar w:fldCharType="begin"/>
        </w:r>
        <w:r w:rsidR="00D5175F">
          <w:instrText>PAGE   \* MERGEFORMAT</w:instrText>
        </w:r>
        <w:r>
          <w:fldChar w:fldCharType="separate"/>
        </w:r>
        <w:r w:rsidR="00352DC2" w:rsidRPr="00352DC2">
          <w:rPr>
            <w:noProof/>
            <w:lang w:val="zh-CN"/>
          </w:rPr>
          <w:t>1</w:t>
        </w:r>
        <w:r>
          <w:fldChar w:fldCharType="end"/>
        </w:r>
      </w:p>
    </w:sdtContent>
  </w:sdt>
  <w:p w:rsidR="0034763E" w:rsidRDefault="003476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53" w:rsidRDefault="003F1A53">
      <w:r>
        <w:separator/>
      </w:r>
    </w:p>
  </w:footnote>
  <w:footnote w:type="continuationSeparator" w:id="0">
    <w:p w:rsidR="003F1A53" w:rsidRDefault="003F1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C0642"/>
    <w:multiLevelType w:val="multilevel"/>
    <w:tmpl w:val="708C0642"/>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E83"/>
    <w:rsid w:val="00001193"/>
    <w:rsid w:val="000034A1"/>
    <w:rsid w:val="000065F2"/>
    <w:rsid w:val="00011A89"/>
    <w:rsid w:val="00021F92"/>
    <w:rsid w:val="0002220C"/>
    <w:rsid w:val="00023542"/>
    <w:rsid w:val="00023E67"/>
    <w:rsid w:val="00024323"/>
    <w:rsid w:val="000309B4"/>
    <w:rsid w:val="000327FF"/>
    <w:rsid w:val="00032F55"/>
    <w:rsid w:val="0003510E"/>
    <w:rsid w:val="000367C3"/>
    <w:rsid w:val="000406C7"/>
    <w:rsid w:val="00043B4D"/>
    <w:rsid w:val="00043D6C"/>
    <w:rsid w:val="00044636"/>
    <w:rsid w:val="00051497"/>
    <w:rsid w:val="000559B8"/>
    <w:rsid w:val="00065BA2"/>
    <w:rsid w:val="00070ABE"/>
    <w:rsid w:val="00075E41"/>
    <w:rsid w:val="00081B21"/>
    <w:rsid w:val="00081E9B"/>
    <w:rsid w:val="00084D2A"/>
    <w:rsid w:val="00087313"/>
    <w:rsid w:val="000900DD"/>
    <w:rsid w:val="00094E83"/>
    <w:rsid w:val="00097AB2"/>
    <w:rsid w:val="000A0A7D"/>
    <w:rsid w:val="000A3334"/>
    <w:rsid w:val="000A3AAA"/>
    <w:rsid w:val="000A3E6F"/>
    <w:rsid w:val="000B6F91"/>
    <w:rsid w:val="000C16F6"/>
    <w:rsid w:val="000D139E"/>
    <w:rsid w:val="000D3724"/>
    <w:rsid w:val="000D4EC2"/>
    <w:rsid w:val="000D5E8C"/>
    <w:rsid w:val="000D7C5B"/>
    <w:rsid w:val="000E1526"/>
    <w:rsid w:val="000E729A"/>
    <w:rsid w:val="000F6DF9"/>
    <w:rsid w:val="000F741D"/>
    <w:rsid w:val="001009B9"/>
    <w:rsid w:val="001012C3"/>
    <w:rsid w:val="00116020"/>
    <w:rsid w:val="001243D2"/>
    <w:rsid w:val="00124901"/>
    <w:rsid w:val="00126246"/>
    <w:rsid w:val="00131163"/>
    <w:rsid w:val="00143780"/>
    <w:rsid w:val="00145617"/>
    <w:rsid w:val="001478CA"/>
    <w:rsid w:val="00156DCB"/>
    <w:rsid w:val="001652CB"/>
    <w:rsid w:val="00170318"/>
    <w:rsid w:val="001716F5"/>
    <w:rsid w:val="00171B2C"/>
    <w:rsid w:val="001723AE"/>
    <w:rsid w:val="00172A8D"/>
    <w:rsid w:val="0017646E"/>
    <w:rsid w:val="001765DF"/>
    <w:rsid w:val="00182824"/>
    <w:rsid w:val="00187BDD"/>
    <w:rsid w:val="001954D6"/>
    <w:rsid w:val="0019562D"/>
    <w:rsid w:val="00195A9A"/>
    <w:rsid w:val="00196D73"/>
    <w:rsid w:val="001A5D6B"/>
    <w:rsid w:val="001A6ABF"/>
    <w:rsid w:val="001A7765"/>
    <w:rsid w:val="001B18B3"/>
    <w:rsid w:val="001B1B1A"/>
    <w:rsid w:val="001B2823"/>
    <w:rsid w:val="001C54BD"/>
    <w:rsid w:val="001C77E7"/>
    <w:rsid w:val="001D49B4"/>
    <w:rsid w:val="001D7945"/>
    <w:rsid w:val="001E2A74"/>
    <w:rsid w:val="001E2C41"/>
    <w:rsid w:val="001E493A"/>
    <w:rsid w:val="001E4A3C"/>
    <w:rsid w:val="001F5A4E"/>
    <w:rsid w:val="001F73ED"/>
    <w:rsid w:val="001F76C5"/>
    <w:rsid w:val="00205FAA"/>
    <w:rsid w:val="002066CD"/>
    <w:rsid w:val="00211445"/>
    <w:rsid w:val="0021248C"/>
    <w:rsid w:val="002153FC"/>
    <w:rsid w:val="002166DF"/>
    <w:rsid w:val="002204B4"/>
    <w:rsid w:val="00243DDE"/>
    <w:rsid w:val="0024506E"/>
    <w:rsid w:val="00246A10"/>
    <w:rsid w:val="00253168"/>
    <w:rsid w:val="00257F9F"/>
    <w:rsid w:val="00266573"/>
    <w:rsid w:val="00280BD6"/>
    <w:rsid w:val="002847FD"/>
    <w:rsid w:val="00285562"/>
    <w:rsid w:val="00287342"/>
    <w:rsid w:val="00294E98"/>
    <w:rsid w:val="002A0554"/>
    <w:rsid w:val="002A5B43"/>
    <w:rsid w:val="002B2129"/>
    <w:rsid w:val="002C5B29"/>
    <w:rsid w:val="002C6239"/>
    <w:rsid w:val="002D2C3C"/>
    <w:rsid w:val="002D542F"/>
    <w:rsid w:val="002D6839"/>
    <w:rsid w:val="002E3612"/>
    <w:rsid w:val="002E7E0C"/>
    <w:rsid w:val="002F2BB0"/>
    <w:rsid w:val="002F46FF"/>
    <w:rsid w:val="00300F4A"/>
    <w:rsid w:val="00304A14"/>
    <w:rsid w:val="0030712A"/>
    <w:rsid w:val="00310CC5"/>
    <w:rsid w:val="00311115"/>
    <w:rsid w:val="00314774"/>
    <w:rsid w:val="00326B5D"/>
    <w:rsid w:val="00330857"/>
    <w:rsid w:val="00343558"/>
    <w:rsid w:val="00345516"/>
    <w:rsid w:val="00345A27"/>
    <w:rsid w:val="0034763E"/>
    <w:rsid w:val="00350D17"/>
    <w:rsid w:val="00350F36"/>
    <w:rsid w:val="00352DC2"/>
    <w:rsid w:val="00353091"/>
    <w:rsid w:val="00356059"/>
    <w:rsid w:val="003577D9"/>
    <w:rsid w:val="00361098"/>
    <w:rsid w:val="00363D06"/>
    <w:rsid w:val="003644C9"/>
    <w:rsid w:val="00365478"/>
    <w:rsid w:val="00367E8E"/>
    <w:rsid w:val="003849D5"/>
    <w:rsid w:val="0038725B"/>
    <w:rsid w:val="00390651"/>
    <w:rsid w:val="0039285F"/>
    <w:rsid w:val="0039492D"/>
    <w:rsid w:val="0039611B"/>
    <w:rsid w:val="003A398A"/>
    <w:rsid w:val="003A4A51"/>
    <w:rsid w:val="003A7BE1"/>
    <w:rsid w:val="003B1275"/>
    <w:rsid w:val="003B2F38"/>
    <w:rsid w:val="003C30BD"/>
    <w:rsid w:val="003D041C"/>
    <w:rsid w:val="003D0910"/>
    <w:rsid w:val="003E1399"/>
    <w:rsid w:val="003E40E3"/>
    <w:rsid w:val="003E46BD"/>
    <w:rsid w:val="003E67B6"/>
    <w:rsid w:val="003F1A53"/>
    <w:rsid w:val="003F7794"/>
    <w:rsid w:val="00402228"/>
    <w:rsid w:val="00407E0C"/>
    <w:rsid w:val="004118D1"/>
    <w:rsid w:val="00413C01"/>
    <w:rsid w:val="00414662"/>
    <w:rsid w:val="00417B08"/>
    <w:rsid w:val="00422B88"/>
    <w:rsid w:val="00423F35"/>
    <w:rsid w:val="00430425"/>
    <w:rsid w:val="004329A5"/>
    <w:rsid w:val="004348DA"/>
    <w:rsid w:val="004477F8"/>
    <w:rsid w:val="0045185E"/>
    <w:rsid w:val="00453A6B"/>
    <w:rsid w:val="004543D7"/>
    <w:rsid w:val="00455718"/>
    <w:rsid w:val="00455AE8"/>
    <w:rsid w:val="00456155"/>
    <w:rsid w:val="00457385"/>
    <w:rsid w:val="0046067D"/>
    <w:rsid w:val="00460A9E"/>
    <w:rsid w:val="00462456"/>
    <w:rsid w:val="00464DCA"/>
    <w:rsid w:val="00465CBF"/>
    <w:rsid w:val="0047199E"/>
    <w:rsid w:val="0047396A"/>
    <w:rsid w:val="004777C4"/>
    <w:rsid w:val="0048659A"/>
    <w:rsid w:val="0049153B"/>
    <w:rsid w:val="00492FF8"/>
    <w:rsid w:val="00496196"/>
    <w:rsid w:val="004A285C"/>
    <w:rsid w:val="004A61A3"/>
    <w:rsid w:val="004A6BBC"/>
    <w:rsid w:val="004A7276"/>
    <w:rsid w:val="004B4437"/>
    <w:rsid w:val="004B7930"/>
    <w:rsid w:val="004C1737"/>
    <w:rsid w:val="004C7C0B"/>
    <w:rsid w:val="004E2805"/>
    <w:rsid w:val="004E4405"/>
    <w:rsid w:val="004F1C26"/>
    <w:rsid w:val="005037D1"/>
    <w:rsid w:val="005059A5"/>
    <w:rsid w:val="00506C08"/>
    <w:rsid w:val="00510B6E"/>
    <w:rsid w:val="005110BE"/>
    <w:rsid w:val="005139E0"/>
    <w:rsid w:val="005143E0"/>
    <w:rsid w:val="00514EE9"/>
    <w:rsid w:val="00516690"/>
    <w:rsid w:val="005215C2"/>
    <w:rsid w:val="0052418B"/>
    <w:rsid w:val="00536FB7"/>
    <w:rsid w:val="0054196A"/>
    <w:rsid w:val="005422CB"/>
    <w:rsid w:val="00544B6F"/>
    <w:rsid w:val="005512C5"/>
    <w:rsid w:val="0055248E"/>
    <w:rsid w:val="00552549"/>
    <w:rsid w:val="00554102"/>
    <w:rsid w:val="0055539E"/>
    <w:rsid w:val="00563D93"/>
    <w:rsid w:val="0056455D"/>
    <w:rsid w:val="005677C6"/>
    <w:rsid w:val="00571C7D"/>
    <w:rsid w:val="0057620D"/>
    <w:rsid w:val="005779D3"/>
    <w:rsid w:val="005857E9"/>
    <w:rsid w:val="00586BA0"/>
    <w:rsid w:val="00590E82"/>
    <w:rsid w:val="00596516"/>
    <w:rsid w:val="00596D18"/>
    <w:rsid w:val="005A472D"/>
    <w:rsid w:val="005A66B3"/>
    <w:rsid w:val="005B064E"/>
    <w:rsid w:val="005B0A57"/>
    <w:rsid w:val="005C1226"/>
    <w:rsid w:val="005C2CEF"/>
    <w:rsid w:val="005C507E"/>
    <w:rsid w:val="005C679C"/>
    <w:rsid w:val="005D133A"/>
    <w:rsid w:val="005D528F"/>
    <w:rsid w:val="005E7279"/>
    <w:rsid w:val="005F03D4"/>
    <w:rsid w:val="005F14D9"/>
    <w:rsid w:val="005F467E"/>
    <w:rsid w:val="005F4DE2"/>
    <w:rsid w:val="00601294"/>
    <w:rsid w:val="006044AE"/>
    <w:rsid w:val="00605EE5"/>
    <w:rsid w:val="0061252C"/>
    <w:rsid w:val="00616E35"/>
    <w:rsid w:val="00616EA4"/>
    <w:rsid w:val="00621728"/>
    <w:rsid w:val="00622F08"/>
    <w:rsid w:val="006259F4"/>
    <w:rsid w:val="0063261A"/>
    <w:rsid w:val="0064009A"/>
    <w:rsid w:val="00647BC1"/>
    <w:rsid w:val="00665E1E"/>
    <w:rsid w:val="006764AD"/>
    <w:rsid w:val="006777D1"/>
    <w:rsid w:val="006823F9"/>
    <w:rsid w:val="006840F0"/>
    <w:rsid w:val="00685451"/>
    <w:rsid w:val="00695C8F"/>
    <w:rsid w:val="00697F8E"/>
    <w:rsid w:val="006A0A6C"/>
    <w:rsid w:val="006A3582"/>
    <w:rsid w:val="006A7B15"/>
    <w:rsid w:val="006B2410"/>
    <w:rsid w:val="006B33AA"/>
    <w:rsid w:val="006B546C"/>
    <w:rsid w:val="006B67EF"/>
    <w:rsid w:val="006C3B78"/>
    <w:rsid w:val="006D0710"/>
    <w:rsid w:val="006D42B9"/>
    <w:rsid w:val="006D7A18"/>
    <w:rsid w:val="006E3763"/>
    <w:rsid w:val="006E723B"/>
    <w:rsid w:val="006F2E67"/>
    <w:rsid w:val="006F55FC"/>
    <w:rsid w:val="006F6CF9"/>
    <w:rsid w:val="00717FD6"/>
    <w:rsid w:val="00726BC7"/>
    <w:rsid w:val="00733B5A"/>
    <w:rsid w:val="00745299"/>
    <w:rsid w:val="00747CB0"/>
    <w:rsid w:val="00755C8B"/>
    <w:rsid w:val="00757749"/>
    <w:rsid w:val="00757D92"/>
    <w:rsid w:val="0076419D"/>
    <w:rsid w:val="00764DD4"/>
    <w:rsid w:val="0076763C"/>
    <w:rsid w:val="00771CE4"/>
    <w:rsid w:val="00772148"/>
    <w:rsid w:val="00772B37"/>
    <w:rsid w:val="00774181"/>
    <w:rsid w:val="00775B32"/>
    <w:rsid w:val="00776304"/>
    <w:rsid w:val="0078086E"/>
    <w:rsid w:val="00781891"/>
    <w:rsid w:val="00782566"/>
    <w:rsid w:val="0079026C"/>
    <w:rsid w:val="00791549"/>
    <w:rsid w:val="007916BB"/>
    <w:rsid w:val="00791DC8"/>
    <w:rsid w:val="00793312"/>
    <w:rsid w:val="00796E54"/>
    <w:rsid w:val="007A49E8"/>
    <w:rsid w:val="007B29D3"/>
    <w:rsid w:val="007B33E5"/>
    <w:rsid w:val="007B44B7"/>
    <w:rsid w:val="007B4D82"/>
    <w:rsid w:val="007B50B2"/>
    <w:rsid w:val="007B6382"/>
    <w:rsid w:val="007C2090"/>
    <w:rsid w:val="007C579B"/>
    <w:rsid w:val="007C61CE"/>
    <w:rsid w:val="007C7F82"/>
    <w:rsid w:val="007D53CA"/>
    <w:rsid w:val="007D5DD1"/>
    <w:rsid w:val="007D656A"/>
    <w:rsid w:val="007E1314"/>
    <w:rsid w:val="007E13CF"/>
    <w:rsid w:val="007E2DE5"/>
    <w:rsid w:val="007E5907"/>
    <w:rsid w:val="007F764B"/>
    <w:rsid w:val="00801F20"/>
    <w:rsid w:val="00805E53"/>
    <w:rsid w:val="0081007A"/>
    <w:rsid w:val="008118EA"/>
    <w:rsid w:val="00816730"/>
    <w:rsid w:val="00816B85"/>
    <w:rsid w:val="00821CEA"/>
    <w:rsid w:val="00823381"/>
    <w:rsid w:val="00824843"/>
    <w:rsid w:val="008266DD"/>
    <w:rsid w:val="00844130"/>
    <w:rsid w:val="00846509"/>
    <w:rsid w:val="00847FFB"/>
    <w:rsid w:val="00850ADC"/>
    <w:rsid w:val="00873F03"/>
    <w:rsid w:val="008818A5"/>
    <w:rsid w:val="00882CCD"/>
    <w:rsid w:val="0088586F"/>
    <w:rsid w:val="008875B8"/>
    <w:rsid w:val="00894D7A"/>
    <w:rsid w:val="008A17F6"/>
    <w:rsid w:val="008A31AC"/>
    <w:rsid w:val="008A4192"/>
    <w:rsid w:val="008A47A6"/>
    <w:rsid w:val="008A5125"/>
    <w:rsid w:val="008A6A6F"/>
    <w:rsid w:val="008B0D58"/>
    <w:rsid w:val="008B1603"/>
    <w:rsid w:val="008B435D"/>
    <w:rsid w:val="008B5EC7"/>
    <w:rsid w:val="008C4231"/>
    <w:rsid w:val="008D379E"/>
    <w:rsid w:val="008D51A8"/>
    <w:rsid w:val="008D7DE6"/>
    <w:rsid w:val="008E182B"/>
    <w:rsid w:val="008F432A"/>
    <w:rsid w:val="008F6BF4"/>
    <w:rsid w:val="008F7235"/>
    <w:rsid w:val="009004A1"/>
    <w:rsid w:val="00901FEA"/>
    <w:rsid w:val="00905FED"/>
    <w:rsid w:val="00907735"/>
    <w:rsid w:val="00907D4D"/>
    <w:rsid w:val="00911D05"/>
    <w:rsid w:val="009122A3"/>
    <w:rsid w:val="00915BFF"/>
    <w:rsid w:val="009167CC"/>
    <w:rsid w:val="00916DF7"/>
    <w:rsid w:val="009174AD"/>
    <w:rsid w:val="00920CEB"/>
    <w:rsid w:val="0093103A"/>
    <w:rsid w:val="00931BA2"/>
    <w:rsid w:val="00931BC9"/>
    <w:rsid w:val="00933D20"/>
    <w:rsid w:val="009447A7"/>
    <w:rsid w:val="00947DA0"/>
    <w:rsid w:val="00952C5D"/>
    <w:rsid w:val="00952C64"/>
    <w:rsid w:val="00953711"/>
    <w:rsid w:val="00954FE0"/>
    <w:rsid w:val="00955B13"/>
    <w:rsid w:val="009628D4"/>
    <w:rsid w:val="00970842"/>
    <w:rsid w:val="00972EAC"/>
    <w:rsid w:val="00972FD4"/>
    <w:rsid w:val="0097533E"/>
    <w:rsid w:val="00975883"/>
    <w:rsid w:val="00976F53"/>
    <w:rsid w:val="00982C14"/>
    <w:rsid w:val="00983AF5"/>
    <w:rsid w:val="009864DF"/>
    <w:rsid w:val="00987AD3"/>
    <w:rsid w:val="00987FF0"/>
    <w:rsid w:val="009975FF"/>
    <w:rsid w:val="009976F5"/>
    <w:rsid w:val="009A4BD5"/>
    <w:rsid w:val="009A7E05"/>
    <w:rsid w:val="009B0D6A"/>
    <w:rsid w:val="009B32A0"/>
    <w:rsid w:val="009C01D9"/>
    <w:rsid w:val="009C2F01"/>
    <w:rsid w:val="009D552E"/>
    <w:rsid w:val="009E2231"/>
    <w:rsid w:val="009E65F2"/>
    <w:rsid w:val="009E7010"/>
    <w:rsid w:val="009F3756"/>
    <w:rsid w:val="009F3917"/>
    <w:rsid w:val="009F438D"/>
    <w:rsid w:val="009F703B"/>
    <w:rsid w:val="00A0246D"/>
    <w:rsid w:val="00A03C8C"/>
    <w:rsid w:val="00A0434B"/>
    <w:rsid w:val="00A131E1"/>
    <w:rsid w:val="00A1388A"/>
    <w:rsid w:val="00A15B62"/>
    <w:rsid w:val="00A162A5"/>
    <w:rsid w:val="00A20346"/>
    <w:rsid w:val="00A21A32"/>
    <w:rsid w:val="00A265B0"/>
    <w:rsid w:val="00A304A1"/>
    <w:rsid w:val="00A37C52"/>
    <w:rsid w:val="00A411EF"/>
    <w:rsid w:val="00A4324D"/>
    <w:rsid w:val="00A4444C"/>
    <w:rsid w:val="00A4595F"/>
    <w:rsid w:val="00A523D5"/>
    <w:rsid w:val="00A57D1D"/>
    <w:rsid w:val="00A61FB6"/>
    <w:rsid w:val="00A62961"/>
    <w:rsid w:val="00A63439"/>
    <w:rsid w:val="00A6572F"/>
    <w:rsid w:val="00A70483"/>
    <w:rsid w:val="00A74DFD"/>
    <w:rsid w:val="00A75E23"/>
    <w:rsid w:val="00A76B3B"/>
    <w:rsid w:val="00A87F5A"/>
    <w:rsid w:val="00A968A7"/>
    <w:rsid w:val="00AB539E"/>
    <w:rsid w:val="00AB7750"/>
    <w:rsid w:val="00AC5A64"/>
    <w:rsid w:val="00AD2393"/>
    <w:rsid w:val="00AD4254"/>
    <w:rsid w:val="00AD60AB"/>
    <w:rsid w:val="00AE6548"/>
    <w:rsid w:val="00AF3F63"/>
    <w:rsid w:val="00AF4A8E"/>
    <w:rsid w:val="00B000B3"/>
    <w:rsid w:val="00B009E6"/>
    <w:rsid w:val="00B01FE6"/>
    <w:rsid w:val="00B05C99"/>
    <w:rsid w:val="00B1363A"/>
    <w:rsid w:val="00B17117"/>
    <w:rsid w:val="00B172DE"/>
    <w:rsid w:val="00B2127C"/>
    <w:rsid w:val="00B2267C"/>
    <w:rsid w:val="00B2685E"/>
    <w:rsid w:val="00B34369"/>
    <w:rsid w:val="00B35DF5"/>
    <w:rsid w:val="00B372EC"/>
    <w:rsid w:val="00B440A3"/>
    <w:rsid w:val="00B47262"/>
    <w:rsid w:val="00B56D89"/>
    <w:rsid w:val="00B633DB"/>
    <w:rsid w:val="00B6686F"/>
    <w:rsid w:val="00B6721C"/>
    <w:rsid w:val="00B7080B"/>
    <w:rsid w:val="00B724F9"/>
    <w:rsid w:val="00B7351A"/>
    <w:rsid w:val="00B76E76"/>
    <w:rsid w:val="00B86A4C"/>
    <w:rsid w:val="00B90C1A"/>
    <w:rsid w:val="00B9358A"/>
    <w:rsid w:val="00B9369F"/>
    <w:rsid w:val="00BA1B85"/>
    <w:rsid w:val="00BA68AD"/>
    <w:rsid w:val="00BA70F3"/>
    <w:rsid w:val="00BB0778"/>
    <w:rsid w:val="00BB5284"/>
    <w:rsid w:val="00BC5754"/>
    <w:rsid w:val="00BC5F70"/>
    <w:rsid w:val="00BD4BDA"/>
    <w:rsid w:val="00BE33EF"/>
    <w:rsid w:val="00BF0032"/>
    <w:rsid w:val="00BF64A9"/>
    <w:rsid w:val="00C00B97"/>
    <w:rsid w:val="00C02EA0"/>
    <w:rsid w:val="00C02EEC"/>
    <w:rsid w:val="00C03940"/>
    <w:rsid w:val="00C10219"/>
    <w:rsid w:val="00C1036E"/>
    <w:rsid w:val="00C12731"/>
    <w:rsid w:val="00C12A42"/>
    <w:rsid w:val="00C12D3E"/>
    <w:rsid w:val="00C26034"/>
    <w:rsid w:val="00C26AA3"/>
    <w:rsid w:val="00C3286B"/>
    <w:rsid w:val="00C36E39"/>
    <w:rsid w:val="00C37D1C"/>
    <w:rsid w:val="00C418D0"/>
    <w:rsid w:val="00C523B5"/>
    <w:rsid w:val="00C60D59"/>
    <w:rsid w:val="00C63F68"/>
    <w:rsid w:val="00C64A6A"/>
    <w:rsid w:val="00C70046"/>
    <w:rsid w:val="00C75F3A"/>
    <w:rsid w:val="00C760F0"/>
    <w:rsid w:val="00C776FC"/>
    <w:rsid w:val="00C80C1D"/>
    <w:rsid w:val="00C81B81"/>
    <w:rsid w:val="00C841D9"/>
    <w:rsid w:val="00C86BE8"/>
    <w:rsid w:val="00C968E6"/>
    <w:rsid w:val="00C96EFC"/>
    <w:rsid w:val="00CB0B88"/>
    <w:rsid w:val="00CB2D0A"/>
    <w:rsid w:val="00CB5523"/>
    <w:rsid w:val="00CC3DCA"/>
    <w:rsid w:val="00CC4AF3"/>
    <w:rsid w:val="00CD330B"/>
    <w:rsid w:val="00CD3D39"/>
    <w:rsid w:val="00CD4B0D"/>
    <w:rsid w:val="00CE09B5"/>
    <w:rsid w:val="00CE16FF"/>
    <w:rsid w:val="00CE2A8A"/>
    <w:rsid w:val="00CE6A89"/>
    <w:rsid w:val="00CE7667"/>
    <w:rsid w:val="00CE7AD8"/>
    <w:rsid w:val="00CF5147"/>
    <w:rsid w:val="00CF67D4"/>
    <w:rsid w:val="00D0024D"/>
    <w:rsid w:val="00D00C71"/>
    <w:rsid w:val="00D010DE"/>
    <w:rsid w:val="00D031BE"/>
    <w:rsid w:val="00D03487"/>
    <w:rsid w:val="00D26F83"/>
    <w:rsid w:val="00D349D3"/>
    <w:rsid w:val="00D35D86"/>
    <w:rsid w:val="00D412B8"/>
    <w:rsid w:val="00D438E2"/>
    <w:rsid w:val="00D44788"/>
    <w:rsid w:val="00D5175F"/>
    <w:rsid w:val="00D62863"/>
    <w:rsid w:val="00D649AB"/>
    <w:rsid w:val="00D711DF"/>
    <w:rsid w:val="00D715DB"/>
    <w:rsid w:val="00D77458"/>
    <w:rsid w:val="00D816E4"/>
    <w:rsid w:val="00D874AF"/>
    <w:rsid w:val="00D90FC8"/>
    <w:rsid w:val="00D938C1"/>
    <w:rsid w:val="00D96E21"/>
    <w:rsid w:val="00DA53AD"/>
    <w:rsid w:val="00DB12E8"/>
    <w:rsid w:val="00DC1DCF"/>
    <w:rsid w:val="00DC20DE"/>
    <w:rsid w:val="00DD20EC"/>
    <w:rsid w:val="00DD339F"/>
    <w:rsid w:val="00DD48A0"/>
    <w:rsid w:val="00DE38DB"/>
    <w:rsid w:val="00DF1573"/>
    <w:rsid w:val="00DF2EE2"/>
    <w:rsid w:val="00E0498E"/>
    <w:rsid w:val="00E04BB8"/>
    <w:rsid w:val="00E23A46"/>
    <w:rsid w:val="00E24DBD"/>
    <w:rsid w:val="00E2743E"/>
    <w:rsid w:val="00E31BF2"/>
    <w:rsid w:val="00E35DAA"/>
    <w:rsid w:val="00E37B0D"/>
    <w:rsid w:val="00E4562A"/>
    <w:rsid w:val="00E50002"/>
    <w:rsid w:val="00E503EB"/>
    <w:rsid w:val="00E52BEA"/>
    <w:rsid w:val="00E52C8E"/>
    <w:rsid w:val="00E54C0C"/>
    <w:rsid w:val="00E6209A"/>
    <w:rsid w:val="00E703C8"/>
    <w:rsid w:val="00E750D7"/>
    <w:rsid w:val="00E760E0"/>
    <w:rsid w:val="00E81038"/>
    <w:rsid w:val="00E86254"/>
    <w:rsid w:val="00EA078D"/>
    <w:rsid w:val="00EA39E4"/>
    <w:rsid w:val="00EA4033"/>
    <w:rsid w:val="00EA43C8"/>
    <w:rsid w:val="00EA485D"/>
    <w:rsid w:val="00EA628A"/>
    <w:rsid w:val="00EA7599"/>
    <w:rsid w:val="00EB0CE6"/>
    <w:rsid w:val="00EB7679"/>
    <w:rsid w:val="00EB77DD"/>
    <w:rsid w:val="00EC163E"/>
    <w:rsid w:val="00EC5D7B"/>
    <w:rsid w:val="00ED5ACE"/>
    <w:rsid w:val="00ED798A"/>
    <w:rsid w:val="00ED7F05"/>
    <w:rsid w:val="00EE1681"/>
    <w:rsid w:val="00EE3C2F"/>
    <w:rsid w:val="00EE42A6"/>
    <w:rsid w:val="00EE7097"/>
    <w:rsid w:val="00EF1A29"/>
    <w:rsid w:val="00EF1A97"/>
    <w:rsid w:val="00EF2637"/>
    <w:rsid w:val="00F01081"/>
    <w:rsid w:val="00F034FE"/>
    <w:rsid w:val="00F13F2E"/>
    <w:rsid w:val="00F14878"/>
    <w:rsid w:val="00F23B24"/>
    <w:rsid w:val="00F274B0"/>
    <w:rsid w:val="00F33AE4"/>
    <w:rsid w:val="00F34F81"/>
    <w:rsid w:val="00F35E52"/>
    <w:rsid w:val="00F35F62"/>
    <w:rsid w:val="00F47AEE"/>
    <w:rsid w:val="00F55967"/>
    <w:rsid w:val="00F56658"/>
    <w:rsid w:val="00F600CF"/>
    <w:rsid w:val="00F61EF2"/>
    <w:rsid w:val="00F661B0"/>
    <w:rsid w:val="00F7793D"/>
    <w:rsid w:val="00F801D5"/>
    <w:rsid w:val="00F8418A"/>
    <w:rsid w:val="00F8446C"/>
    <w:rsid w:val="00F84F07"/>
    <w:rsid w:val="00F90FAD"/>
    <w:rsid w:val="00F95768"/>
    <w:rsid w:val="00F96D8D"/>
    <w:rsid w:val="00FA0665"/>
    <w:rsid w:val="00FA70D9"/>
    <w:rsid w:val="00FA7120"/>
    <w:rsid w:val="00FB01FE"/>
    <w:rsid w:val="00FB2257"/>
    <w:rsid w:val="00FB7323"/>
    <w:rsid w:val="00FC2D94"/>
    <w:rsid w:val="00FC4239"/>
    <w:rsid w:val="00FD1012"/>
    <w:rsid w:val="00FD2E00"/>
    <w:rsid w:val="00FD4299"/>
    <w:rsid w:val="00FD5C32"/>
    <w:rsid w:val="00FE0281"/>
    <w:rsid w:val="00FF0139"/>
    <w:rsid w:val="00FF289E"/>
    <w:rsid w:val="00FF355F"/>
    <w:rsid w:val="67EA2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873F03"/>
    <w:pPr>
      <w:jc w:val="left"/>
    </w:pPr>
    <w:rPr>
      <w:rFonts w:ascii="Times New Roman" w:eastAsia="宋体" w:hAnsi="Times New Roman" w:cs="Times New Roman"/>
      <w:szCs w:val="20"/>
    </w:rPr>
  </w:style>
  <w:style w:type="paragraph" w:styleId="a4">
    <w:name w:val="Date"/>
    <w:basedOn w:val="a"/>
    <w:next w:val="a"/>
    <w:link w:val="Char0"/>
    <w:uiPriority w:val="99"/>
    <w:semiHidden/>
    <w:unhideWhenUsed/>
    <w:rsid w:val="00873F03"/>
    <w:pPr>
      <w:ind w:leftChars="2500" w:left="100"/>
    </w:pPr>
  </w:style>
  <w:style w:type="paragraph" w:styleId="a5">
    <w:name w:val="Balloon Text"/>
    <w:basedOn w:val="a"/>
    <w:link w:val="Char1"/>
    <w:uiPriority w:val="99"/>
    <w:semiHidden/>
    <w:unhideWhenUsed/>
    <w:rsid w:val="00873F03"/>
    <w:rPr>
      <w:sz w:val="18"/>
      <w:szCs w:val="18"/>
    </w:rPr>
  </w:style>
  <w:style w:type="paragraph" w:styleId="a6">
    <w:name w:val="footer"/>
    <w:basedOn w:val="a"/>
    <w:link w:val="Char2"/>
    <w:uiPriority w:val="99"/>
    <w:unhideWhenUsed/>
    <w:rsid w:val="00873F03"/>
    <w:pPr>
      <w:tabs>
        <w:tab w:val="center" w:pos="4153"/>
        <w:tab w:val="right" w:pos="8306"/>
      </w:tabs>
      <w:snapToGrid w:val="0"/>
      <w:jc w:val="left"/>
    </w:pPr>
    <w:rPr>
      <w:sz w:val="18"/>
      <w:szCs w:val="18"/>
    </w:rPr>
  </w:style>
  <w:style w:type="paragraph" w:styleId="a7">
    <w:name w:val="header"/>
    <w:basedOn w:val="a"/>
    <w:link w:val="Char3"/>
    <w:uiPriority w:val="99"/>
    <w:unhideWhenUsed/>
    <w:rsid w:val="00873F0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873F03"/>
    <w:rPr>
      <w:rFonts w:asciiTheme="minorHAnsi" w:eastAsiaTheme="minorEastAsia" w:hAnsiTheme="minorHAnsi" w:cstheme="minorBidi"/>
      <w:b/>
      <w:bCs/>
      <w:szCs w:val="22"/>
    </w:rPr>
  </w:style>
  <w:style w:type="character" w:styleId="a9">
    <w:name w:val="FollowedHyperlink"/>
    <w:basedOn w:val="a0"/>
    <w:uiPriority w:val="99"/>
    <w:semiHidden/>
    <w:unhideWhenUsed/>
    <w:rsid w:val="00873F03"/>
    <w:rPr>
      <w:color w:val="800080"/>
      <w:u w:val="single"/>
    </w:rPr>
  </w:style>
  <w:style w:type="character" w:styleId="aa">
    <w:name w:val="Hyperlink"/>
    <w:basedOn w:val="a0"/>
    <w:uiPriority w:val="99"/>
    <w:semiHidden/>
    <w:unhideWhenUsed/>
    <w:rsid w:val="00873F03"/>
    <w:rPr>
      <w:color w:val="0000FF"/>
      <w:u w:val="single"/>
    </w:rPr>
  </w:style>
  <w:style w:type="character" w:styleId="ab">
    <w:name w:val="annotation reference"/>
    <w:rsid w:val="00873F03"/>
    <w:rPr>
      <w:sz w:val="21"/>
    </w:rPr>
  </w:style>
  <w:style w:type="character" w:customStyle="1" w:styleId="Char3">
    <w:name w:val="页眉 Char"/>
    <w:basedOn w:val="a0"/>
    <w:link w:val="a7"/>
    <w:uiPriority w:val="99"/>
    <w:rsid w:val="00873F03"/>
    <w:rPr>
      <w:sz w:val="18"/>
      <w:szCs w:val="18"/>
    </w:rPr>
  </w:style>
  <w:style w:type="character" w:customStyle="1" w:styleId="Char2">
    <w:name w:val="页脚 Char"/>
    <w:basedOn w:val="a0"/>
    <w:link w:val="a6"/>
    <w:uiPriority w:val="99"/>
    <w:qFormat/>
    <w:rsid w:val="00873F03"/>
    <w:rPr>
      <w:sz w:val="18"/>
      <w:szCs w:val="1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873F03"/>
    <w:rPr>
      <w:rFonts w:ascii="Tahoma" w:eastAsia="宋体" w:hAnsi="Tahoma" w:cs="Times New Roman"/>
      <w:sz w:val="24"/>
      <w:szCs w:val="20"/>
    </w:rPr>
  </w:style>
  <w:style w:type="paragraph" w:customStyle="1" w:styleId="Default">
    <w:name w:val="Default"/>
    <w:rsid w:val="00873F03"/>
    <w:pPr>
      <w:widowControl w:val="0"/>
      <w:autoSpaceDE w:val="0"/>
      <w:autoSpaceDN w:val="0"/>
      <w:adjustRightInd w:val="0"/>
    </w:pPr>
    <w:rPr>
      <w:rFonts w:ascii="宋体" w:eastAsia="宋体" w:cs="宋体"/>
      <w:color w:val="000000"/>
      <w:sz w:val="24"/>
      <w:szCs w:val="24"/>
    </w:rPr>
  </w:style>
  <w:style w:type="character" w:customStyle="1" w:styleId="Char1">
    <w:name w:val="批注框文本 Char"/>
    <w:basedOn w:val="a0"/>
    <w:link w:val="a5"/>
    <w:uiPriority w:val="99"/>
    <w:semiHidden/>
    <w:rsid w:val="00873F03"/>
    <w:rPr>
      <w:sz w:val="18"/>
      <w:szCs w:val="18"/>
    </w:rPr>
  </w:style>
  <w:style w:type="paragraph" w:customStyle="1" w:styleId="1">
    <w:name w:val="修订1"/>
    <w:hidden/>
    <w:uiPriority w:val="99"/>
    <w:semiHidden/>
    <w:rsid w:val="00873F03"/>
    <w:rPr>
      <w:kern w:val="2"/>
      <w:sz w:val="21"/>
      <w:szCs w:val="22"/>
    </w:rPr>
  </w:style>
  <w:style w:type="paragraph" w:styleId="ac">
    <w:name w:val="List Paragraph"/>
    <w:basedOn w:val="a"/>
    <w:uiPriority w:val="34"/>
    <w:qFormat/>
    <w:rsid w:val="00873F03"/>
    <w:pPr>
      <w:ind w:firstLineChars="200" w:firstLine="420"/>
    </w:pPr>
  </w:style>
  <w:style w:type="character" w:customStyle="1" w:styleId="Char">
    <w:name w:val="批注文字 Char"/>
    <w:basedOn w:val="a0"/>
    <w:link w:val="a3"/>
    <w:rsid w:val="00873F03"/>
    <w:rPr>
      <w:rFonts w:ascii="Times New Roman" w:eastAsia="宋体" w:hAnsi="Times New Roman" w:cs="Times New Roman"/>
      <w:szCs w:val="20"/>
    </w:rPr>
  </w:style>
  <w:style w:type="character" w:customStyle="1" w:styleId="Char4">
    <w:name w:val="批注主题 Char"/>
    <w:basedOn w:val="Char"/>
    <w:link w:val="a8"/>
    <w:uiPriority w:val="99"/>
    <w:semiHidden/>
    <w:rsid w:val="00873F03"/>
    <w:rPr>
      <w:rFonts w:ascii="Times New Roman" w:eastAsia="宋体" w:hAnsi="Times New Roman" w:cs="Times New Roman"/>
      <w:b/>
      <w:bCs/>
      <w:szCs w:val="20"/>
    </w:rPr>
  </w:style>
  <w:style w:type="character" w:customStyle="1" w:styleId="Char0">
    <w:name w:val="日期 Char"/>
    <w:basedOn w:val="a0"/>
    <w:link w:val="a4"/>
    <w:uiPriority w:val="99"/>
    <w:semiHidden/>
    <w:rsid w:val="00873F03"/>
  </w:style>
  <w:style w:type="paragraph" w:customStyle="1" w:styleId="font5">
    <w:name w:val="font5"/>
    <w:basedOn w:val="a"/>
    <w:rsid w:val="00873F0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873F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873F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873F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873F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69">
    <w:name w:val="xl69"/>
    <w:basedOn w:val="a"/>
    <w:rsid w:val="00873F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4"/>
      <w:szCs w:val="24"/>
    </w:rPr>
  </w:style>
  <w:style w:type="paragraph" w:customStyle="1" w:styleId="xl70">
    <w:name w:val="xl70"/>
    <w:basedOn w:val="a"/>
    <w:rsid w:val="00873F03"/>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rsid w:val="00873F03"/>
    <w:pPr>
      <w:widowControl/>
      <w:spacing w:before="100" w:beforeAutospacing="1" w:after="100" w:afterAutospacing="1"/>
      <w:jc w:val="lef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AE535-CCD7-4AA3-BF10-471A1B10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4</DocSecurity>
  <Lines>32</Lines>
  <Paragraphs>9</Paragraphs>
  <ScaleCrop>false</ScaleCrop>
  <Company>Lenovo</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cp:lastPrinted>2018-03-21T08:05:00Z</cp:lastPrinted>
  <dcterms:created xsi:type="dcterms:W3CDTF">2021-03-30T16:07:00Z</dcterms:created>
  <dcterms:modified xsi:type="dcterms:W3CDTF">2021-03-30T16:07:00Z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