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D8" w:rsidRDefault="005B51D8" w:rsidP="005B51D8">
      <w:pPr>
        <w:ind w:rightChars="40" w:right="84"/>
        <w:jc w:val="center"/>
        <w:rPr>
          <w:rFonts w:ascii="宋体" w:hAnsi="宋体"/>
          <w:b/>
          <w:szCs w:val="21"/>
        </w:rPr>
      </w:pPr>
      <w:r>
        <w:rPr>
          <w:rFonts w:hint="eastAsia"/>
          <w:b/>
          <w:sz w:val="28"/>
          <w:szCs w:val="28"/>
        </w:rPr>
        <w:t>易方达基金管理有限公司关于旗下部分基金根据《公开募集证券投资基金运作指引第</w:t>
      </w:r>
      <w:r>
        <w:rPr>
          <w:b/>
          <w:sz w:val="28"/>
          <w:szCs w:val="28"/>
        </w:rPr>
        <w:t>3</w:t>
      </w:r>
      <w:r>
        <w:rPr>
          <w:rFonts w:hint="eastAsia"/>
          <w:b/>
          <w:sz w:val="28"/>
          <w:szCs w:val="28"/>
        </w:rPr>
        <w:t>号——指数基金指引》修改基金合同部分条款的公告</w:t>
      </w:r>
    </w:p>
    <w:p w:rsidR="005B51D8" w:rsidRDefault="005B51D8" w:rsidP="005B51D8">
      <w:pPr>
        <w:pStyle w:val="Default"/>
        <w:ind w:rightChars="40" w:right="84"/>
        <w:rPr>
          <w:rFonts w:cstheme="minorBidi"/>
          <w:color w:val="auto"/>
          <w:sz w:val="21"/>
          <w:szCs w:val="21"/>
        </w:rPr>
      </w:pPr>
    </w:p>
    <w:p w:rsidR="005B51D8" w:rsidRDefault="005B51D8" w:rsidP="005B51D8">
      <w:pPr>
        <w:spacing w:line="360" w:lineRule="auto"/>
        <w:ind w:rightChars="40" w:right="84" w:firstLineChars="200" w:firstLine="480"/>
        <w:rPr>
          <w:rFonts w:ascii="Times New Roman" w:eastAsia="宋体" w:hAnsi="宋体" w:cs="宋体"/>
          <w:sz w:val="24"/>
          <w:szCs w:val="24"/>
        </w:rPr>
      </w:pPr>
      <w:r>
        <w:rPr>
          <w:rFonts w:ascii="Times New Roman" w:eastAsia="宋体" w:hAnsi="宋体" w:cs="宋体" w:hint="eastAsia"/>
          <w:sz w:val="24"/>
          <w:szCs w:val="24"/>
        </w:rPr>
        <w:t>根据《中华人民共和国证券投资基金法》《公开募集证券投资基金信息披露管理办法》《公开募集证券投资基金运作指引第</w:t>
      </w:r>
      <w:r>
        <w:rPr>
          <w:rFonts w:ascii="Times New Roman" w:eastAsia="宋体" w:hAnsi="宋体" w:cs="宋体"/>
          <w:sz w:val="24"/>
          <w:szCs w:val="24"/>
        </w:rPr>
        <w:t>3</w:t>
      </w:r>
      <w:r>
        <w:rPr>
          <w:rFonts w:ascii="Times New Roman" w:eastAsia="宋体" w:hAnsi="宋体" w:cs="宋体" w:hint="eastAsia"/>
          <w:sz w:val="24"/>
          <w:szCs w:val="24"/>
        </w:rPr>
        <w:t>号——指数基金指引》等法律法规规定及各基金基金合同的约定，经与各基金托管人协商一致，并向中国证监会备案，易方达基金管理有限公司（以下简称“基金管理人”）决定对旗下</w:t>
      </w:r>
      <w:r>
        <w:rPr>
          <w:rFonts w:ascii="Times New Roman" w:eastAsia="宋体" w:hAnsi="宋体" w:cs="宋体"/>
          <w:sz w:val="24"/>
          <w:szCs w:val="24"/>
        </w:rPr>
        <w:t>62</w:t>
      </w:r>
      <w:r>
        <w:rPr>
          <w:rFonts w:ascii="Times New Roman" w:eastAsia="宋体" w:hAnsi="宋体" w:cs="宋体" w:hint="eastAsia"/>
          <w:sz w:val="24"/>
          <w:szCs w:val="24"/>
        </w:rPr>
        <w:t>只公募基金基金合同等法律文件相关条款进行修改。本次修改将自</w:t>
      </w:r>
      <w:r w:rsidRPr="00201199">
        <w:rPr>
          <w:rFonts w:ascii="Times New Roman" w:eastAsia="宋体" w:hAnsi="宋体" w:cs="宋体"/>
          <w:sz w:val="24"/>
          <w:szCs w:val="24"/>
        </w:rPr>
        <w:t>2021</w:t>
      </w:r>
      <w:r w:rsidRPr="00201199">
        <w:rPr>
          <w:rFonts w:ascii="Times New Roman" w:eastAsia="宋体" w:hAnsi="宋体" w:cs="宋体" w:hint="eastAsia"/>
          <w:sz w:val="24"/>
          <w:szCs w:val="24"/>
        </w:rPr>
        <w:t>年</w:t>
      </w:r>
      <w:r w:rsidRPr="00201199">
        <w:rPr>
          <w:rFonts w:ascii="Times New Roman" w:eastAsia="宋体" w:hAnsi="宋体" w:cs="宋体"/>
          <w:sz w:val="24"/>
          <w:szCs w:val="24"/>
        </w:rPr>
        <w:t>4</w:t>
      </w:r>
      <w:r w:rsidRPr="00201199">
        <w:rPr>
          <w:rFonts w:ascii="Times New Roman" w:eastAsia="宋体" w:hAnsi="宋体" w:cs="宋体" w:hint="eastAsia"/>
          <w:sz w:val="24"/>
          <w:szCs w:val="24"/>
        </w:rPr>
        <w:t>月</w:t>
      </w:r>
      <w:r w:rsidRPr="00201199">
        <w:rPr>
          <w:rFonts w:ascii="Times New Roman" w:eastAsia="宋体" w:hAnsi="宋体" w:cs="宋体"/>
          <w:sz w:val="24"/>
          <w:szCs w:val="24"/>
        </w:rPr>
        <w:t>1</w:t>
      </w:r>
      <w:r w:rsidRPr="00201199">
        <w:rPr>
          <w:rFonts w:ascii="Times New Roman" w:eastAsia="宋体" w:hAnsi="宋体" w:cs="宋体" w:hint="eastAsia"/>
          <w:sz w:val="24"/>
          <w:szCs w:val="24"/>
        </w:rPr>
        <w:t>日</w:t>
      </w:r>
      <w:r>
        <w:rPr>
          <w:rFonts w:ascii="Times New Roman" w:eastAsia="宋体" w:hAnsi="宋体" w:cs="宋体" w:hint="eastAsia"/>
          <w:sz w:val="24"/>
          <w:szCs w:val="24"/>
        </w:rPr>
        <w:t>起正式生效。</w:t>
      </w:r>
    </w:p>
    <w:p w:rsidR="005B51D8" w:rsidRDefault="005B51D8" w:rsidP="005B51D8">
      <w:pPr>
        <w:spacing w:line="360" w:lineRule="auto"/>
        <w:ind w:rightChars="40" w:right="84" w:firstLineChars="200" w:firstLine="480"/>
        <w:rPr>
          <w:rFonts w:ascii="Times New Roman" w:eastAsia="宋体" w:hAnsi="宋体" w:cs="宋体"/>
          <w:sz w:val="24"/>
          <w:szCs w:val="24"/>
        </w:rPr>
      </w:pPr>
      <w:r>
        <w:rPr>
          <w:rFonts w:ascii="Times New Roman" w:eastAsia="宋体" w:hAnsi="宋体" w:cs="宋体" w:hint="eastAsia"/>
          <w:sz w:val="24"/>
          <w:szCs w:val="24"/>
        </w:rPr>
        <w:t>现将相关事项公告如下：</w:t>
      </w:r>
    </w:p>
    <w:p w:rsidR="005B51D8" w:rsidRDefault="005B51D8" w:rsidP="005B51D8">
      <w:pPr>
        <w:pStyle w:val="Default"/>
        <w:spacing w:line="360" w:lineRule="auto"/>
        <w:ind w:rightChars="40" w:right="84" w:firstLineChars="200" w:firstLine="482"/>
        <w:rPr>
          <w:rFonts w:cstheme="minorBidi"/>
          <w:b/>
          <w:color w:val="auto"/>
        </w:rPr>
      </w:pPr>
      <w:r>
        <w:rPr>
          <w:rFonts w:cstheme="minorBidi" w:hint="eastAsia"/>
          <w:b/>
          <w:color w:val="auto"/>
        </w:rPr>
        <w:t>一、本次修改的公募基金</w:t>
      </w:r>
    </w:p>
    <w:p w:rsidR="005B51D8" w:rsidRDefault="005B51D8" w:rsidP="005B51D8">
      <w:pPr>
        <w:spacing w:line="360" w:lineRule="auto"/>
        <w:ind w:rightChars="40" w:right="84" w:firstLineChars="200" w:firstLine="480"/>
        <w:rPr>
          <w:rFonts w:ascii="Times New Roman" w:eastAsia="宋体" w:hAnsi="宋体" w:cs="宋体"/>
          <w:sz w:val="24"/>
          <w:szCs w:val="24"/>
        </w:rPr>
      </w:pPr>
      <w:r>
        <w:rPr>
          <w:rFonts w:ascii="Times New Roman" w:eastAsia="宋体" w:hAnsi="宋体" w:cs="宋体" w:hint="eastAsia"/>
          <w:sz w:val="24"/>
          <w:szCs w:val="24"/>
        </w:rPr>
        <w:t>本次修改涉及基金管理人旗下</w:t>
      </w:r>
      <w:r>
        <w:rPr>
          <w:rFonts w:ascii="Times New Roman" w:eastAsia="宋体" w:hAnsi="宋体" w:cs="宋体"/>
          <w:sz w:val="24"/>
          <w:szCs w:val="24"/>
        </w:rPr>
        <w:t>62</w:t>
      </w:r>
      <w:r>
        <w:rPr>
          <w:rFonts w:ascii="Times New Roman" w:eastAsia="宋体" w:hAnsi="宋体" w:cs="宋体" w:hint="eastAsia"/>
          <w:sz w:val="24"/>
          <w:szCs w:val="24"/>
        </w:rPr>
        <w:t>只公募基金，具体包括：</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704"/>
      </w:tblGrid>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序号</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基金名称</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易方达MSCI中国A股国际通交易型开放式指数证券投资基金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易方达MSCI中国A股国际通交易型开放式指数证券投资基金发起式联接基金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易方达标普500指数证券投资基金（LOF）</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易方达标普全球高端消费品指数增强型证券投资基金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易方达标普生物科技指数证券投资基金（LOF）</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易方达标普信息科技指数证券投资基金（LOF）</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7</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易方达标普医疗保健指数证券投资基金（LOF）</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易方达创业板交易型开放式指数证券投资基金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9</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易方达创业板交易型开放式指数证券投资基金联接基金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易方达恒生中国企业交易型开放式指数证券投资基金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11</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易方达恒生中国企业交易型开放式指数证券投资基金联接基金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12</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易方达沪深300非银行金融交易型开放式指数证券投资基金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13</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易方达沪深300非银行金融交易型开放式指数证券投资基金联接基金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14</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易方达沪深300交易型开放式指数发起式证券投资基金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易方达沪深300交易型开放式指数发起式证券投资基金联接基金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16</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易方达沪深300量化增强证券投资基金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17</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易方达沪深300医药卫生交易型开放式指数证券投资基金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18</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易方达沪深300医药卫生交易型开放式指数证券投资基金联接基金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19</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易方达沪深300指数精选增强型证券投资基金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易方达纳斯达克100指数证券投资基金（LOF）</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21</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易方达日兴资管日经225交易型开放式指数证券投资基金（QDII）</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22</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易方达上证50交易型开放式指数证券投资基金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23</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易方达上证50交易型开放式指数证券投资基金发起式联接基金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24</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易方达上证50指数增强型证券投资基金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25</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易方达上证50指数证券投资基金（LOF）</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26</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易方达上证中盘交易型开放式指数证券投资基金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27</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易方达上证中盘交易型开放式指数证券投资基金联接基金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28</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易方达深证100交易型开放式指数证券投资基金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29</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易方达深证100交易型开放式指数证券投资基金联接基金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易方达香港恒生综合小型股指数证券投资基金（LOF）</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31</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易方达中债1-3年国开行债券指数证券投资基金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32</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易方达中债1-3年政策性金融债指数证券投资基金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33</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易方达中债3-5年国开行债券指数证券投资基金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34</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易方达中债3-5年期国债指数证券投资基金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35</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易方达中债3-5年政策性金融债指数证券投资基金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36</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易方达中债7-10年期国开行债券指数证券投资基金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37</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易方达中债新综合债券指数发起式证券投资基金（LOF）</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38</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易方达中证500交易型开放式指数证券投资基金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39</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易方达中证500交易型开放式指数证券投资基金发起式联接基金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40</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易方达中证800交易型开放式指数证券投资基金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41</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易方达中证800交易型开放式指数证券投资基金发起式联接基金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42</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易方达中证创新药产业交易型开放式指数证券投资基金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43</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易方达中证国企一带一路交易型开放式指数证券投资基金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44</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易方达中证国企一带一路交易型开放式指数证券投资基金发起式联接基金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45</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易方达中证国有企业改革指数证券投资基金（LOF）</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46</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易方达中证海外中国互联网50交易型开放式指数证券投资基金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47</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易方达中证海外中国互联网50交易型开放式指数证券投资基金联接基金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48</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易方达中证红利交易型开放式指数证券投资基金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49</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易方达中证红利交易型开放式指数证券投资基金发起式联接基金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50</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易方达中证军工交易型开放式指数证券投资基金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51</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易方达中证军工指数证券投资基金（LOF）</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52</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易方达中证科技50交易型开放式指数证券投资基金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53</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易方达中证全指证券公司交易型开放式指数证券投资基金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54</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易方达中证全指证券公司指数证券投资基金（LOF）</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55</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易方达中证人工智能主题交易型开放式指数证券投资基金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56</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易方达中证生物科技主题交易型开放式指数证券投资基金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57</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易方达中证万得并购重组指数证券投资基金（LOF）</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58</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易方达中证万得生物科技指数证券投资基金（LOF）</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59</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易方达中证香港证券投资主题交易型开放式指数证券投资基金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60</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易方达中证银行指数证券投资基金（LOF）</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61</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易方达中证浙江新动能交易型开放式指数证券投资基金</w:t>
            </w:r>
          </w:p>
        </w:tc>
      </w:tr>
      <w:tr w:rsidR="005B51D8" w:rsidTr="005B51D8">
        <w:trPr>
          <w:trHeight w:val="27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62</w:t>
            </w:r>
          </w:p>
        </w:tc>
        <w:tc>
          <w:tcPr>
            <w:tcW w:w="7704" w:type="dxa"/>
            <w:tcBorders>
              <w:top w:val="single" w:sz="4" w:space="0" w:color="auto"/>
              <w:left w:val="single" w:sz="4" w:space="0" w:color="auto"/>
              <w:bottom w:val="single" w:sz="4" w:space="0" w:color="auto"/>
              <w:right w:val="single" w:sz="4" w:space="0" w:color="auto"/>
            </w:tcBorders>
            <w:noWrap/>
            <w:vAlign w:val="bottom"/>
            <w:hideMark/>
          </w:tcPr>
          <w:p w:rsidR="005B51D8" w:rsidRDefault="005B51D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易方达中证浙江新动能交易型开放式指数证券投资基金联接基金</w:t>
            </w:r>
          </w:p>
        </w:tc>
      </w:tr>
    </w:tbl>
    <w:p w:rsidR="005B51D8" w:rsidRDefault="005B51D8" w:rsidP="005B51D8">
      <w:pPr>
        <w:spacing w:line="360" w:lineRule="auto"/>
        <w:ind w:rightChars="40" w:right="84" w:firstLineChars="200" w:firstLine="480"/>
        <w:rPr>
          <w:rFonts w:ascii="Times New Roman" w:eastAsia="宋体" w:hAnsi="宋体" w:cs="宋体"/>
          <w:sz w:val="24"/>
          <w:szCs w:val="24"/>
        </w:rPr>
      </w:pPr>
    </w:p>
    <w:p w:rsidR="005B51D8" w:rsidRDefault="005B51D8" w:rsidP="005B51D8">
      <w:pPr>
        <w:pStyle w:val="Default"/>
        <w:spacing w:line="360" w:lineRule="auto"/>
        <w:ind w:rightChars="40" w:right="84" w:firstLineChars="200" w:firstLine="482"/>
        <w:rPr>
          <w:rFonts w:cstheme="minorBidi"/>
          <w:b/>
          <w:color w:val="auto"/>
        </w:rPr>
      </w:pPr>
      <w:r>
        <w:rPr>
          <w:rFonts w:cstheme="minorBidi" w:hint="eastAsia"/>
          <w:b/>
          <w:color w:val="auto"/>
        </w:rPr>
        <w:t>二、基金合同修改的内容</w:t>
      </w:r>
    </w:p>
    <w:p w:rsidR="005B51D8" w:rsidRDefault="005B51D8" w:rsidP="005B51D8">
      <w:pPr>
        <w:pStyle w:val="a3"/>
        <w:spacing w:line="360" w:lineRule="auto"/>
        <w:ind w:rightChars="40" w:right="84" w:firstLine="480"/>
        <w:rPr>
          <w:rFonts w:hAnsi="宋体" w:cs="宋体"/>
          <w:kern w:val="0"/>
          <w:sz w:val="24"/>
        </w:rPr>
      </w:pPr>
      <w:r>
        <w:rPr>
          <w:rFonts w:hAnsi="宋体" w:cs="宋体"/>
          <w:kern w:val="0"/>
          <w:sz w:val="24"/>
        </w:rPr>
        <w:t>1</w:t>
      </w:r>
      <w:r>
        <w:rPr>
          <w:rFonts w:hAnsi="宋体" w:cs="宋体" w:hint="eastAsia"/>
          <w:kern w:val="0"/>
          <w:sz w:val="24"/>
        </w:rPr>
        <w:t>、“前言”章节</w:t>
      </w:r>
    </w:p>
    <w:p w:rsidR="005B51D8" w:rsidRDefault="005B51D8" w:rsidP="005B51D8">
      <w:pPr>
        <w:pStyle w:val="a3"/>
        <w:spacing w:line="360" w:lineRule="auto"/>
        <w:ind w:rightChars="40" w:right="84" w:firstLine="480"/>
        <w:rPr>
          <w:rFonts w:hAnsi="宋体" w:cs="宋体"/>
          <w:kern w:val="0"/>
          <w:sz w:val="24"/>
        </w:rPr>
      </w:pPr>
      <w:r>
        <w:rPr>
          <w:rFonts w:hAnsi="宋体" w:cs="宋体" w:hint="eastAsia"/>
          <w:kern w:val="0"/>
          <w:sz w:val="24"/>
        </w:rPr>
        <w:lastRenderedPageBreak/>
        <w:t>（</w:t>
      </w:r>
      <w:r>
        <w:rPr>
          <w:rFonts w:hAnsi="宋体" w:cs="宋体"/>
          <w:kern w:val="0"/>
          <w:sz w:val="24"/>
        </w:rPr>
        <w:t>1</w:t>
      </w:r>
      <w:r>
        <w:rPr>
          <w:rFonts w:hAnsi="宋体" w:cs="宋体" w:hint="eastAsia"/>
          <w:kern w:val="0"/>
          <w:sz w:val="24"/>
        </w:rPr>
        <w:t>）股票型指数基金的“前言”章节增加：“本基金为指数基金，投资者投资于本基金面临跟踪误差控制未达约定目标、指数编制机构停止服务、成份券停牌等潜在风险，详见本基金招募说明书”。</w:t>
      </w:r>
    </w:p>
    <w:p w:rsidR="005B51D8" w:rsidRDefault="005B51D8" w:rsidP="005B51D8">
      <w:pPr>
        <w:pStyle w:val="a3"/>
        <w:spacing w:line="360" w:lineRule="auto"/>
        <w:ind w:rightChars="40" w:right="84" w:firstLine="480"/>
        <w:rPr>
          <w:rFonts w:hAnsi="宋体" w:cs="宋体"/>
          <w:kern w:val="0"/>
          <w:sz w:val="24"/>
        </w:rPr>
      </w:pPr>
      <w:r>
        <w:rPr>
          <w:rFonts w:hAnsi="宋体" w:cs="宋体" w:hint="eastAsia"/>
          <w:kern w:val="0"/>
          <w:sz w:val="24"/>
        </w:rPr>
        <w:t>（</w:t>
      </w:r>
      <w:r>
        <w:rPr>
          <w:rFonts w:hAnsi="宋体" w:cs="宋体"/>
          <w:kern w:val="0"/>
          <w:sz w:val="24"/>
        </w:rPr>
        <w:t>2</w:t>
      </w:r>
      <w:r>
        <w:rPr>
          <w:rFonts w:hAnsi="宋体" w:cs="宋体" w:hint="eastAsia"/>
          <w:kern w:val="0"/>
          <w:sz w:val="24"/>
        </w:rPr>
        <w:t>）债券型指数基金的“前言”章节增加：“本基金为指数基金，投资者投资于本基金面临跟踪误差控制未达约定目标、指数编制机构停止服务、成份券停牌或违约等潜在风险，详见本基金招募说明书”。</w:t>
      </w:r>
    </w:p>
    <w:p w:rsidR="005B51D8" w:rsidRDefault="005B51D8" w:rsidP="005B51D8">
      <w:pPr>
        <w:pStyle w:val="a3"/>
        <w:spacing w:line="360" w:lineRule="auto"/>
        <w:ind w:rightChars="40" w:right="84" w:firstLine="480"/>
        <w:rPr>
          <w:rFonts w:hAnsi="宋体" w:cs="宋体"/>
          <w:kern w:val="0"/>
          <w:sz w:val="24"/>
        </w:rPr>
      </w:pPr>
      <w:r>
        <w:rPr>
          <w:rFonts w:hAnsi="宋体" w:cs="宋体"/>
          <w:kern w:val="0"/>
          <w:sz w:val="24"/>
        </w:rPr>
        <w:t>2</w:t>
      </w:r>
      <w:r>
        <w:rPr>
          <w:rFonts w:hAnsi="宋体" w:cs="宋体" w:hint="eastAsia"/>
          <w:kern w:val="0"/>
          <w:sz w:val="24"/>
        </w:rPr>
        <w:t>、“释义”章节</w:t>
      </w:r>
    </w:p>
    <w:p w:rsidR="005B51D8" w:rsidRDefault="005B51D8" w:rsidP="005B51D8">
      <w:pPr>
        <w:pStyle w:val="a3"/>
        <w:spacing w:line="360" w:lineRule="auto"/>
        <w:ind w:rightChars="40" w:right="84" w:firstLine="480"/>
        <w:rPr>
          <w:rFonts w:hAnsi="宋体" w:cs="宋体"/>
          <w:kern w:val="0"/>
          <w:sz w:val="24"/>
        </w:rPr>
      </w:pPr>
      <w:r>
        <w:rPr>
          <w:rFonts w:hAnsi="宋体" w:cs="宋体" w:hint="eastAsia"/>
          <w:kern w:val="0"/>
          <w:sz w:val="24"/>
        </w:rPr>
        <w:t>“释义”章节增加：“《指数基金指引》：指中国证监会</w:t>
      </w:r>
      <w:r>
        <w:rPr>
          <w:rFonts w:hAnsi="宋体" w:cs="宋体"/>
          <w:kern w:val="0"/>
          <w:sz w:val="24"/>
        </w:rPr>
        <w:t>2021</w:t>
      </w:r>
      <w:r>
        <w:rPr>
          <w:rFonts w:hAnsi="宋体" w:cs="宋体" w:hint="eastAsia"/>
          <w:kern w:val="0"/>
          <w:sz w:val="24"/>
        </w:rPr>
        <w:t>年</w:t>
      </w:r>
      <w:r>
        <w:rPr>
          <w:rFonts w:hAnsi="宋体" w:cs="宋体"/>
          <w:kern w:val="0"/>
          <w:sz w:val="24"/>
        </w:rPr>
        <w:t>1</w:t>
      </w:r>
      <w:r>
        <w:rPr>
          <w:rFonts w:hAnsi="宋体" w:cs="宋体" w:hint="eastAsia"/>
          <w:kern w:val="0"/>
          <w:sz w:val="24"/>
        </w:rPr>
        <w:t>月</w:t>
      </w:r>
      <w:r>
        <w:rPr>
          <w:rFonts w:hAnsi="宋体" w:cs="宋体"/>
          <w:kern w:val="0"/>
          <w:sz w:val="24"/>
        </w:rPr>
        <w:t>22</w:t>
      </w:r>
      <w:r>
        <w:rPr>
          <w:rFonts w:hAnsi="宋体" w:cs="宋体" w:hint="eastAsia"/>
          <w:kern w:val="0"/>
          <w:sz w:val="24"/>
        </w:rPr>
        <w:t>日颁布、同年</w:t>
      </w:r>
      <w:r>
        <w:rPr>
          <w:rFonts w:hAnsi="宋体" w:cs="宋体"/>
          <w:kern w:val="0"/>
          <w:sz w:val="24"/>
        </w:rPr>
        <w:t>2</w:t>
      </w:r>
      <w:r>
        <w:rPr>
          <w:rFonts w:hAnsi="宋体" w:cs="宋体" w:hint="eastAsia"/>
          <w:kern w:val="0"/>
          <w:sz w:val="24"/>
        </w:rPr>
        <w:t>月</w:t>
      </w:r>
      <w:r>
        <w:rPr>
          <w:rFonts w:hAnsi="宋体" w:cs="宋体"/>
          <w:kern w:val="0"/>
          <w:sz w:val="24"/>
        </w:rPr>
        <w:t>1</w:t>
      </w:r>
      <w:r>
        <w:rPr>
          <w:rFonts w:hAnsi="宋体" w:cs="宋体" w:hint="eastAsia"/>
          <w:kern w:val="0"/>
          <w:sz w:val="24"/>
        </w:rPr>
        <w:t>日实施的《公开募集证券投资基金运作指引第</w:t>
      </w:r>
      <w:r>
        <w:rPr>
          <w:rFonts w:hAnsi="宋体" w:cs="宋体"/>
          <w:kern w:val="0"/>
          <w:sz w:val="24"/>
        </w:rPr>
        <w:t>3</w:t>
      </w:r>
      <w:r>
        <w:rPr>
          <w:rFonts w:hAnsi="宋体" w:cs="宋体" w:hint="eastAsia"/>
          <w:kern w:val="0"/>
          <w:sz w:val="24"/>
        </w:rPr>
        <w:t>号——指数基金指引》及颁布机关对其不时做出的修订”。</w:t>
      </w:r>
    </w:p>
    <w:p w:rsidR="005B51D8" w:rsidRDefault="005B51D8" w:rsidP="005B51D8">
      <w:pPr>
        <w:pStyle w:val="a3"/>
        <w:spacing w:line="360" w:lineRule="auto"/>
        <w:ind w:rightChars="40" w:right="84" w:firstLine="480"/>
        <w:rPr>
          <w:rFonts w:hAnsi="宋体" w:cs="宋体"/>
          <w:kern w:val="0"/>
          <w:sz w:val="24"/>
        </w:rPr>
      </w:pPr>
      <w:r>
        <w:rPr>
          <w:rFonts w:hAnsi="宋体" w:cs="宋体"/>
          <w:kern w:val="0"/>
          <w:sz w:val="24"/>
        </w:rPr>
        <w:t>3</w:t>
      </w:r>
      <w:r>
        <w:rPr>
          <w:rFonts w:hAnsi="宋体" w:cs="宋体" w:hint="eastAsia"/>
          <w:kern w:val="0"/>
          <w:sz w:val="24"/>
        </w:rPr>
        <w:t>、“基金的基本情况”章节</w:t>
      </w:r>
    </w:p>
    <w:p w:rsidR="005B51D8" w:rsidRDefault="005B51D8" w:rsidP="005B51D8">
      <w:pPr>
        <w:pStyle w:val="a3"/>
        <w:spacing w:line="360" w:lineRule="auto"/>
        <w:ind w:rightChars="40" w:right="84" w:firstLine="480"/>
        <w:rPr>
          <w:rFonts w:hAnsi="宋体" w:cs="宋体"/>
          <w:kern w:val="0"/>
          <w:sz w:val="24"/>
        </w:rPr>
      </w:pPr>
      <w:r>
        <w:rPr>
          <w:rFonts w:hAnsi="宋体" w:cs="宋体" w:hint="eastAsia"/>
          <w:kern w:val="0"/>
          <w:sz w:val="24"/>
        </w:rPr>
        <w:t>若“基金的基本情况”章节有关于变更基金的标的指数和基金名称、调整业绩比较基准的相关表述，则删除相关表述。</w:t>
      </w:r>
    </w:p>
    <w:p w:rsidR="005B51D8" w:rsidRDefault="005B51D8" w:rsidP="005B51D8">
      <w:pPr>
        <w:pStyle w:val="a3"/>
        <w:spacing w:line="360" w:lineRule="auto"/>
        <w:ind w:rightChars="40" w:right="84" w:firstLine="480"/>
        <w:rPr>
          <w:rFonts w:hAnsi="宋体" w:cs="宋体"/>
          <w:kern w:val="0"/>
          <w:sz w:val="24"/>
        </w:rPr>
      </w:pPr>
      <w:r>
        <w:rPr>
          <w:rFonts w:hAnsi="宋体" w:cs="宋体" w:hint="eastAsia"/>
          <w:kern w:val="0"/>
          <w:sz w:val="24"/>
        </w:rPr>
        <w:t>以</w:t>
      </w:r>
      <w:r>
        <w:rPr>
          <w:rFonts w:hint="eastAsia"/>
          <w:sz w:val="24"/>
        </w:rPr>
        <w:t>易方达中债</w:t>
      </w:r>
      <w:r>
        <w:rPr>
          <w:sz w:val="24"/>
        </w:rPr>
        <w:t>3-5</w:t>
      </w:r>
      <w:r>
        <w:rPr>
          <w:rFonts w:hint="eastAsia"/>
          <w:sz w:val="24"/>
        </w:rPr>
        <w:t>年国开行债券指数证券投资基金为例，在</w:t>
      </w:r>
      <w:r>
        <w:rPr>
          <w:rFonts w:hAnsi="宋体" w:cs="宋体" w:hint="eastAsia"/>
          <w:kern w:val="0"/>
          <w:sz w:val="24"/>
        </w:rPr>
        <w:t>“基金的基本情况”章节</w:t>
      </w:r>
      <w:r>
        <w:rPr>
          <w:rFonts w:hint="eastAsia"/>
          <w:sz w:val="24"/>
        </w:rPr>
        <w:t>删除以下表述：“如果指数发布机构变更或停止该指数的编制及发布、或由于指数编制方法等重大变更导致该指数不宜继续作为标的指数，或证券市场有其他代表性更强、更适合投资的指数推出时，本基金管理人可以依据维护投资者合法权益的原则，变更本基金的标的指数，在对基金份额持有人利益无实质不利影响的情况下，无需召开基金份额持有人大会。”</w:t>
      </w:r>
    </w:p>
    <w:p w:rsidR="005B51D8" w:rsidRDefault="005B51D8" w:rsidP="005B51D8">
      <w:pPr>
        <w:pStyle w:val="a3"/>
        <w:spacing w:line="360" w:lineRule="auto"/>
        <w:ind w:rightChars="40" w:right="84" w:firstLine="480"/>
        <w:rPr>
          <w:rFonts w:hAnsi="宋体" w:cs="宋体"/>
          <w:kern w:val="0"/>
          <w:sz w:val="24"/>
        </w:rPr>
      </w:pPr>
      <w:r>
        <w:rPr>
          <w:rFonts w:hAnsi="宋体" w:cs="宋体"/>
          <w:kern w:val="0"/>
          <w:sz w:val="24"/>
        </w:rPr>
        <w:t>4</w:t>
      </w:r>
      <w:r>
        <w:rPr>
          <w:rFonts w:hAnsi="宋体" w:cs="宋体" w:hint="eastAsia"/>
          <w:kern w:val="0"/>
          <w:sz w:val="24"/>
        </w:rPr>
        <w:t>、“基金的投资”章节</w:t>
      </w:r>
    </w:p>
    <w:p w:rsidR="005B51D8" w:rsidRDefault="005B51D8" w:rsidP="005B51D8">
      <w:pPr>
        <w:pStyle w:val="a3"/>
        <w:spacing w:line="360" w:lineRule="auto"/>
        <w:ind w:rightChars="40" w:right="84" w:firstLine="480"/>
        <w:rPr>
          <w:rFonts w:hAnsi="宋体" w:cs="宋体"/>
          <w:kern w:val="0"/>
          <w:sz w:val="24"/>
        </w:rPr>
      </w:pPr>
      <w:r>
        <w:rPr>
          <w:rFonts w:hAnsi="宋体" w:cs="宋体" w:hint="eastAsia"/>
          <w:kern w:val="0"/>
          <w:sz w:val="24"/>
        </w:rPr>
        <w:t>（</w:t>
      </w:r>
      <w:r>
        <w:rPr>
          <w:rFonts w:hAnsi="宋体" w:cs="宋体"/>
          <w:kern w:val="0"/>
          <w:sz w:val="24"/>
        </w:rPr>
        <w:t>1</w:t>
      </w:r>
      <w:r>
        <w:rPr>
          <w:rFonts w:hAnsi="宋体" w:cs="宋体" w:hint="eastAsia"/>
          <w:kern w:val="0"/>
          <w:sz w:val="24"/>
        </w:rPr>
        <w:t>）股票型指数基金的“基金的投资”章节增加：“未来若出现标的指数不符合法律法规及监管的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Pr>
          <w:rFonts w:hAnsi="宋体" w:cs="宋体"/>
          <w:kern w:val="0"/>
          <w:sz w:val="24"/>
        </w:rPr>
        <w:t>6</w:t>
      </w:r>
      <w:r>
        <w:rPr>
          <w:rFonts w:hAnsi="宋体" w:cs="宋体" w:hint="eastAsia"/>
          <w:kern w:val="0"/>
          <w:sz w:val="24"/>
        </w:rPr>
        <w:t>个月内召集基金份额持有人大会进行表决。</w:t>
      </w:r>
    </w:p>
    <w:p w:rsidR="005B51D8" w:rsidRDefault="005B51D8" w:rsidP="005B51D8">
      <w:pPr>
        <w:pStyle w:val="a3"/>
        <w:spacing w:line="360" w:lineRule="auto"/>
        <w:ind w:rightChars="40" w:right="84" w:firstLine="480"/>
        <w:rPr>
          <w:rFonts w:hAnsi="宋体" w:cs="宋体"/>
          <w:kern w:val="0"/>
          <w:sz w:val="24"/>
        </w:rPr>
      </w:pPr>
      <w:r>
        <w:rPr>
          <w:rFonts w:hAnsi="宋体" w:cs="宋体" w:hint="eastAsia"/>
          <w:kern w:val="0"/>
          <w:sz w:val="24"/>
        </w:rPr>
        <w:t>自指数编制机构停止标的指数的编制及发布至解决方案确定期间，基金管理人应按照指数编制机构提供的最近一个交易日的指数信息遵循基金份额持有人利益优先原则维持基金投资运作”。</w:t>
      </w:r>
    </w:p>
    <w:p w:rsidR="005B51D8" w:rsidRDefault="005B51D8" w:rsidP="005B51D8">
      <w:pPr>
        <w:pStyle w:val="a3"/>
        <w:spacing w:line="360" w:lineRule="auto"/>
        <w:ind w:rightChars="40" w:right="84" w:firstLine="480"/>
        <w:rPr>
          <w:rFonts w:hAnsi="宋体" w:cs="宋体"/>
          <w:kern w:val="0"/>
          <w:sz w:val="24"/>
        </w:rPr>
      </w:pPr>
      <w:r>
        <w:rPr>
          <w:rFonts w:hAnsi="宋体" w:cs="宋体" w:hint="eastAsia"/>
          <w:kern w:val="0"/>
          <w:sz w:val="24"/>
        </w:rPr>
        <w:t>（</w:t>
      </w:r>
      <w:r>
        <w:rPr>
          <w:rFonts w:hAnsi="宋体" w:cs="宋体"/>
          <w:kern w:val="0"/>
          <w:sz w:val="24"/>
        </w:rPr>
        <w:t>2</w:t>
      </w:r>
      <w:r>
        <w:rPr>
          <w:rFonts w:hAnsi="宋体" w:cs="宋体" w:hint="eastAsia"/>
          <w:kern w:val="0"/>
          <w:sz w:val="24"/>
        </w:rPr>
        <w:t>）债券型指数基金的“基金的投资”章节增加：“未来若出现标的指数不符合法律法规及监管的要求（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Pr>
          <w:rFonts w:hAnsi="宋体" w:cs="宋体"/>
          <w:kern w:val="0"/>
          <w:sz w:val="24"/>
        </w:rPr>
        <w:t>6</w:t>
      </w:r>
      <w:r>
        <w:rPr>
          <w:rFonts w:hAnsi="宋体" w:cs="宋体" w:hint="eastAsia"/>
          <w:kern w:val="0"/>
          <w:sz w:val="24"/>
        </w:rPr>
        <w:t>个月内召集基金份额持有人大会进行表决。</w:t>
      </w:r>
    </w:p>
    <w:p w:rsidR="005B51D8" w:rsidRDefault="005B51D8" w:rsidP="005B51D8">
      <w:pPr>
        <w:pStyle w:val="a3"/>
        <w:spacing w:line="360" w:lineRule="auto"/>
        <w:ind w:rightChars="40" w:right="84" w:firstLine="480"/>
        <w:rPr>
          <w:rFonts w:hAnsi="宋体" w:cs="宋体"/>
          <w:kern w:val="0"/>
          <w:sz w:val="24"/>
        </w:rPr>
      </w:pPr>
      <w:r>
        <w:rPr>
          <w:rFonts w:hAnsi="宋体" w:cs="宋体" w:hint="eastAsia"/>
          <w:kern w:val="0"/>
          <w:sz w:val="24"/>
        </w:rPr>
        <w:t>自指数编制机构停止标的指数的编制及发布至解决方案确定期间，基金管理人应按照指数编制机构提供的最近一个交易日的指数信息遵循基金份额持有人利益优先原则维持基金投资运作”。</w:t>
      </w:r>
    </w:p>
    <w:p w:rsidR="005B51D8" w:rsidRDefault="005B51D8" w:rsidP="005B51D8">
      <w:pPr>
        <w:pStyle w:val="a3"/>
        <w:spacing w:line="360" w:lineRule="auto"/>
        <w:ind w:rightChars="40" w:right="84" w:firstLine="480"/>
        <w:rPr>
          <w:rFonts w:hAnsi="宋体" w:cs="宋体"/>
          <w:kern w:val="0"/>
          <w:sz w:val="24"/>
        </w:rPr>
      </w:pPr>
      <w:r>
        <w:rPr>
          <w:rFonts w:hAnsi="宋体" w:cs="宋体" w:hint="eastAsia"/>
          <w:kern w:val="0"/>
          <w:sz w:val="24"/>
        </w:rPr>
        <w:t>若“基金的投资”章节有变更基金的标的指数和基金名称、调整业绩比较基准的相关表述，则删除相关表述。</w:t>
      </w:r>
    </w:p>
    <w:p w:rsidR="005B51D8" w:rsidRDefault="005B51D8" w:rsidP="005B51D8">
      <w:pPr>
        <w:pStyle w:val="a3"/>
        <w:spacing w:line="360" w:lineRule="auto"/>
        <w:ind w:rightChars="40" w:right="84" w:firstLine="480"/>
        <w:rPr>
          <w:rFonts w:hAnsi="宋体" w:cs="宋体"/>
          <w:kern w:val="0"/>
          <w:sz w:val="24"/>
        </w:rPr>
      </w:pPr>
      <w:r>
        <w:rPr>
          <w:rFonts w:hAnsi="宋体" w:cs="宋体" w:hint="eastAsia"/>
          <w:kern w:val="0"/>
          <w:sz w:val="24"/>
        </w:rPr>
        <w:t>以</w:t>
      </w:r>
      <w:r>
        <w:rPr>
          <w:rFonts w:hint="eastAsia"/>
          <w:sz w:val="24"/>
        </w:rPr>
        <w:t>易方达中证军工指数证券投资基金（</w:t>
      </w:r>
      <w:r>
        <w:rPr>
          <w:sz w:val="24"/>
        </w:rPr>
        <w:t>LOF</w:t>
      </w:r>
      <w:r>
        <w:rPr>
          <w:rFonts w:hint="eastAsia"/>
          <w:sz w:val="24"/>
        </w:rPr>
        <w:t>）为例，在</w:t>
      </w:r>
      <w:r>
        <w:rPr>
          <w:rFonts w:hAnsi="宋体" w:cs="宋体" w:hint="eastAsia"/>
          <w:kern w:val="0"/>
          <w:sz w:val="24"/>
        </w:rPr>
        <w:t>“基金的投资”章节</w:t>
      </w:r>
      <w:r>
        <w:rPr>
          <w:rFonts w:hint="eastAsia"/>
          <w:sz w:val="24"/>
        </w:rPr>
        <w:t>删除以下表述：“若指数编制单位变更或停止标的指数的编制、发布及维护，或指数名称发生变更，或标的指数由其他指数替代，或标的指数因编制方法发生重大变更而不适合继续作为业绩比较基准的组成部分、或法律法规发生变化，基金管理人可以依据维护投资者合法权益的原则，和基金托管人协商一致并报中国证监会备案后，变更标的指数或调整业绩比较基准并及时公告，无须召开基金份额持有人大会审议。”</w:t>
      </w:r>
    </w:p>
    <w:p w:rsidR="005B51D8" w:rsidRDefault="005B51D8" w:rsidP="005B51D8">
      <w:pPr>
        <w:pStyle w:val="a3"/>
        <w:spacing w:line="360" w:lineRule="auto"/>
        <w:ind w:rightChars="40" w:right="84" w:firstLine="480"/>
        <w:rPr>
          <w:rFonts w:hAnsi="宋体" w:cs="宋体"/>
          <w:kern w:val="0"/>
          <w:sz w:val="24"/>
        </w:rPr>
      </w:pPr>
    </w:p>
    <w:p w:rsidR="005B51D8" w:rsidRDefault="005B51D8" w:rsidP="005B51D8">
      <w:pPr>
        <w:pStyle w:val="Default"/>
        <w:spacing w:line="360" w:lineRule="auto"/>
        <w:ind w:rightChars="40" w:right="84" w:firstLineChars="200" w:firstLine="482"/>
        <w:jc w:val="both"/>
        <w:rPr>
          <w:rFonts w:hAnsi="宋体"/>
          <w:b/>
        </w:rPr>
      </w:pPr>
      <w:r>
        <w:rPr>
          <w:rFonts w:cstheme="minorBidi" w:hint="eastAsia"/>
          <w:b/>
          <w:color w:val="auto"/>
        </w:rPr>
        <w:t>三、</w:t>
      </w:r>
      <w:r>
        <w:rPr>
          <w:rFonts w:hAnsi="宋体" w:hint="eastAsia"/>
          <w:b/>
        </w:rPr>
        <w:t>修改后的各基金基金合同自</w:t>
      </w:r>
      <w:r w:rsidRPr="00201199">
        <w:rPr>
          <w:rFonts w:hAnsi="宋体" w:hint="eastAsia"/>
          <w:b/>
        </w:rPr>
        <w:t>2021年4月1日</w:t>
      </w:r>
      <w:r>
        <w:rPr>
          <w:rFonts w:hAnsi="宋体" w:hint="eastAsia"/>
          <w:b/>
        </w:rPr>
        <w:t>起生效，基金管理人已履行了规定程序，符合相关法律法规的规定及各基金基金合同的约定。修改后的各基金基金合同全文将与本公告同日登载于基金管理人网站（www.efunds.com.cn）及中国证监会基金电子披露网站（http://eid.csrc.gov.cn/fund）。根据修改的各基金基金合同，基金管理人将更新各基金的招募说明书和基金产品资料概要相关内容，并揭示风险。</w:t>
      </w:r>
    </w:p>
    <w:p w:rsidR="005B51D8" w:rsidRDefault="005B51D8" w:rsidP="005B51D8">
      <w:pPr>
        <w:pStyle w:val="a3"/>
        <w:spacing w:line="360" w:lineRule="auto"/>
        <w:ind w:rightChars="40" w:right="84" w:firstLine="482"/>
        <w:rPr>
          <w:rFonts w:hAnsi="宋体" w:cs="宋体"/>
          <w:b/>
          <w:sz w:val="24"/>
        </w:rPr>
      </w:pPr>
    </w:p>
    <w:p w:rsidR="005B51D8" w:rsidRDefault="005B51D8" w:rsidP="005B51D8">
      <w:pPr>
        <w:pStyle w:val="a3"/>
        <w:spacing w:line="360" w:lineRule="auto"/>
        <w:ind w:rightChars="40" w:right="84" w:firstLine="482"/>
        <w:rPr>
          <w:rFonts w:hAnsi="宋体" w:cs="宋体"/>
          <w:b/>
          <w:sz w:val="24"/>
        </w:rPr>
      </w:pPr>
      <w:r>
        <w:rPr>
          <w:rFonts w:hAnsi="宋体" w:cs="宋体" w:hint="eastAsia"/>
          <w:b/>
          <w:sz w:val="24"/>
        </w:rPr>
        <w:t>四、其他事项</w:t>
      </w:r>
    </w:p>
    <w:p w:rsidR="005B51D8" w:rsidRDefault="005B51D8" w:rsidP="005B51D8">
      <w:pPr>
        <w:pStyle w:val="a3"/>
        <w:spacing w:line="360" w:lineRule="auto"/>
        <w:ind w:rightChars="40" w:right="84" w:firstLine="480"/>
        <w:rPr>
          <w:rFonts w:hAnsi="宋体" w:cs="宋体"/>
          <w:sz w:val="24"/>
        </w:rPr>
      </w:pPr>
      <w:r>
        <w:rPr>
          <w:rFonts w:hAnsi="宋体" w:cs="宋体"/>
          <w:sz w:val="24"/>
        </w:rPr>
        <w:t>1</w:t>
      </w:r>
      <w:r>
        <w:rPr>
          <w:rFonts w:hAnsi="宋体" w:cs="宋体" w:hint="eastAsia"/>
          <w:sz w:val="24"/>
        </w:rPr>
        <w:t>．投资者可通过以下途径咨询有关详情</w:t>
      </w:r>
    </w:p>
    <w:p w:rsidR="005B51D8" w:rsidRDefault="005B51D8" w:rsidP="005B51D8">
      <w:pPr>
        <w:pStyle w:val="a3"/>
        <w:spacing w:line="360" w:lineRule="auto"/>
        <w:ind w:rightChars="40" w:right="84" w:firstLine="480"/>
        <w:rPr>
          <w:rFonts w:hAnsi="宋体" w:cs="宋体"/>
          <w:sz w:val="24"/>
        </w:rPr>
      </w:pPr>
      <w:r>
        <w:rPr>
          <w:rFonts w:hAnsi="宋体" w:cs="宋体" w:hint="eastAsia"/>
          <w:sz w:val="24"/>
        </w:rPr>
        <w:t>客户服务电话：</w:t>
      </w:r>
      <w:r>
        <w:rPr>
          <w:rFonts w:hAnsi="宋体" w:cs="宋体"/>
          <w:sz w:val="24"/>
        </w:rPr>
        <w:t xml:space="preserve">400-881-8088 </w:t>
      </w:r>
    </w:p>
    <w:p w:rsidR="005B51D8" w:rsidRDefault="005B51D8" w:rsidP="005B51D8">
      <w:pPr>
        <w:pStyle w:val="a3"/>
        <w:spacing w:line="360" w:lineRule="auto"/>
        <w:ind w:rightChars="40" w:right="84" w:firstLine="480"/>
        <w:rPr>
          <w:rFonts w:hAnsi="宋体" w:cs="宋体"/>
          <w:sz w:val="24"/>
        </w:rPr>
      </w:pPr>
      <w:r>
        <w:rPr>
          <w:rFonts w:hAnsi="宋体" w:cs="宋体" w:hint="eastAsia"/>
          <w:sz w:val="24"/>
        </w:rPr>
        <w:t>网址：</w:t>
      </w:r>
      <w:r>
        <w:rPr>
          <w:rFonts w:hAnsi="宋体" w:cs="宋体"/>
          <w:sz w:val="24"/>
        </w:rPr>
        <w:t>www.efunds.com.cn</w:t>
      </w:r>
    </w:p>
    <w:p w:rsidR="005B51D8" w:rsidRDefault="005B51D8" w:rsidP="005B51D8">
      <w:pPr>
        <w:pStyle w:val="a3"/>
        <w:spacing w:line="360" w:lineRule="auto"/>
        <w:ind w:rightChars="40" w:right="84" w:firstLine="480"/>
        <w:rPr>
          <w:rFonts w:hAnsi="宋体" w:cs="宋体"/>
          <w:sz w:val="24"/>
        </w:rPr>
      </w:pPr>
      <w:r>
        <w:rPr>
          <w:rFonts w:hAnsi="宋体" w:cs="宋体"/>
          <w:sz w:val="24"/>
        </w:rPr>
        <w:t>2</w:t>
      </w:r>
      <w:r>
        <w:rPr>
          <w:rFonts w:hAnsi="宋体" w:cs="宋体" w:hint="eastAsia"/>
          <w:sz w:val="24"/>
        </w:rPr>
        <w:t>．风险提示：</w:t>
      </w:r>
    </w:p>
    <w:p w:rsidR="005B51D8" w:rsidRDefault="005B51D8" w:rsidP="005B51D8">
      <w:pPr>
        <w:pStyle w:val="a3"/>
        <w:spacing w:line="360" w:lineRule="auto"/>
        <w:ind w:rightChars="40" w:right="84" w:firstLine="480"/>
        <w:rPr>
          <w:rFonts w:hAnsi="宋体" w:cs="宋体"/>
          <w:sz w:val="24"/>
        </w:rPr>
      </w:pPr>
      <w:r>
        <w:rPr>
          <w:rFonts w:hAnsi="宋体" w:cs="宋体" w:hint="eastAsia"/>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5B51D8" w:rsidRDefault="005B51D8" w:rsidP="005B51D8">
      <w:pPr>
        <w:pStyle w:val="a3"/>
        <w:spacing w:line="360" w:lineRule="auto"/>
        <w:ind w:rightChars="40" w:right="84" w:firstLine="480"/>
        <w:rPr>
          <w:rFonts w:hAnsi="宋体" w:cs="宋体"/>
          <w:sz w:val="24"/>
        </w:rPr>
      </w:pPr>
    </w:p>
    <w:p w:rsidR="005B51D8" w:rsidRDefault="005B51D8" w:rsidP="005B51D8">
      <w:pPr>
        <w:pStyle w:val="a3"/>
        <w:spacing w:line="360" w:lineRule="auto"/>
        <w:ind w:rightChars="40" w:right="84" w:firstLine="480"/>
        <w:rPr>
          <w:rFonts w:hAnsi="宋体" w:cs="宋体"/>
          <w:sz w:val="24"/>
        </w:rPr>
      </w:pPr>
      <w:r>
        <w:rPr>
          <w:rFonts w:hAnsi="宋体" w:cs="宋体" w:hint="eastAsia"/>
          <w:sz w:val="24"/>
        </w:rPr>
        <w:t>特此公告。</w:t>
      </w:r>
    </w:p>
    <w:p w:rsidR="005B51D8" w:rsidRDefault="005B51D8" w:rsidP="005B51D8">
      <w:pPr>
        <w:pStyle w:val="a3"/>
        <w:spacing w:line="360" w:lineRule="auto"/>
        <w:ind w:rightChars="40" w:right="84" w:firstLine="480"/>
        <w:rPr>
          <w:rFonts w:hAnsi="宋体" w:cs="宋体"/>
          <w:sz w:val="24"/>
        </w:rPr>
      </w:pPr>
    </w:p>
    <w:p w:rsidR="005B51D8" w:rsidRDefault="005B51D8" w:rsidP="005B51D8">
      <w:pPr>
        <w:pStyle w:val="a3"/>
        <w:spacing w:line="360" w:lineRule="auto"/>
        <w:ind w:rightChars="40" w:right="84" w:firstLine="480"/>
        <w:rPr>
          <w:rFonts w:hAnsi="宋体" w:cs="宋体"/>
          <w:sz w:val="24"/>
        </w:rPr>
      </w:pPr>
    </w:p>
    <w:p w:rsidR="005B51D8" w:rsidRDefault="005B51D8" w:rsidP="005B51D8">
      <w:pPr>
        <w:spacing w:line="360" w:lineRule="auto"/>
        <w:ind w:rightChars="40" w:right="84"/>
        <w:rPr>
          <w:rFonts w:ascii="宋体" w:hAnsi="宋体"/>
          <w:sz w:val="24"/>
          <w:szCs w:val="24"/>
        </w:rPr>
      </w:pPr>
    </w:p>
    <w:p w:rsidR="005B51D8" w:rsidRDefault="005B51D8" w:rsidP="005B51D8">
      <w:pPr>
        <w:spacing w:line="360" w:lineRule="auto"/>
        <w:ind w:rightChars="40" w:right="84" w:firstLineChars="1450" w:firstLine="3480"/>
        <w:jc w:val="right"/>
        <w:rPr>
          <w:rFonts w:ascii="宋体" w:hAnsi="宋体"/>
          <w:sz w:val="24"/>
          <w:szCs w:val="24"/>
        </w:rPr>
      </w:pPr>
      <w:r>
        <w:rPr>
          <w:rFonts w:ascii="宋体" w:hAnsi="宋体" w:hint="eastAsia"/>
          <w:sz w:val="24"/>
          <w:szCs w:val="24"/>
        </w:rPr>
        <w:t>易方达基金管理有限公司</w:t>
      </w:r>
    </w:p>
    <w:p w:rsidR="005B51D8" w:rsidRDefault="005B51D8" w:rsidP="00201199">
      <w:pPr>
        <w:spacing w:line="360" w:lineRule="auto"/>
        <w:ind w:rightChars="40" w:right="84" w:firstLineChars="1450" w:firstLine="3480"/>
        <w:jc w:val="right"/>
        <w:rPr>
          <w:rFonts w:hAnsi="宋体" w:cs="宋体"/>
          <w:sz w:val="24"/>
        </w:rPr>
      </w:pPr>
      <w:r>
        <w:rPr>
          <w:rFonts w:hAnsi="宋体" w:cs="宋体"/>
          <w:sz w:val="24"/>
        </w:rPr>
        <w:t xml:space="preserve">  </w:t>
      </w:r>
      <w:bookmarkStart w:id="0" w:name="_GoBack"/>
      <w:r w:rsidRPr="00201199">
        <w:rPr>
          <w:rFonts w:ascii="宋体" w:hAnsi="宋体"/>
          <w:sz w:val="24"/>
          <w:szCs w:val="24"/>
        </w:rPr>
        <w:t>2021</w:t>
      </w:r>
      <w:r w:rsidRPr="00201199">
        <w:rPr>
          <w:rFonts w:ascii="宋体" w:hAnsi="宋体" w:hint="eastAsia"/>
          <w:sz w:val="24"/>
          <w:szCs w:val="24"/>
        </w:rPr>
        <w:t>年</w:t>
      </w:r>
      <w:r w:rsidRPr="00201199">
        <w:rPr>
          <w:rFonts w:ascii="宋体" w:hAnsi="宋体"/>
          <w:sz w:val="24"/>
          <w:szCs w:val="24"/>
        </w:rPr>
        <w:t>3</w:t>
      </w:r>
      <w:r w:rsidRPr="00201199">
        <w:rPr>
          <w:rFonts w:ascii="宋体" w:hAnsi="宋体" w:hint="eastAsia"/>
          <w:sz w:val="24"/>
          <w:szCs w:val="24"/>
        </w:rPr>
        <w:t>月30日</w:t>
      </w:r>
      <w:bookmarkEnd w:id="0"/>
    </w:p>
    <w:p w:rsidR="005B51D8" w:rsidRDefault="005B51D8" w:rsidP="005B51D8">
      <w:pPr>
        <w:pStyle w:val="a3"/>
        <w:ind w:rightChars="40" w:right="84" w:firstLineChars="1500" w:firstLine="3150"/>
        <w:jc w:val="right"/>
        <w:rPr>
          <w:rFonts w:hAnsi="宋体" w:cs="宋体"/>
          <w:szCs w:val="21"/>
        </w:rPr>
      </w:pPr>
    </w:p>
    <w:p w:rsidR="002E6AC2" w:rsidRPr="005B51D8" w:rsidRDefault="002E6AC2" w:rsidP="005B51D8"/>
    <w:sectPr w:rsidR="002E6AC2" w:rsidRPr="005B51D8" w:rsidSect="004814B2">
      <w:headerReference w:type="default" r:id="rId9"/>
      <w:footerReference w:type="default" r:id="rId10"/>
      <w:pgSz w:w="11906" w:h="16838"/>
      <w:pgMar w:top="1440" w:right="1588" w:bottom="1440" w:left="1701"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C19" w:rsidRDefault="00162C19"/>
  </w:endnote>
  <w:endnote w:type="continuationSeparator" w:id="0">
    <w:p w:rsidR="00162C19" w:rsidRDefault="00162C19"/>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AF" w:rsidRDefault="000D3D12">
    <w:pPr>
      <w:pStyle w:val="aa"/>
      <w:jc w:val="center"/>
    </w:pPr>
    <w:r w:rsidRPr="000D3D12">
      <w:fldChar w:fldCharType="begin"/>
    </w:r>
    <w:r w:rsidR="00994C2D">
      <w:instrText xml:space="preserve"> PAGE   \* MERGEFORMAT </w:instrText>
    </w:r>
    <w:r w:rsidRPr="000D3D12">
      <w:fldChar w:fldCharType="separate"/>
    </w:r>
    <w:r w:rsidR="00D22131" w:rsidRPr="00D22131">
      <w:rPr>
        <w:noProof/>
        <w:lang w:val="zh-CN"/>
      </w:rPr>
      <w:t>1</w:t>
    </w:r>
    <w:r>
      <w:rPr>
        <w:noProof/>
        <w:lang w:val="zh-CN"/>
      </w:rPr>
      <w:fldChar w:fldCharType="end"/>
    </w:r>
  </w:p>
  <w:p w:rsidR="00D32FAF" w:rsidRPr="003B415C" w:rsidRDefault="00D22131" w:rsidP="00DA1C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C19" w:rsidRDefault="00162C19"/>
  </w:footnote>
  <w:footnote w:type="continuationSeparator" w:id="0">
    <w:p w:rsidR="00162C19" w:rsidRDefault="00162C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AF" w:rsidRDefault="00D22131" w:rsidP="005403FC"/>
  <w:p w:rsidR="00D32FAF" w:rsidRPr="003406CA" w:rsidRDefault="00994C2D" w:rsidP="005403FC">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508CD"/>
    <w:multiLevelType w:val="hybridMultilevel"/>
    <w:tmpl w:val="D4C89DE2"/>
    <w:lvl w:ilvl="0" w:tplc="80AE2EB2">
      <w:start w:val="1"/>
      <w:numFmt w:val="decimal"/>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6AC2"/>
    <w:rsid w:val="00005898"/>
    <w:rsid w:val="000210E6"/>
    <w:rsid w:val="00021D42"/>
    <w:rsid w:val="000358E7"/>
    <w:rsid w:val="00042630"/>
    <w:rsid w:val="000503E5"/>
    <w:rsid w:val="0006271A"/>
    <w:rsid w:val="00065319"/>
    <w:rsid w:val="0007075F"/>
    <w:rsid w:val="0007650F"/>
    <w:rsid w:val="000D3D12"/>
    <w:rsid w:val="000E669C"/>
    <w:rsid w:val="000F0119"/>
    <w:rsid w:val="000F2B4C"/>
    <w:rsid w:val="0010193F"/>
    <w:rsid w:val="0011354A"/>
    <w:rsid w:val="00114FC9"/>
    <w:rsid w:val="0011768C"/>
    <w:rsid w:val="0012711B"/>
    <w:rsid w:val="00130E0B"/>
    <w:rsid w:val="001547BF"/>
    <w:rsid w:val="00156B06"/>
    <w:rsid w:val="00162C19"/>
    <w:rsid w:val="00167D27"/>
    <w:rsid w:val="00170216"/>
    <w:rsid w:val="001702C4"/>
    <w:rsid w:val="001707B7"/>
    <w:rsid w:val="0019535B"/>
    <w:rsid w:val="001B25DB"/>
    <w:rsid w:val="001B3CDE"/>
    <w:rsid w:val="001C2092"/>
    <w:rsid w:val="001D56B3"/>
    <w:rsid w:val="001D7B69"/>
    <w:rsid w:val="001E0BBC"/>
    <w:rsid w:val="001E67FC"/>
    <w:rsid w:val="001F6B21"/>
    <w:rsid w:val="00201199"/>
    <w:rsid w:val="00205AE3"/>
    <w:rsid w:val="00223371"/>
    <w:rsid w:val="00230CC7"/>
    <w:rsid w:val="0026523F"/>
    <w:rsid w:val="0027133E"/>
    <w:rsid w:val="00292984"/>
    <w:rsid w:val="002A62DA"/>
    <w:rsid w:val="002A7E0F"/>
    <w:rsid w:val="002B326C"/>
    <w:rsid w:val="002B5984"/>
    <w:rsid w:val="002C6496"/>
    <w:rsid w:val="002C6DF0"/>
    <w:rsid w:val="002E6AC2"/>
    <w:rsid w:val="00311D7D"/>
    <w:rsid w:val="00316676"/>
    <w:rsid w:val="00321A9E"/>
    <w:rsid w:val="00365C58"/>
    <w:rsid w:val="00376B63"/>
    <w:rsid w:val="00376F28"/>
    <w:rsid w:val="003822B9"/>
    <w:rsid w:val="00392443"/>
    <w:rsid w:val="003A0246"/>
    <w:rsid w:val="003A0A38"/>
    <w:rsid w:val="003B4208"/>
    <w:rsid w:val="003C0D6E"/>
    <w:rsid w:val="003C4EBB"/>
    <w:rsid w:val="004016D8"/>
    <w:rsid w:val="00403D96"/>
    <w:rsid w:val="00406D02"/>
    <w:rsid w:val="00420E5F"/>
    <w:rsid w:val="00424FF9"/>
    <w:rsid w:val="004349CE"/>
    <w:rsid w:val="0046147A"/>
    <w:rsid w:val="00462103"/>
    <w:rsid w:val="00463650"/>
    <w:rsid w:val="00477D2B"/>
    <w:rsid w:val="00480116"/>
    <w:rsid w:val="004814B2"/>
    <w:rsid w:val="00493086"/>
    <w:rsid w:val="004A1A02"/>
    <w:rsid w:val="004A3C13"/>
    <w:rsid w:val="004B22FD"/>
    <w:rsid w:val="004B2EEB"/>
    <w:rsid w:val="004B6AC4"/>
    <w:rsid w:val="004C7EC3"/>
    <w:rsid w:val="004D023E"/>
    <w:rsid w:val="004D510B"/>
    <w:rsid w:val="004F3A75"/>
    <w:rsid w:val="00505966"/>
    <w:rsid w:val="00505C65"/>
    <w:rsid w:val="00506075"/>
    <w:rsid w:val="0051254F"/>
    <w:rsid w:val="00535366"/>
    <w:rsid w:val="0054022B"/>
    <w:rsid w:val="00564D55"/>
    <w:rsid w:val="0056765F"/>
    <w:rsid w:val="005944D0"/>
    <w:rsid w:val="005A467C"/>
    <w:rsid w:val="005B51D8"/>
    <w:rsid w:val="005F30BB"/>
    <w:rsid w:val="00603E90"/>
    <w:rsid w:val="006167C7"/>
    <w:rsid w:val="00616B28"/>
    <w:rsid w:val="0066686F"/>
    <w:rsid w:val="006B6D48"/>
    <w:rsid w:val="006C76C2"/>
    <w:rsid w:val="006D09B1"/>
    <w:rsid w:val="006F29EB"/>
    <w:rsid w:val="006F5E5B"/>
    <w:rsid w:val="00706C09"/>
    <w:rsid w:val="00710E31"/>
    <w:rsid w:val="0072036E"/>
    <w:rsid w:val="00721F23"/>
    <w:rsid w:val="00725067"/>
    <w:rsid w:val="0073691F"/>
    <w:rsid w:val="00740C88"/>
    <w:rsid w:val="00743235"/>
    <w:rsid w:val="00745404"/>
    <w:rsid w:val="00773574"/>
    <w:rsid w:val="0079375A"/>
    <w:rsid w:val="00797205"/>
    <w:rsid w:val="007A0DB8"/>
    <w:rsid w:val="007E22C2"/>
    <w:rsid w:val="00803176"/>
    <w:rsid w:val="00807005"/>
    <w:rsid w:val="008144C5"/>
    <w:rsid w:val="00822372"/>
    <w:rsid w:val="00823B42"/>
    <w:rsid w:val="00831F24"/>
    <w:rsid w:val="00832AD3"/>
    <w:rsid w:val="008430C3"/>
    <w:rsid w:val="008526EE"/>
    <w:rsid w:val="008545C2"/>
    <w:rsid w:val="008569F8"/>
    <w:rsid w:val="00862B5B"/>
    <w:rsid w:val="00871EB3"/>
    <w:rsid w:val="00872149"/>
    <w:rsid w:val="008726F9"/>
    <w:rsid w:val="0087324C"/>
    <w:rsid w:val="008775BC"/>
    <w:rsid w:val="00885468"/>
    <w:rsid w:val="00894C81"/>
    <w:rsid w:val="008A1C82"/>
    <w:rsid w:val="008B6DD3"/>
    <w:rsid w:val="008B75A2"/>
    <w:rsid w:val="008D5951"/>
    <w:rsid w:val="008E6C42"/>
    <w:rsid w:val="008F2E41"/>
    <w:rsid w:val="00913B4A"/>
    <w:rsid w:val="00915107"/>
    <w:rsid w:val="00922686"/>
    <w:rsid w:val="009363C0"/>
    <w:rsid w:val="00940861"/>
    <w:rsid w:val="00941F39"/>
    <w:rsid w:val="009608A0"/>
    <w:rsid w:val="00963EB3"/>
    <w:rsid w:val="00981177"/>
    <w:rsid w:val="00983843"/>
    <w:rsid w:val="00983DED"/>
    <w:rsid w:val="00994C2D"/>
    <w:rsid w:val="009A03EF"/>
    <w:rsid w:val="009A1EF5"/>
    <w:rsid w:val="009B0889"/>
    <w:rsid w:val="009C31E9"/>
    <w:rsid w:val="009D4C1E"/>
    <w:rsid w:val="009D734E"/>
    <w:rsid w:val="009E7412"/>
    <w:rsid w:val="009F1DCE"/>
    <w:rsid w:val="00A0120A"/>
    <w:rsid w:val="00A036BD"/>
    <w:rsid w:val="00A12F0F"/>
    <w:rsid w:val="00A312AA"/>
    <w:rsid w:val="00A460D6"/>
    <w:rsid w:val="00A46458"/>
    <w:rsid w:val="00A85594"/>
    <w:rsid w:val="00A96599"/>
    <w:rsid w:val="00AB0D8C"/>
    <w:rsid w:val="00AB2CC8"/>
    <w:rsid w:val="00AB51AA"/>
    <w:rsid w:val="00AD23F0"/>
    <w:rsid w:val="00AD2AF6"/>
    <w:rsid w:val="00AD71EF"/>
    <w:rsid w:val="00AE4FFF"/>
    <w:rsid w:val="00AE5E13"/>
    <w:rsid w:val="00AF1786"/>
    <w:rsid w:val="00AF3D56"/>
    <w:rsid w:val="00AF6AAD"/>
    <w:rsid w:val="00B23A56"/>
    <w:rsid w:val="00B26E08"/>
    <w:rsid w:val="00B67F48"/>
    <w:rsid w:val="00B71CBD"/>
    <w:rsid w:val="00B80122"/>
    <w:rsid w:val="00B80314"/>
    <w:rsid w:val="00B94756"/>
    <w:rsid w:val="00BC3321"/>
    <w:rsid w:val="00BC3EAD"/>
    <w:rsid w:val="00BF1BF7"/>
    <w:rsid w:val="00BF5187"/>
    <w:rsid w:val="00C0233E"/>
    <w:rsid w:val="00C17E4F"/>
    <w:rsid w:val="00C31268"/>
    <w:rsid w:val="00C32111"/>
    <w:rsid w:val="00C40499"/>
    <w:rsid w:val="00C43C2D"/>
    <w:rsid w:val="00C546FD"/>
    <w:rsid w:val="00C74712"/>
    <w:rsid w:val="00C75695"/>
    <w:rsid w:val="00CC65F9"/>
    <w:rsid w:val="00CD7E7F"/>
    <w:rsid w:val="00CE4779"/>
    <w:rsid w:val="00CE6E32"/>
    <w:rsid w:val="00CF5B17"/>
    <w:rsid w:val="00D15240"/>
    <w:rsid w:val="00D16E9B"/>
    <w:rsid w:val="00D215D5"/>
    <w:rsid w:val="00D22131"/>
    <w:rsid w:val="00D2739C"/>
    <w:rsid w:val="00D35F73"/>
    <w:rsid w:val="00D72B47"/>
    <w:rsid w:val="00D847F9"/>
    <w:rsid w:val="00D849FE"/>
    <w:rsid w:val="00D86915"/>
    <w:rsid w:val="00DA1CC9"/>
    <w:rsid w:val="00DC4889"/>
    <w:rsid w:val="00DD1086"/>
    <w:rsid w:val="00DE1459"/>
    <w:rsid w:val="00DF4A9C"/>
    <w:rsid w:val="00DF6E4F"/>
    <w:rsid w:val="00E1204B"/>
    <w:rsid w:val="00E14047"/>
    <w:rsid w:val="00E3712D"/>
    <w:rsid w:val="00E64E89"/>
    <w:rsid w:val="00E65973"/>
    <w:rsid w:val="00E709EC"/>
    <w:rsid w:val="00E70F44"/>
    <w:rsid w:val="00E939EA"/>
    <w:rsid w:val="00EA2212"/>
    <w:rsid w:val="00EA443E"/>
    <w:rsid w:val="00EA7AE9"/>
    <w:rsid w:val="00EB5CBB"/>
    <w:rsid w:val="00EC0226"/>
    <w:rsid w:val="00EC34A2"/>
    <w:rsid w:val="00ED1A7D"/>
    <w:rsid w:val="00ED2D93"/>
    <w:rsid w:val="00EF27E2"/>
    <w:rsid w:val="00EF5803"/>
    <w:rsid w:val="00EF5A93"/>
    <w:rsid w:val="00EF63EA"/>
    <w:rsid w:val="00F2620B"/>
    <w:rsid w:val="00F26C6B"/>
    <w:rsid w:val="00F355B7"/>
    <w:rsid w:val="00F37CF9"/>
    <w:rsid w:val="00F6119A"/>
    <w:rsid w:val="00F70796"/>
    <w:rsid w:val="00F72FA2"/>
    <w:rsid w:val="00F82EFB"/>
    <w:rsid w:val="00F866DB"/>
    <w:rsid w:val="00FB0DFA"/>
    <w:rsid w:val="00FB7174"/>
    <w:rsid w:val="00FC6475"/>
    <w:rsid w:val="00FD0478"/>
    <w:rsid w:val="00FD3E93"/>
    <w:rsid w:val="00FD5290"/>
    <w:rsid w:val="00FE3B07"/>
    <w:rsid w:val="00FF51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6AC2"/>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99"/>
    <w:qFormat/>
    <w:rsid w:val="002E6AC2"/>
    <w:pPr>
      <w:ind w:firstLineChars="200" w:firstLine="420"/>
    </w:pPr>
    <w:rPr>
      <w:rFonts w:ascii="Times New Roman" w:eastAsia="宋体" w:hAnsi="Times New Roman" w:cs="Times New Roman"/>
      <w:szCs w:val="24"/>
    </w:rPr>
  </w:style>
  <w:style w:type="table" w:styleId="a4">
    <w:name w:val="Table Grid"/>
    <w:basedOn w:val="a1"/>
    <w:uiPriority w:val="39"/>
    <w:rsid w:val="002E6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2E6AC2"/>
    <w:rPr>
      <w:sz w:val="21"/>
      <w:szCs w:val="21"/>
    </w:rPr>
  </w:style>
  <w:style w:type="paragraph" w:styleId="a6">
    <w:name w:val="annotation text"/>
    <w:basedOn w:val="a"/>
    <w:link w:val="Char"/>
    <w:uiPriority w:val="99"/>
    <w:semiHidden/>
    <w:unhideWhenUsed/>
    <w:rsid w:val="002E6AC2"/>
    <w:pPr>
      <w:jc w:val="left"/>
    </w:pPr>
  </w:style>
  <w:style w:type="character" w:customStyle="1" w:styleId="Char">
    <w:name w:val="批注文字 Char"/>
    <w:basedOn w:val="a0"/>
    <w:link w:val="a6"/>
    <w:uiPriority w:val="99"/>
    <w:semiHidden/>
    <w:rsid w:val="002E6AC2"/>
  </w:style>
  <w:style w:type="paragraph" w:styleId="a7">
    <w:name w:val="Balloon Text"/>
    <w:basedOn w:val="a"/>
    <w:link w:val="Char0"/>
    <w:uiPriority w:val="99"/>
    <w:semiHidden/>
    <w:unhideWhenUsed/>
    <w:rsid w:val="002E6AC2"/>
    <w:rPr>
      <w:sz w:val="18"/>
      <w:szCs w:val="18"/>
    </w:rPr>
  </w:style>
  <w:style w:type="character" w:customStyle="1" w:styleId="Char0">
    <w:name w:val="批注框文本 Char"/>
    <w:basedOn w:val="a0"/>
    <w:link w:val="a7"/>
    <w:uiPriority w:val="99"/>
    <w:semiHidden/>
    <w:rsid w:val="002E6AC2"/>
    <w:rPr>
      <w:sz w:val="18"/>
      <w:szCs w:val="18"/>
    </w:rPr>
  </w:style>
  <w:style w:type="paragraph" w:styleId="a8">
    <w:name w:val="annotation subject"/>
    <w:basedOn w:val="a6"/>
    <w:next w:val="a6"/>
    <w:link w:val="Char1"/>
    <w:uiPriority w:val="99"/>
    <w:semiHidden/>
    <w:unhideWhenUsed/>
    <w:rsid w:val="007A0DB8"/>
    <w:rPr>
      <w:b/>
      <w:bCs/>
    </w:rPr>
  </w:style>
  <w:style w:type="character" w:customStyle="1" w:styleId="Char1">
    <w:name w:val="批注主题 Char"/>
    <w:basedOn w:val="Char"/>
    <w:link w:val="a8"/>
    <w:uiPriority w:val="99"/>
    <w:semiHidden/>
    <w:rsid w:val="007A0DB8"/>
    <w:rPr>
      <w:b/>
      <w:bCs/>
    </w:rPr>
  </w:style>
  <w:style w:type="paragraph" w:styleId="a9">
    <w:name w:val="header"/>
    <w:basedOn w:val="a"/>
    <w:link w:val="Char2"/>
    <w:uiPriority w:val="99"/>
    <w:unhideWhenUsed/>
    <w:rsid w:val="003A0A3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3A0A38"/>
    <w:rPr>
      <w:sz w:val="18"/>
      <w:szCs w:val="18"/>
    </w:rPr>
  </w:style>
  <w:style w:type="paragraph" w:styleId="aa">
    <w:name w:val="footer"/>
    <w:basedOn w:val="a"/>
    <w:link w:val="Char3"/>
    <w:uiPriority w:val="99"/>
    <w:unhideWhenUsed/>
    <w:rsid w:val="003A0A38"/>
    <w:pPr>
      <w:tabs>
        <w:tab w:val="center" w:pos="4153"/>
        <w:tab w:val="right" w:pos="8306"/>
      </w:tabs>
      <w:snapToGrid w:val="0"/>
      <w:jc w:val="left"/>
    </w:pPr>
    <w:rPr>
      <w:sz w:val="18"/>
      <w:szCs w:val="18"/>
    </w:rPr>
  </w:style>
  <w:style w:type="character" w:customStyle="1" w:styleId="Char3">
    <w:name w:val="页脚 Char"/>
    <w:basedOn w:val="a0"/>
    <w:link w:val="aa"/>
    <w:uiPriority w:val="99"/>
    <w:rsid w:val="003A0A38"/>
    <w:rPr>
      <w:sz w:val="18"/>
      <w:szCs w:val="18"/>
    </w:rPr>
  </w:style>
  <w:style w:type="paragraph" w:styleId="ab">
    <w:name w:val="Revision"/>
    <w:hidden/>
    <w:uiPriority w:val="99"/>
    <w:semiHidden/>
    <w:rsid w:val="00CE4779"/>
  </w:style>
  <w:style w:type="paragraph" w:customStyle="1" w:styleId="CharChar">
    <w:name w:val="Char Char"/>
    <w:basedOn w:val="a"/>
    <w:rsid w:val="00894C81"/>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28723350">
      <w:bodyDiv w:val="1"/>
      <w:marLeft w:val="0"/>
      <w:marRight w:val="0"/>
      <w:marTop w:val="0"/>
      <w:marBottom w:val="0"/>
      <w:divBdr>
        <w:top w:val="none" w:sz="0" w:space="0" w:color="auto"/>
        <w:left w:val="none" w:sz="0" w:space="0" w:color="auto"/>
        <w:bottom w:val="none" w:sz="0" w:space="0" w:color="auto"/>
        <w:right w:val="none" w:sz="0" w:space="0" w:color="auto"/>
      </w:divBdr>
    </w:div>
    <w:div w:id="298413942">
      <w:bodyDiv w:val="1"/>
      <w:marLeft w:val="0"/>
      <w:marRight w:val="0"/>
      <w:marTop w:val="0"/>
      <w:marBottom w:val="0"/>
      <w:divBdr>
        <w:top w:val="none" w:sz="0" w:space="0" w:color="auto"/>
        <w:left w:val="none" w:sz="0" w:space="0" w:color="auto"/>
        <w:bottom w:val="none" w:sz="0" w:space="0" w:color="auto"/>
        <w:right w:val="none" w:sz="0" w:space="0" w:color="auto"/>
      </w:divBdr>
    </w:div>
    <w:div w:id="597372595">
      <w:bodyDiv w:val="1"/>
      <w:marLeft w:val="0"/>
      <w:marRight w:val="0"/>
      <w:marTop w:val="0"/>
      <w:marBottom w:val="0"/>
      <w:divBdr>
        <w:top w:val="none" w:sz="0" w:space="0" w:color="auto"/>
        <w:left w:val="none" w:sz="0" w:space="0" w:color="auto"/>
        <w:bottom w:val="none" w:sz="0" w:space="0" w:color="auto"/>
        <w:right w:val="none" w:sz="0" w:space="0" w:color="auto"/>
      </w:divBdr>
    </w:div>
    <w:div w:id="604384464">
      <w:bodyDiv w:val="1"/>
      <w:marLeft w:val="0"/>
      <w:marRight w:val="0"/>
      <w:marTop w:val="0"/>
      <w:marBottom w:val="0"/>
      <w:divBdr>
        <w:top w:val="none" w:sz="0" w:space="0" w:color="auto"/>
        <w:left w:val="none" w:sz="0" w:space="0" w:color="auto"/>
        <w:bottom w:val="none" w:sz="0" w:space="0" w:color="auto"/>
        <w:right w:val="none" w:sz="0" w:space="0" w:color="auto"/>
      </w:divBdr>
    </w:div>
    <w:div w:id="650646430">
      <w:bodyDiv w:val="1"/>
      <w:marLeft w:val="0"/>
      <w:marRight w:val="0"/>
      <w:marTop w:val="0"/>
      <w:marBottom w:val="0"/>
      <w:divBdr>
        <w:top w:val="none" w:sz="0" w:space="0" w:color="auto"/>
        <w:left w:val="none" w:sz="0" w:space="0" w:color="auto"/>
        <w:bottom w:val="none" w:sz="0" w:space="0" w:color="auto"/>
        <w:right w:val="none" w:sz="0" w:space="0" w:color="auto"/>
      </w:divBdr>
    </w:div>
    <w:div w:id="798766013">
      <w:bodyDiv w:val="1"/>
      <w:marLeft w:val="0"/>
      <w:marRight w:val="0"/>
      <w:marTop w:val="0"/>
      <w:marBottom w:val="0"/>
      <w:divBdr>
        <w:top w:val="none" w:sz="0" w:space="0" w:color="auto"/>
        <w:left w:val="none" w:sz="0" w:space="0" w:color="auto"/>
        <w:bottom w:val="none" w:sz="0" w:space="0" w:color="auto"/>
        <w:right w:val="none" w:sz="0" w:space="0" w:color="auto"/>
      </w:divBdr>
    </w:div>
    <w:div w:id="834417892">
      <w:bodyDiv w:val="1"/>
      <w:marLeft w:val="0"/>
      <w:marRight w:val="0"/>
      <w:marTop w:val="0"/>
      <w:marBottom w:val="0"/>
      <w:divBdr>
        <w:top w:val="none" w:sz="0" w:space="0" w:color="auto"/>
        <w:left w:val="none" w:sz="0" w:space="0" w:color="auto"/>
        <w:bottom w:val="none" w:sz="0" w:space="0" w:color="auto"/>
        <w:right w:val="none" w:sz="0" w:space="0" w:color="auto"/>
      </w:divBdr>
    </w:div>
    <w:div w:id="1051345725">
      <w:bodyDiv w:val="1"/>
      <w:marLeft w:val="0"/>
      <w:marRight w:val="0"/>
      <w:marTop w:val="0"/>
      <w:marBottom w:val="0"/>
      <w:divBdr>
        <w:top w:val="none" w:sz="0" w:space="0" w:color="auto"/>
        <w:left w:val="none" w:sz="0" w:space="0" w:color="auto"/>
        <w:bottom w:val="none" w:sz="0" w:space="0" w:color="auto"/>
        <w:right w:val="none" w:sz="0" w:space="0" w:color="auto"/>
      </w:divBdr>
    </w:div>
    <w:div w:id="1138688084">
      <w:bodyDiv w:val="1"/>
      <w:marLeft w:val="0"/>
      <w:marRight w:val="0"/>
      <w:marTop w:val="0"/>
      <w:marBottom w:val="0"/>
      <w:divBdr>
        <w:top w:val="none" w:sz="0" w:space="0" w:color="auto"/>
        <w:left w:val="none" w:sz="0" w:space="0" w:color="auto"/>
        <w:bottom w:val="none" w:sz="0" w:space="0" w:color="auto"/>
        <w:right w:val="none" w:sz="0" w:space="0" w:color="auto"/>
      </w:divBdr>
    </w:div>
    <w:div w:id="1266420596">
      <w:bodyDiv w:val="1"/>
      <w:marLeft w:val="0"/>
      <w:marRight w:val="0"/>
      <w:marTop w:val="0"/>
      <w:marBottom w:val="0"/>
      <w:divBdr>
        <w:top w:val="none" w:sz="0" w:space="0" w:color="auto"/>
        <w:left w:val="none" w:sz="0" w:space="0" w:color="auto"/>
        <w:bottom w:val="none" w:sz="0" w:space="0" w:color="auto"/>
        <w:right w:val="none" w:sz="0" w:space="0" w:color="auto"/>
      </w:divBdr>
    </w:div>
    <w:div w:id="1373112561">
      <w:bodyDiv w:val="1"/>
      <w:marLeft w:val="0"/>
      <w:marRight w:val="0"/>
      <w:marTop w:val="0"/>
      <w:marBottom w:val="0"/>
      <w:divBdr>
        <w:top w:val="none" w:sz="0" w:space="0" w:color="auto"/>
        <w:left w:val="none" w:sz="0" w:space="0" w:color="auto"/>
        <w:bottom w:val="none" w:sz="0" w:space="0" w:color="auto"/>
        <w:right w:val="none" w:sz="0" w:space="0" w:color="auto"/>
      </w:divBdr>
    </w:div>
    <w:div w:id="14486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E38F-1100-4866-8021-094D427D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3531</Characters>
  <Application>Microsoft Office Word</Application>
  <DocSecurity>4</DocSecurity>
  <Lines>29</Lines>
  <Paragraphs>8</Paragraphs>
  <ScaleCrop>false</ScaleCrop>
  <Company>E FUND</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程才</dc:creator>
  <cp:keywords/>
  <dc:description/>
  <cp:lastModifiedBy>ZHONGM</cp:lastModifiedBy>
  <cp:revision>2</cp:revision>
  <dcterms:created xsi:type="dcterms:W3CDTF">2021-03-29T16:05:00Z</dcterms:created>
  <dcterms:modified xsi:type="dcterms:W3CDTF">2021-03-29T16:05:00Z</dcterms:modified>
</cp:coreProperties>
</file>