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C26" w:rsidRDefault="00F83494" w:rsidP="00B10850">
      <w:pPr>
        <w:spacing w:line="225" w:lineRule="atLeast"/>
        <w:jc w:val="center"/>
        <w:rPr>
          <w:rFonts w:ascii="宋体" w:eastAsia="宋体" w:hAnsi="宋体" w:cs="Times New Roman"/>
          <w:b/>
          <w:bCs/>
          <w:sz w:val="28"/>
          <w:szCs w:val="28"/>
        </w:rPr>
      </w:pPr>
      <w:r w:rsidRPr="00F83494">
        <w:rPr>
          <w:rFonts w:ascii="宋体" w:eastAsia="宋体" w:hAnsi="宋体" w:cs="Times New Roman" w:hint="eastAsia"/>
          <w:b/>
          <w:bCs/>
          <w:sz w:val="28"/>
          <w:szCs w:val="28"/>
        </w:rPr>
        <w:t>国投瑞银基金管理有限公司关于旗下部分基金根据指数基金指引</w:t>
      </w:r>
    </w:p>
    <w:p w:rsidR="004D0C26" w:rsidRDefault="00F83494" w:rsidP="00B10850">
      <w:pPr>
        <w:spacing w:line="225" w:lineRule="atLeast"/>
        <w:jc w:val="center"/>
        <w:rPr>
          <w:rFonts w:ascii="宋体" w:eastAsia="宋体" w:hAnsi="宋体" w:cs="Times New Roman"/>
          <w:b/>
          <w:bCs/>
          <w:sz w:val="28"/>
          <w:szCs w:val="28"/>
        </w:rPr>
      </w:pPr>
      <w:r w:rsidRPr="00F83494">
        <w:rPr>
          <w:rFonts w:ascii="宋体" w:eastAsia="宋体" w:hAnsi="宋体" w:cs="Times New Roman" w:hint="eastAsia"/>
          <w:b/>
          <w:bCs/>
          <w:sz w:val="28"/>
          <w:szCs w:val="28"/>
        </w:rPr>
        <w:t>修改相关条款、投资范围增加存托凭证、增加侧袋机制</w:t>
      </w:r>
    </w:p>
    <w:p w:rsidR="00803495" w:rsidRDefault="00596A99" w:rsidP="00DC38CA">
      <w:pPr>
        <w:spacing w:line="225" w:lineRule="atLeast"/>
        <w:jc w:val="center"/>
        <w:rPr>
          <w:rFonts w:ascii="宋体" w:eastAsia="宋体" w:hAnsi="宋体" w:cs="Times New Roman"/>
          <w:b/>
          <w:bCs/>
          <w:sz w:val="28"/>
          <w:szCs w:val="28"/>
        </w:rPr>
      </w:pPr>
      <w:r>
        <w:rPr>
          <w:rFonts w:ascii="宋体" w:eastAsia="宋体" w:hAnsi="宋体" w:cs="Times New Roman" w:hint="eastAsia"/>
          <w:b/>
          <w:bCs/>
          <w:sz w:val="28"/>
          <w:szCs w:val="28"/>
        </w:rPr>
        <w:t>并修改法律文件</w:t>
      </w:r>
      <w:r w:rsidR="00F83494" w:rsidRPr="00F83494">
        <w:rPr>
          <w:rFonts w:ascii="宋体" w:eastAsia="宋体" w:hAnsi="宋体" w:cs="Times New Roman" w:hint="eastAsia"/>
          <w:b/>
          <w:bCs/>
          <w:sz w:val="28"/>
          <w:szCs w:val="28"/>
        </w:rPr>
        <w:t>的公告</w:t>
      </w:r>
    </w:p>
    <w:p w:rsidR="00384BDC" w:rsidRDefault="00384BDC">
      <w:pPr>
        <w:adjustRightInd w:val="0"/>
        <w:spacing w:line="360" w:lineRule="auto"/>
        <w:ind w:firstLineChars="200" w:firstLine="480"/>
        <w:rPr>
          <w:rFonts w:ascii="Arial" w:eastAsia="宋体" w:hAnsi="Arial" w:cs="Arial"/>
          <w:sz w:val="24"/>
          <w:szCs w:val="20"/>
        </w:rPr>
      </w:pPr>
    </w:p>
    <w:p w:rsidR="008A5D38" w:rsidRDefault="008A5D38" w:rsidP="00247090">
      <w:pPr>
        <w:adjustRightInd w:val="0"/>
        <w:spacing w:line="360" w:lineRule="auto"/>
        <w:ind w:firstLineChars="200" w:firstLine="480"/>
        <w:rPr>
          <w:rFonts w:ascii="Arial" w:eastAsia="宋体" w:hAnsi="Arial" w:cs="Arial"/>
          <w:sz w:val="24"/>
          <w:szCs w:val="20"/>
        </w:rPr>
      </w:pPr>
      <w:r w:rsidRPr="008A5D38">
        <w:rPr>
          <w:rFonts w:ascii="Arial" w:eastAsia="宋体" w:hAnsi="Arial" w:cs="Arial" w:hint="eastAsia"/>
          <w:sz w:val="24"/>
          <w:szCs w:val="20"/>
        </w:rPr>
        <w:t>根据《中华人民共和国证券投资基金法》、《公开募集证券投资基金运作管理办法》、</w:t>
      </w:r>
      <w:r w:rsidR="00F83494" w:rsidRPr="00F83494">
        <w:rPr>
          <w:rFonts w:ascii="Arial" w:eastAsia="宋体" w:hAnsi="Arial" w:cs="Arial" w:hint="eastAsia"/>
          <w:sz w:val="24"/>
          <w:szCs w:val="20"/>
        </w:rPr>
        <w:t>《公开募集证券投资基金运作指引第</w:t>
      </w:r>
      <w:r w:rsidR="00F83494" w:rsidRPr="00F83494">
        <w:rPr>
          <w:rFonts w:ascii="Arial" w:eastAsia="宋体" w:hAnsi="Arial" w:cs="Arial" w:hint="eastAsia"/>
          <w:sz w:val="24"/>
          <w:szCs w:val="20"/>
        </w:rPr>
        <w:t>3</w:t>
      </w:r>
      <w:r w:rsidR="00F83494" w:rsidRPr="00F83494">
        <w:rPr>
          <w:rFonts w:ascii="Arial" w:eastAsia="宋体" w:hAnsi="Arial" w:cs="Arial" w:hint="eastAsia"/>
          <w:sz w:val="24"/>
          <w:szCs w:val="20"/>
        </w:rPr>
        <w:t>号——指数基金指引》</w:t>
      </w:r>
      <w:r w:rsidR="004D0C26" w:rsidRPr="004D0C26">
        <w:rPr>
          <w:rFonts w:ascii="Arial" w:eastAsia="宋体" w:hAnsi="Arial" w:cs="Arial" w:hint="eastAsia"/>
          <w:sz w:val="24"/>
          <w:szCs w:val="20"/>
        </w:rPr>
        <w:t>（以下简称“《指数基金指引》”）</w:t>
      </w:r>
      <w:r w:rsidR="00F83494">
        <w:rPr>
          <w:rFonts w:ascii="Arial" w:eastAsia="宋体" w:hAnsi="Arial" w:cs="Arial" w:hint="eastAsia"/>
          <w:sz w:val="24"/>
          <w:szCs w:val="20"/>
        </w:rPr>
        <w:t>、</w:t>
      </w:r>
      <w:r w:rsidRPr="008A5D38">
        <w:rPr>
          <w:rFonts w:ascii="Arial" w:eastAsia="宋体" w:hAnsi="Arial" w:cs="Arial" w:hint="eastAsia"/>
          <w:sz w:val="24"/>
          <w:szCs w:val="20"/>
        </w:rPr>
        <w:t>《存托凭证发行与交易管理办法（试行）》</w:t>
      </w:r>
      <w:r w:rsidR="00F83494">
        <w:rPr>
          <w:rFonts w:ascii="Arial" w:eastAsia="宋体" w:hAnsi="Arial" w:cs="Arial" w:hint="eastAsia"/>
          <w:sz w:val="24"/>
          <w:szCs w:val="20"/>
        </w:rPr>
        <w:t>、</w:t>
      </w:r>
      <w:r w:rsidR="00F83494" w:rsidRPr="00F83494">
        <w:rPr>
          <w:rFonts w:ascii="Arial" w:eastAsia="宋体" w:hAnsi="Arial" w:cs="Arial" w:hint="eastAsia"/>
          <w:sz w:val="24"/>
          <w:szCs w:val="20"/>
        </w:rPr>
        <w:t>《公开募集证券投资基金侧袋机制指引（试行）》</w:t>
      </w:r>
      <w:r w:rsidR="00247090" w:rsidRPr="00247090">
        <w:rPr>
          <w:rFonts w:ascii="Arial" w:eastAsia="宋体" w:hAnsi="Arial" w:cs="Arial" w:hint="eastAsia"/>
          <w:sz w:val="24"/>
          <w:szCs w:val="20"/>
        </w:rPr>
        <w:t>等</w:t>
      </w:r>
      <w:r w:rsidR="00803495" w:rsidRPr="00803495">
        <w:rPr>
          <w:rFonts w:ascii="Arial" w:eastAsia="宋体" w:hAnsi="Arial" w:cs="Arial" w:hint="eastAsia"/>
          <w:sz w:val="24"/>
          <w:szCs w:val="20"/>
        </w:rPr>
        <w:t>法律法规</w:t>
      </w:r>
      <w:r w:rsidR="00247090" w:rsidRPr="00247090">
        <w:rPr>
          <w:rFonts w:ascii="Arial" w:eastAsia="宋体" w:hAnsi="Arial" w:cs="Arial" w:hint="eastAsia"/>
          <w:sz w:val="24"/>
          <w:szCs w:val="20"/>
        </w:rPr>
        <w:t>及</w:t>
      </w:r>
      <w:r w:rsidR="00703887">
        <w:rPr>
          <w:rFonts w:ascii="Arial" w:eastAsia="宋体" w:hAnsi="Arial" w:cs="Arial"/>
          <w:sz w:val="24"/>
          <w:szCs w:val="20"/>
        </w:rPr>
        <w:t>相关</w:t>
      </w:r>
      <w:r w:rsidR="00247090" w:rsidRPr="00247090">
        <w:rPr>
          <w:rFonts w:ascii="Arial" w:eastAsia="宋体" w:hAnsi="Arial" w:cs="Arial" w:hint="eastAsia"/>
          <w:sz w:val="24"/>
          <w:szCs w:val="20"/>
        </w:rPr>
        <w:t>基金基金合同、招募说明书及其更新等规定，经与各基金托管人协商一致，并向中国证监会备案</w:t>
      </w:r>
      <w:r w:rsidRPr="008A5D38">
        <w:rPr>
          <w:rFonts w:ascii="Arial" w:eastAsia="宋体" w:hAnsi="Arial" w:cs="Arial" w:hint="eastAsia"/>
          <w:sz w:val="24"/>
          <w:szCs w:val="20"/>
        </w:rPr>
        <w:t>，</w:t>
      </w:r>
      <w:r w:rsidR="00803495" w:rsidRPr="00803495">
        <w:rPr>
          <w:rFonts w:ascii="Arial" w:eastAsia="宋体" w:hAnsi="Arial" w:cs="Arial" w:hint="eastAsia"/>
          <w:sz w:val="24"/>
          <w:szCs w:val="20"/>
        </w:rPr>
        <w:t>国投瑞银</w:t>
      </w:r>
      <w:r w:rsidR="003E0B90" w:rsidRPr="003E0B90">
        <w:rPr>
          <w:rFonts w:ascii="Arial" w:eastAsia="宋体" w:hAnsi="Arial" w:cs="Arial" w:hint="eastAsia"/>
          <w:sz w:val="24"/>
          <w:szCs w:val="20"/>
        </w:rPr>
        <w:t>基金管理有限公司</w:t>
      </w:r>
      <w:r w:rsidR="003E0B90" w:rsidRPr="003E0B90">
        <w:rPr>
          <w:rFonts w:ascii="Arial" w:eastAsia="宋体" w:hAnsi="Arial" w:cs="Arial" w:hint="eastAsia"/>
          <w:sz w:val="24"/>
          <w:szCs w:val="20"/>
        </w:rPr>
        <w:t>(</w:t>
      </w:r>
      <w:r w:rsidR="003E0B90" w:rsidRPr="003E0B90">
        <w:rPr>
          <w:rFonts w:ascii="Arial" w:eastAsia="宋体" w:hAnsi="Arial" w:cs="Arial" w:hint="eastAsia"/>
          <w:sz w:val="24"/>
          <w:szCs w:val="20"/>
        </w:rPr>
        <w:t>以下简称“本公司”</w:t>
      </w:r>
      <w:r w:rsidR="003E0B90" w:rsidRPr="003E0B90">
        <w:rPr>
          <w:rFonts w:ascii="Arial" w:eastAsia="宋体" w:hAnsi="Arial" w:cs="Arial" w:hint="eastAsia"/>
          <w:sz w:val="24"/>
          <w:szCs w:val="20"/>
        </w:rPr>
        <w:t>)</w:t>
      </w:r>
      <w:r w:rsidR="00247090" w:rsidRPr="00247090">
        <w:rPr>
          <w:rFonts w:ascii="Arial" w:eastAsia="宋体" w:hAnsi="Arial" w:cs="Arial" w:hint="eastAsia"/>
          <w:sz w:val="24"/>
          <w:szCs w:val="20"/>
        </w:rPr>
        <w:t>对旗下</w:t>
      </w:r>
      <w:r w:rsidR="00F83494">
        <w:rPr>
          <w:rFonts w:ascii="Arial" w:eastAsia="宋体" w:hAnsi="Arial" w:cs="Arial"/>
          <w:sz w:val="24"/>
          <w:szCs w:val="20"/>
        </w:rPr>
        <w:t>7</w:t>
      </w:r>
      <w:r w:rsidR="00247090" w:rsidRPr="00247090">
        <w:rPr>
          <w:rFonts w:ascii="Arial" w:eastAsia="宋体" w:hAnsi="Arial" w:cs="Arial" w:hint="eastAsia"/>
          <w:sz w:val="24"/>
          <w:szCs w:val="20"/>
        </w:rPr>
        <w:t>只基金</w:t>
      </w:r>
      <w:r w:rsidR="00703887">
        <w:rPr>
          <w:rFonts w:ascii="Arial" w:eastAsia="宋体" w:hAnsi="Arial" w:cs="Arial" w:hint="eastAsia"/>
          <w:sz w:val="24"/>
          <w:szCs w:val="20"/>
        </w:rPr>
        <w:t>的</w:t>
      </w:r>
      <w:r w:rsidR="00247090" w:rsidRPr="00247090">
        <w:rPr>
          <w:rFonts w:ascii="Arial" w:eastAsia="宋体" w:hAnsi="Arial" w:cs="Arial" w:hint="eastAsia"/>
          <w:sz w:val="24"/>
          <w:szCs w:val="20"/>
        </w:rPr>
        <w:t>基金合同等法律文件</w:t>
      </w:r>
      <w:r w:rsidR="00703887">
        <w:rPr>
          <w:rFonts w:ascii="Arial" w:eastAsia="宋体" w:hAnsi="Arial" w:cs="Arial" w:hint="eastAsia"/>
          <w:sz w:val="24"/>
          <w:szCs w:val="20"/>
        </w:rPr>
        <w:t>进行修订</w:t>
      </w:r>
      <w:r w:rsidR="00247090" w:rsidRPr="00247090">
        <w:rPr>
          <w:rFonts w:ascii="Arial" w:eastAsia="宋体" w:hAnsi="Arial" w:cs="Arial" w:hint="eastAsia"/>
          <w:sz w:val="24"/>
          <w:szCs w:val="20"/>
        </w:rPr>
        <w:t>，包括</w:t>
      </w:r>
      <w:r w:rsidR="00F83494">
        <w:rPr>
          <w:rFonts w:ascii="Arial" w:eastAsia="宋体" w:hAnsi="Arial" w:cs="Arial" w:hint="eastAsia"/>
          <w:sz w:val="24"/>
          <w:szCs w:val="20"/>
        </w:rPr>
        <w:t>根据</w:t>
      </w:r>
      <w:r w:rsidR="00F83494" w:rsidRPr="00F83494">
        <w:rPr>
          <w:rFonts w:ascii="Arial" w:eastAsia="宋体" w:hAnsi="Arial" w:cs="Arial" w:hint="eastAsia"/>
          <w:sz w:val="24"/>
          <w:szCs w:val="20"/>
        </w:rPr>
        <w:t>《指数基金指引》</w:t>
      </w:r>
      <w:r w:rsidR="00B27BF9">
        <w:rPr>
          <w:rFonts w:ascii="Arial" w:eastAsia="宋体" w:hAnsi="Arial" w:cs="Arial" w:hint="eastAsia"/>
          <w:sz w:val="24"/>
          <w:szCs w:val="20"/>
        </w:rPr>
        <w:t>修改相关条款、</w:t>
      </w:r>
      <w:r w:rsidR="00B27BF9" w:rsidRPr="00B27BF9">
        <w:rPr>
          <w:rFonts w:ascii="Arial" w:eastAsia="宋体" w:hAnsi="Arial" w:cs="Arial" w:hint="eastAsia"/>
          <w:sz w:val="24"/>
          <w:szCs w:val="20"/>
        </w:rPr>
        <w:t>投资范围中增加存托凭证</w:t>
      </w:r>
      <w:r w:rsidR="00B27BF9">
        <w:rPr>
          <w:rFonts w:ascii="Arial" w:eastAsia="宋体" w:hAnsi="Arial" w:cs="Arial" w:hint="eastAsia"/>
          <w:sz w:val="24"/>
          <w:szCs w:val="20"/>
        </w:rPr>
        <w:t>、</w:t>
      </w:r>
      <w:r w:rsidR="00B27BF9" w:rsidRPr="00B27BF9">
        <w:rPr>
          <w:rFonts w:ascii="Arial" w:eastAsia="宋体" w:hAnsi="Arial" w:cs="Arial" w:hint="eastAsia"/>
          <w:sz w:val="24"/>
          <w:szCs w:val="20"/>
        </w:rPr>
        <w:t>增加侧袋机制</w:t>
      </w:r>
      <w:r w:rsidR="00A15BE5" w:rsidRPr="00101603">
        <w:rPr>
          <w:rFonts w:ascii="Arial" w:eastAsia="宋体" w:hAnsi="Arial" w:cs="Arial" w:hint="eastAsia"/>
          <w:sz w:val="24"/>
          <w:szCs w:val="20"/>
        </w:rPr>
        <w:t>等</w:t>
      </w:r>
      <w:r w:rsidR="00B27BF9" w:rsidRPr="00B27BF9">
        <w:rPr>
          <w:rFonts w:ascii="Arial" w:eastAsia="宋体" w:hAnsi="Arial" w:cs="Arial" w:hint="eastAsia"/>
          <w:sz w:val="24"/>
          <w:szCs w:val="20"/>
        </w:rPr>
        <w:t>相关内容</w:t>
      </w:r>
      <w:r w:rsidR="00247090" w:rsidRPr="00247090">
        <w:rPr>
          <w:rFonts w:ascii="Arial" w:eastAsia="宋体" w:hAnsi="Arial" w:cs="Arial" w:hint="eastAsia"/>
          <w:sz w:val="24"/>
          <w:szCs w:val="20"/>
        </w:rPr>
        <w:t>。本次修订对基金份额持有人利益无实质性不利影响，修订将自</w:t>
      </w:r>
      <w:r w:rsidR="00DC38CA" w:rsidRPr="00DC38CA">
        <w:rPr>
          <w:rFonts w:asciiTheme="minorEastAsia" w:hAnsiTheme="minorEastAsia" w:cs="Arial"/>
          <w:sz w:val="24"/>
          <w:szCs w:val="20"/>
        </w:rPr>
        <w:t>2021</w:t>
      </w:r>
      <w:r w:rsidR="00247090" w:rsidRPr="00DC38CA">
        <w:rPr>
          <w:rFonts w:asciiTheme="minorEastAsia" w:hAnsiTheme="minorEastAsia" w:cs="Arial" w:hint="eastAsia"/>
          <w:sz w:val="24"/>
          <w:szCs w:val="20"/>
        </w:rPr>
        <w:t>年</w:t>
      </w:r>
      <w:r w:rsidR="00DC38CA" w:rsidRPr="00DC38CA">
        <w:rPr>
          <w:rFonts w:asciiTheme="minorEastAsia" w:hAnsiTheme="minorEastAsia" w:cs="Arial"/>
          <w:sz w:val="24"/>
          <w:szCs w:val="20"/>
        </w:rPr>
        <w:t>3</w:t>
      </w:r>
      <w:r w:rsidR="00247090" w:rsidRPr="00DC38CA">
        <w:rPr>
          <w:rFonts w:asciiTheme="minorEastAsia" w:hAnsiTheme="minorEastAsia" w:cs="Arial" w:hint="eastAsia"/>
          <w:sz w:val="24"/>
          <w:szCs w:val="20"/>
        </w:rPr>
        <w:t>月</w:t>
      </w:r>
      <w:r w:rsidR="00DC38CA" w:rsidRPr="00DC38CA">
        <w:rPr>
          <w:rFonts w:asciiTheme="minorEastAsia" w:hAnsiTheme="minorEastAsia" w:cs="Arial"/>
          <w:sz w:val="24"/>
          <w:szCs w:val="20"/>
        </w:rPr>
        <w:t>30</w:t>
      </w:r>
      <w:r w:rsidR="00247090" w:rsidRPr="00247090">
        <w:rPr>
          <w:rFonts w:ascii="Arial" w:eastAsia="宋体" w:hAnsi="Arial" w:cs="Arial" w:hint="eastAsia"/>
          <w:sz w:val="24"/>
          <w:szCs w:val="20"/>
        </w:rPr>
        <w:t>日起正式生效。现将基金合同修订情况公告如下：</w:t>
      </w:r>
      <w:r w:rsidR="00563D20" w:rsidRPr="008A5D38" w:rsidDel="00563D20">
        <w:rPr>
          <w:rFonts w:ascii="Arial" w:eastAsia="宋体" w:hAnsi="Arial" w:cs="Arial" w:hint="eastAsia"/>
          <w:sz w:val="24"/>
          <w:szCs w:val="20"/>
        </w:rPr>
        <w:t xml:space="preserve"> </w:t>
      </w:r>
    </w:p>
    <w:p w:rsidR="00C1664B" w:rsidRPr="00004952" w:rsidRDefault="00F465FB" w:rsidP="00004952">
      <w:pPr>
        <w:pStyle w:val="ab"/>
        <w:numPr>
          <w:ilvl w:val="0"/>
          <w:numId w:val="1"/>
        </w:numPr>
        <w:adjustRightInd w:val="0"/>
        <w:spacing w:line="360" w:lineRule="auto"/>
        <w:ind w:firstLineChars="0"/>
        <w:rPr>
          <w:rFonts w:ascii="Arial" w:eastAsia="宋体" w:hAnsi="Arial" w:cs="Arial"/>
          <w:b/>
          <w:sz w:val="24"/>
          <w:szCs w:val="20"/>
        </w:rPr>
      </w:pPr>
      <w:r w:rsidRPr="00004952">
        <w:rPr>
          <w:rFonts w:ascii="Arial" w:eastAsia="宋体" w:hAnsi="Arial" w:cs="Arial" w:hint="eastAsia"/>
          <w:b/>
          <w:sz w:val="24"/>
          <w:szCs w:val="20"/>
        </w:rPr>
        <w:t>本次修订基金列表</w:t>
      </w:r>
    </w:p>
    <w:tbl>
      <w:tblPr>
        <w:tblW w:w="9924" w:type="dxa"/>
        <w:tblInd w:w="-431" w:type="dxa"/>
        <w:tblLook w:val="04A0"/>
      </w:tblPr>
      <w:tblGrid>
        <w:gridCol w:w="710"/>
        <w:gridCol w:w="850"/>
        <w:gridCol w:w="4536"/>
        <w:gridCol w:w="1276"/>
        <w:gridCol w:w="1276"/>
        <w:gridCol w:w="1276"/>
      </w:tblGrid>
      <w:tr w:rsidR="00267E1C" w:rsidRPr="00382F5A" w:rsidTr="00004952">
        <w:trPr>
          <w:trHeight w:val="72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F5A" w:rsidRPr="00382F5A" w:rsidRDefault="00382F5A" w:rsidP="00382F5A">
            <w:pPr>
              <w:widowControl/>
              <w:jc w:val="center"/>
              <w:rPr>
                <w:rFonts w:ascii="宋体" w:eastAsia="宋体" w:hAnsi="宋体" w:cs="宋体"/>
                <w:b/>
                <w:bCs/>
                <w:color w:val="000000"/>
                <w:kern w:val="0"/>
                <w:sz w:val="20"/>
                <w:szCs w:val="20"/>
              </w:rPr>
            </w:pPr>
            <w:r w:rsidRPr="00382F5A">
              <w:rPr>
                <w:rFonts w:ascii="宋体" w:eastAsia="宋体" w:hAnsi="宋体" w:cs="宋体" w:hint="eastAsia"/>
                <w:b/>
                <w:bCs/>
                <w:color w:val="000000"/>
                <w:kern w:val="0"/>
                <w:sz w:val="20"/>
                <w:szCs w:val="20"/>
              </w:rPr>
              <w:t>序号</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267E1C" w:rsidRDefault="00382F5A" w:rsidP="00382F5A">
            <w:pPr>
              <w:widowControl/>
              <w:jc w:val="center"/>
              <w:rPr>
                <w:rFonts w:ascii="宋体" w:eastAsia="宋体" w:hAnsi="宋体" w:cs="宋体"/>
                <w:b/>
                <w:bCs/>
                <w:color w:val="000000"/>
                <w:kern w:val="0"/>
                <w:sz w:val="20"/>
                <w:szCs w:val="20"/>
              </w:rPr>
            </w:pPr>
            <w:r w:rsidRPr="00382F5A">
              <w:rPr>
                <w:rFonts w:ascii="宋体" w:eastAsia="宋体" w:hAnsi="宋体" w:cs="宋体" w:hint="eastAsia"/>
                <w:b/>
                <w:bCs/>
                <w:color w:val="000000"/>
                <w:kern w:val="0"/>
                <w:sz w:val="20"/>
                <w:szCs w:val="20"/>
              </w:rPr>
              <w:t>基金</w:t>
            </w:r>
          </w:p>
          <w:p w:rsidR="00382F5A" w:rsidRPr="00382F5A" w:rsidRDefault="00382F5A" w:rsidP="00382F5A">
            <w:pPr>
              <w:widowControl/>
              <w:jc w:val="center"/>
              <w:rPr>
                <w:rFonts w:ascii="宋体" w:eastAsia="宋体" w:hAnsi="宋体" w:cs="宋体"/>
                <w:b/>
                <w:bCs/>
                <w:color w:val="000000"/>
                <w:kern w:val="0"/>
                <w:sz w:val="20"/>
                <w:szCs w:val="20"/>
              </w:rPr>
            </w:pPr>
            <w:r w:rsidRPr="00382F5A">
              <w:rPr>
                <w:rFonts w:ascii="宋体" w:eastAsia="宋体" w:hAnsi="宋体" w:cs="宋体" w:hint="eastAsia"/>
                <w:b/>
                <w:bCs/>
                <w:color w:val="000000"/>
                <w:kern w:val="0"/>
                <w:sz w:val="20"/>
                <w:szCs w:val="20"/>
              </w:rPr>
              <w:t>主代码</w:t>
            </w:r>
          </w:p>
        </w:tc>
        <w:tc>
          <w:tcPr>
            <w:tcW w:w="4536" w:type="dxa"/>
            <w:tcBorders>
              <w:top w:val="single" w:sz="4" w:space="0" w:color="auto"/>
              <w:left w:val="nil"/>
              <w:bottom w:val="single" w:sz="4" w:space="0" w:color="auto"/>
              <w:right w:val="single" w:sz="4" w:space="0" w:color="auto"/>
            </w:tcBorders>
            <w:shd w:val="clear" w:color="auto" w:fill="auto"/>
            <w:vAlign w:val="center"/>
            <w:hideMark/>
          </w:tcPr>
          <w:p w:rsidR="00382F5A" w:rsidRPr="00382F5A" w:rsidRDefault="00382F5A" w:rsidP="00382F5A">
            <w:pPr>
              <w:widowControl/>
              <w:jc w:val="center"/>
              <w:rPr>
                <w:rFonts w:ascii="宋体" w:eastAsia="宋体" w:hAnsi="宋体" w:cs="宋体"/>
                <w:b/>
                <w:bCs/>
                <w:color w:val="000000"/>
                <w:kern w:val="0"/>
                <w:sz w:val="20"/>
                <w:szCs w:val="20"/>
              </w:rPr>
            </w:pPr>
            <w:r w:rsidRPr="00382F5A">
              <w:rPr>
                <w:rFonts w:ascii="宋体" w:eastAsia="宋体" w:hAnsi="宋体" w:cs="宋体" w:hint="eastAsia"/>
                <w:b/>
                <w:bCs/>
                <w:color w:val="000000"/>
                <w:kern w:val="0"/>
                <w:sz w:val="20"/>
                <w:szCs w:val="20"/>
              </w:rPr>
              <w:t>基金名称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2F5A" w:rsidRPr="00382F5A" w:rsidRDefault="00382F5A" w:rsidP="00382F5A">
            <w:pPr>
              <w:widowControl/>
              <w:jc w:val="center"/>
              <w:rPr>
                <w:rFonts w:ascii="宋体" w:eastAsia="宋体" w:hAnsi="宋体" w:cs="宋体"/>
                <w:b/>
                <w:bCs/>
                <w:color w:val="000000"/>
                <w:kern w:val="0"/>
                <w:sz w:val="20"/>
                <w:szCs w:val="20"/>
              </w:rPr>
            </w:pPr>
            <w:r w:rsidRPr="00382F5A">
              <w:rPr>
                <w:rFonts w:ascii="宋体" w:eastAsia="宋体" w:hAnsi="宋体" w:cs="宋体" w:hint="eastAsia"/>
                <w:b/>
                <w:bCs/>
                <w:color w:val="000000"/>
                <w:kern w:val="0"/>
                <w:sz w:val="20"/>
                <w:szCs w:val="20"/>
              </w:rPr>
              <w:t>是否涉及《指数基金指引》修改</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2F5A" w:rsidRPr="00382F5A" w:rsidRDefault="00382F5A" w:rsidP="00382F5A">
            <w:pPr>
              <w:widowControl/>
              <w:jc w:val="center"/>
              <w:rPr>
                <w:rFonts w:ascii="宋体" w:eastAsia="宋体" w:hAnsi="宋体" w:cs="宋体"/>
                <w:b/>
                <w:bCs/>
                <w:color w:val="000000"/>
                <w:kern w:val="0"/>
                <w:sz w:val="20"/>
                <w:szCs w:val="20"/>
              </w:rPr>
            </w:pPr>
            <w:r w:rsidRPr="00382F5A">
              <w:rPr>
                <w:rFonts w:ascii="宋体" w:eastAsia="宋体" w:hAnsi="宋体" w:cs="宋体" w:hint="eastAsia"/>
                <w:b/>
                <w:bCs/>
                <w:color w:val="000000"/>
                <w:kern w:val="0"/>
                <w:sz w:val="20"/>
                <w:szCs w:val="20"/>
              </w:rPr>
              <w:t>是否涉及增加存托凭证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382F5A" w:rsidRPr="00382F5A" w:rsidRDefault="00382F5A" w:rsidP="00382F5A">
            <w:pPr>
              <w:widowControl/>
              <w:jc w:val="center"/>
              <w:rPr>
                <w:rFonts w:ascii="宋体" w:eastAsia="宋体" w:hAnsi="宋体" w:cs="宋体"/>
                <w:b/>
                <w:bCs/>
                <w:color w:val="000000"/>
                <w:kern w:val="0"/>
                <w:sz w:val="20"/>
                <w:szCs w:val="20"/>
              </w:rPr>
            </w:pPr>
            <w:r w:rsidRPr="00382F5A">
              <w:rPr>
                <w:rFonts w:ascii="宋体" w:eastAsia="宋体" w:hAnsi="宋体" w:cs="宋体" w:hint="eastAsia"/>
                <w:b/>
                <w:bCs/>
                <w:color w:val="000000"/>
                <w:kern w:val="0"/>
                <w:sz w:val="20"/>
                <w:szCs w:val="20"/>
              </w:rPr>
              <w:t>是否涉及增加侧袋机制</w:t>
            </w:r>
          </w:p>
        </w:tc>
      </w:tr>
      <w:tr w:rsidR="00267E1C" w:rsidRPr="00382F5A" w:rsidTr="00A47F2E">
        <w:trPr>
          <w:trHeight w:val="2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82F5A" w:rsidRPr="00A47F2E" w:rsidRDefault="00382F5A" w:rsidP="00382F5A">
            <w:pPr>
              <w:widowControl/>
              <w:jc w:val="center"/>
              <w:rPr>
                <w:rFonts w:ascii="Times New Roman" w:eastAsia="宋体" w:hAnsi="Times New Roman" w:cs="Times New Roman"/>
                <w:color w:val="000000"/>
                <w:kern w:val="0"/>
                <w:sz w:val="20"/>
                <w:szCs w:val="20"/>
              </w:rPr>
            </w:pPr>
            <w:r w:rsidRPr="00A47F2E">
              <w:rPr>
                <w:rFonts w:ascii="Times New Roman" w:eastAsia="宋体" w:hAnsi="Times New Roman" w:cs="Times New Roman"/>
                <w:color w:val="000000"/>
                <w:kern w:val="0"/>
                <w:sz w:val="20"/>
                <w:szCs w:val="20"/>
              </w:rPr>
              <w:t>1</w:t>
            </w:r>
          </w:p>
        </w:tc>
        <w:tc>
          <w:tcPr>
            <w:tcW w:w="850" w:type="dxa"/>
            <w:tcBorders>
              <w:top w:val="nil"/>
              <w:left w:val="nil"/>
              <w:bottom w:val="single" w:sz="4" w:space="0" w:color="auto"/>
              <w:right w:val="single" w:sz="4" w:space="0" w:color="auto"/>
            </w:tcBorders>
            <w:shd w:val="clear" w:color="auto" w:fill="auto"/>
            <w:noWrap/>
            <w:vAlign w:val="center"/>
            <w:hideMark/>
          </w:tcPr>
          <w:p w:rsidR="00382F5A" w:rsidRPr="00382F5A" w:rsidRDefault="00382F5A" w:rsidP="00382F5A">
            <w:pPr>
              <w:widowControl/>
              <w:jc w:val="center"/>
              <w:rPr>
                <w:rFonts w:ascii="Times New Roman" w:eastAsia="宋体" w:hAnsi="Times New Roman" w:cs="Times New Roman"/>
                <w:color w:val="000000"/>
                <w:kern w:val="0"/>
                <w:sz w:val="20"/>
                <w:szCs w:val="20"/>
              </w:rPr>
            </w:pPr>
            <w:r w:rsidRPr="00382F5A">
              <w:rPr>
                <w:rFonts w:ascii="Times New Roman" w:eastAsia="宋体" w:hAnsi="Times New Roman" w:cs="Times New Roman"/>
                <w:color w:val="000000"/>
                <w:kern w:val="0"/>
                <w:sz w:val="20"/>
                <w:szCs w:val="20"/>
              </w:rPr>
              <w:t>161213</w:t>
            </w:r>
          </w:p>
        </w:tc>
        <w:tc>
          <w:tcPr>
            <w:tcW w:w="4536" w:type="dxa"/>
            <w:tcBorders>
              <w:top w:val="nil"/>
              <w:left w:val="nil"/>
              <w:bottom w:val="single" w:sz="4" w:space="0" w:color="auto"/>
              <w:right w:val="single" w:sz="4" w:space="0" w:color="auto"/>
            </w:tcBorders>
            <w:shd w:val="clear" w:color="auto" w:fill="auto"/>
            <w:noWrap/>
            <w:vAlign w:val="center"/>
            <w:hideMark/>
          </w:tcPr>
          <w:p w:rsidR="00382F5A" w:rsidRPr="00382F5A" w:rsidRDefault="00382F5A" w:rsidP="00382F5A">
            <w:pPr>
              <w:widowControl/>
              <w:jc w:val="left"/>
              <w:rPr>
                <w:rFonts w:ascii="宋体" w:eastAsia="宋体" w:hAnsi="宋体" w:cs="宋体"/>
                <w:color w:val="000000"/>
                <w:kern w:val="0"/>
                <w:sz w:val="20"/>
                <w:szCs w:val="20"/>
              </w:rPr>
            </w:pPr>
            <w:r w:rsidRPr="00382F5A">
              <w:rPr>
                <w:rFonts w:ascii="宋体" w:eastAsia="宋体" w:hAnsi="宋体" w:cs="宋体" w:hint="eastAsia"/>
                <w:color w:val="000000"/>
                <w:kern w:val="0"/>
                <w:sz w:val="20"/>
                <w:szCs w:val="20"/>
              </w:rPr>
              <w:t>国投瑞银中证下游消费与服务产业指数证券投资基金(LOF)</w:t>
            </w:r>
          </w:p>
        </w:tc>
        <w:tc>
          <w:tcPr>
            <w:tcW w:w="1276" w:type="dxa"/>
            <w:tcBorders>
              <w:top w:val="nil"/>
              <w:left w:val="nil"/>
              <w:bottom w:val="single" w:sz="4" w:space="0" w:color="auto"/>
              <w:right w:val="single" w:sz="4" w:space="0" w:color="auto"/>
            </w:tcBorders>
            <w:shd w:val="clear" w:color="auto" w:fill="auto"/>
            <w:noWrap/>
            <w:vAlign w:val="center"/>
            <w:hideMark/>
          </w:tcPr>
          <w:p w:rsidR="00382F5A" w:rsidRPr="00382F5A" w:rsidRDefault="00382F5A" w:rsidP="00382F5A">
            <w:pPr>
              <w:widowControl/>
              <w:jc w:val="center"/>
              <w:rPr>
                <w:rFonts w:ascii="宋体" w:eastAsia="宋体" w:hAnsi="宋体" w:cs="宋体"/>
                <w:color w:val="000000"/>
                <w:kern w:val="0"/>
                <w:sz w:val="20"/>
                <w:szCs w:val="20"/>
              </w:rPr>
            </w:pPr>
            <w:r w:rsidRPr="00382F5A">
              <w:rPr>
                <w:rFonts w:ascii="宋体" w:eastAsia="宋体" w:hAnsi="宋体" w:cs="宋体" w:hint="eastAsia"/>
                <w:color w:val="000000"/>
                <w:kern w:val="0"/>
                <w:sz w:val="20"/>
                <w:szCs w:val="20"/>
              </w:rPr>
              <w:t>是</w:t>
            </w:r>
          </w:p>
        </w:tc>
        <w:tc>
          <w:tcPr>
            <w:tcW w:w="1276" w:type="dxa"/>
            <w:tcBorders>
              <w:top w:val="nil"/>
              <w:left w:val="nil"/>
              <w:bottom w:val="single" w:sz="4" w:space="0" w:color="auto"/>
              <w:right w:val="single" w:sz="4" w:space="0" w:color="auto"/>
            </w:tcBorders>
            <w:shd w:val="clear" w:color="auto" w:fill="auto"/>
            <w:noWrap/>
            <w:vAlign w:val="center"/>
            <w:hideMark/>
          </w:tcPr>
          <w:p w:rsidR="00382F5A" w:rsidRPr="00382F5A" w:rsidRDefault="00382F5A" w:rsidP="00382F5A">
            <w:pPr>
              <w:widowControl/>
              <w:jc w:val="center"/>
              <w:rPr>
                <w:rFonts w:ascii="宋体" w:eastAsia="宋体" w:hAnsi="宋体" w:cs="宋体"/>
                <w:color w:val="000000"/>
                <w:kern w:val="0"/>
                <w:sz w:val="20"/>
                <w:szCs w:val="20"/>
              </w:rPr>
            </w:pPr>
            <w:r w:rsidRPr="00382F5A">
              <w:rPr>
                <w:rFonts w:ascii="宋体" w:eastAsia="宋体" w:hAnsi="宋体" w:cs="宋体" w:hint="eastAsia"/>
                <w:color w:val="000000"/>
                <w:kern w:val="0"/>
                <w:sz w:val="20"/>
                <w:szCs w:val="20"/>
              </w:rPr>
              <w:t>是</w:t>
            </w:r>
          </w:p>
        </w:tc>
        <w:tc>
          <w:tcPr>
            <w:tcW w:w="1276" w:type="dxa"/>
            <w:tcBorders>
              <w:top w:val="nil"/>
              <w:left w:val="nil"/>
              <w:bottom w:val="single" w:sz="4" w:space="0" w:color="auto"/>
              <w:right w:val="single" w:sz="4" w:space="0" w:color="auto"/>
            </w:tcBorders>
            <w:shd w:val="clear" w:color="auto" w:fill="auto"/>
            <w:noWrap/>
            <w:vAlign w:val="center"/>
            <w:hideMark/>
          </w:tcPr>
          <w:p w:rsidR="00382F5A" w:rsidRPr="00382F5A" w:rsidRDefault="00382F5A" w:rsidP="00327031">
            <w:pPr>
              <w:widowControl/>
              <w:jc w:val="center"/>
              <w:rPr>
                <w:rFonts w:ascii="宋体" w:eastAsia="宋体" w:hAnsi="宋体" w:cs="宋体"/>
                <w:color w:val="000000"/>
                <w:kern w:val="0"/>
                <w:sz w:val="22"/>
              </w:rPr>
            </w:pPr>
            <w:r w:rsidRPr="00382F5A">
              <w:rPr>
                <w:rFonts w:ascii="宋体" w:eastAsia="宋体" w:hAnsi="宋体" w:cs="宋体" w:hint="eastAsia"/>
                <w:color w:val="000000"/>
                <w:kern w:val="0"/>
                <w:sz w:val="22"/>
              </w:rPr>
              <w:t>-</w:t>
            </w:r>
          </w:p>
        </w:tc>
      </w:tr>
      <w:tr w:rsidR="00267E1C" w:rsidRPr="00382F5A" w:rsidTr="00A47F2E">
        <w:trPr>
          <w:trHeight w:val="2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82F5A" w:rsidRPr="00A47F2E" w:rsidRDefault="00382F5A" w:rsidP="00382F5A">
            <w:pPr>
              <w:widowControl/>
              <w:jc w:val="center"/>
              <w:rPr>
                <w:rFonts w:ascii="Times New Roman" w:eastAsia="宋体" w:hAnsi="Times New Roman" w:cs="Times New Roman"/>
                <w:color w:val="000000"/>
                <w:kern w:val="0"/>
                <w:sz w:val="20"/>
                <w:szCs w:val="20"/>
              </w:rPr>
            </w:pPr>
            <w:r w:rsidRPr="00A47F2E">
              <w:rPr>
                <w:rFonts w:ascii="Times New Roman" w:eastAsia="宋体" w:hAnsi="Times New Roman" w:cs="Times New Roman"/>
                <w:color w:val="000000"/>
                <w:kern w:val="0"/>
                <w:sz w:val="20"/>
                <w:szCs w:val="20"/>
              </w:rPr>
              <w:t>2</w:t>
            </w:r>
          </w:p>
        </w:tc>
        <w:tc>
          <w:tcPr>
            <w:tcW w:w="850" w:type="dxa"/>
            <w:tcBorders>
              <w:top w:val="nil"/>
              <w:left w:val="nil"/>
              <w:bottom w:val="single" w:sz="4" w:space="0" w:color="auto"/>
              <w:right w:val="single" w:sz="4" w:space="0" w:color="auto"/>
            </w:tcBorders>
            <w:shd w:val="clear" w:color="auto" w:fill="auto"/>
            <w:noWrap/>
            <w:vAlign w:val="center"/>
            <w:hideMark/>
          </w:tcPr>
          <w:p w:rsidR="00382F5A" w:rsidRPr="00382F5A" w:rsidRDefault="00382F5A" w:rsidP="00382F5A">
            <w:pPr>
              <w:widowControl/>
              <w:jc w:val="center"/>
              <w:rPr>
                <w:rFonts w:ascii="Times New Roman" w:eastAsia="宋体" w:hAnsi="Times New Roman" w:cs="Times New Roman"/>
                <w:color w:val="000000"/>
                <w:kern w:val="0"/>
                <w:sz w:val="20"/>
                <w:szCs w:val="20"/>
              </w:rPr>
            </w:pPr>
            <w:r w:rsidRPr="00382F5A">
              <w:rPr>
                <w:rFonts w:ascii="Times New Roman" w:eastAsia="宋体" w:hAnsi="Times New Roman" w:cs="Times New Roman"/>
                <w:color w:val="000000"/>
                <w:kern w:val="0"/>
                <w:sz w:val="20"/>
                <w:szCs w:val="20"/>
              </w:rPr>
              <w:t>161217</w:t>
            </w:r>
          </w:p>
        </w:tc>
        <w:tc>
          <w:tcPr>
            <w:tcW w:w="4536" w:type="dxa"/>
            <w:tcBorders>
              <w:top w:val="nil"/>
              <w:left w:val="nil"/>
              <w:bottom w:val="single" w:sz="4" w:space="0" w:color="auto"/>
              <w:right w:val="single" w:sz="4" w:space="0" w:color="auto"/>
            </w:tcBorders>
            <w:shd w:val="clear" w:color="auto" w:fill="auto"/>
            <w:noWrap/>
            <w:vAlign w:val="center"/>
            <w:hideMark/>
          </w:tcPr>
          <w:p w:rsidR="00382F5A" w:rsidRPr="00382F5A" w:rsidRDefault="00382F5A" w:rsidP="00382F5A">
            <w:pPr>
              <w:widowControl/>
              <w:jc w:val="left"/>
              <w:rPr>
                <w:rFonts w:ascii="宋体" w:eastAsia="宋体" w:hAnsi="宋体" w:cs="宋体"/>
                <w:color w:val="000000"/>
                <w:kern w:val="0"/>
                <w:sz w:val="20"/>
                <w:szCs w:val="20"/>
              </w:rPr>
            </w:pPr>
            <w:r w:rsidRPr="00382F5A">
              <w:rPr>
                <w:rFonts w:ascii="宋体" w:eastAsia="宋体" w:hAnsi="宋体" w:cs="宋体" w:hint="eastAsia"/>
                <w:color w:val="000000"/>
                <w:kern w:val="0"/>
                <w:sz w:val="20"/>
                <w:szCs w:val="20"/>
              </w:rPr>
              <w:t>国投瑞银中证上游资源产业指数证券投资基金(LOF)</w:t>
            </w:r>
          </w:p>
        </w:tc>
        <w:tc>
          <w:tcPr>
            <w:tcW w:w="1276" w:type="dxa"/>
            <w:tcBorders>
              <w:top w:val="nil"/>
              <w:left w:val="nil"/>
              <w:bottom w:val="single" w:sz="4" w:space="0" w:color="auto"/>
              <w:right w:val="single" w:sz="4" w:space="0" w:color="auto"/>
            </w:tcBorders>
            <w:shd w:val="clear" w:color="auto" w:fill="auto"/>
            <w:noWrap/>
            <w:vAlign w:val="center"/>
            <w:hideMark/>
          </w:tcPr>
          <w:p w:rsidR="00382F5A" w:rsidRPr="00382F5A" w:rsidRDefault="00382F5A" w:rsidP="00382F5A">
            <w:pPr>
              <w:widowControl/>
              <w:jc w:val="center"/>
              <w:rPr>
                <w:rFonts w:ascii="宋体" w:eastAsia="宋体" w:hAnsi="宋体" w:cs="宋体"/>
                <w:color w:val="000000"/>
                <w:kern w:val="0"/>
                <w:sz w:val="20"/>
                <w:szCs w:val="20"/>
              </w:rPr>
            </w:pPr>
            <w:r w:rsidRPr="00382F5A">
              <w:rPr>
                <w:rFonts w:ascii="宋体" w:eastAsia="宋体" w:hAnsi="宋体" w:cs="宋体" w:hint="eastAsia"/>
                <w:color w:val="000000"/>
                <w:kern w:val="0"/>
                <w:sz w:val="20"/>
                <w:szCs w:val="20"/>
              </w:rPr>
              <w:t>是</w:t>
            </w:r>
          </w:p>
        </w:tc>
        <w:tc>
          <w:tcPr>
            <w:tcW w:w="1276" w:type="dxa"/>
            <w:tcBorders>
              <w:top w:val="nil"/>
              <w:left w:val="nil"/>
              <w:bottom w:val="single" w:sz="4" w:space="0" w:color="auto"/>
              <w:right w:val="single" w:sz="4" w:space="0" w:color="auto"/>
            </w:tcBorders>
            <w:shd w:val="clear" w:color="auto" w:fill="auto"/>
            <w:noWrap/>
            <w:vAlign w:val="center"/>
            <w:hideMark/>
          </w:tcPr>
          <w:p w:rsidR="00382F5A" w:rsidRPr="00382F5A" w:rsidRDefault="00382F5A" w:rsidP="00382F5A">
            <w:pPr>
              <w:widowControl/>
              <w:jc w:val="center"/>
              <w:rPr>
                <w:rFonts w:ascii="宋体" w:eastAsia="宋体" w:hAnsi="宋体" w:cs="宋体"/>
                <w:color w:val="000000"/>
                <w:kern w:val="0"/>
                <w:sz w:val="20"/>
                <w:szCs w:val="20"/>
              </w:rPr>
            </w:pPr>
            <w:r w:rsidRPr="00382F5A">
              <w:rPr>
                <w:rFonts w:ascii="宋体" w:eastAsia="宋体" w:hAnsi="宋体" w:cs="宋体" w:hint="eastAsia"/>
                <w:color w:val="000000"/>
                <w:kern w:val="0"/>
                <w:sz w:val="20"/>
                <w:szCs w:val="20"/>
              </w:rPr>
              <w:t>是</w:t>
            </w:r>
          </w:p>
        </w:tc>
        <w:tc>
          <w:tcPr>
            <w:tcW w:w="1276" w:type="dxa"/>
            <w:tcBorders>
              <w:top w:val="nil"/>
              <w:left w:val="nil"/>
              <w:bottom w:val="single" w:sz="4" w:space="0" w:color="auto"/>
              <w:right w:val="single" w:sz="4" w:space="0" w:color="auto"/>
            </w:tcBorders>
            <w:shd w:val="clear" w:color="auto" w:fill="auto"/>
            <w:noWrap/>
            <w:vAlign w:val="center"/>
            <w:hideMark/>
          </w:tcPr>
          <w:p w:rsidR="00382F5A" w:rsidRPr="00382F5A" w:rsidRDefault="00382F5A" w:rsidP="00327031">
            <w:pPr>
              <w:widowControl/>
              <w:jc w:val="center"/>
              <w:rPr>
                <w:rFonts w:ascii="宋体" w:eastAsia="宋体" w:hAnsi="宋体" w:cs="宋体"/>
                <w:color w:val="000000"/>
                <w:kern w:val="0"/>
                <w:sz w:val="22"/>
              </w:rPr>
            </w:pPr>
            <w:r w:rsidRPr="00382F5A">
              <w:rPr>
                <w:rFonts w:ascii="宋体" w:eastAsia="宋体" w:hAnsi="宋体" w:cs="宋体" w:hint="eastAsia"/>
                <w:color w:val="000000"/>
                <w:kern w:val="0"/>
                <w:sz w:val="22"/>
              </w:rPr>
              <w:t>-</w:t>
            </w:r>
          </w:p>
        </w:tc>
      </w:tr>
      <w:tr w:rsidR="00267E1C" w:rsidRPr="00382F5A" w:rsidTr="00A47F2E">
        <w:trPr>
          <w:trHeight w:val="2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82F5A" w:rsidRPr="00A47F2E" w:rsidRDefault="00382F5A" w:rsidP="00382F5A">
            <w:pPr>
              <w:widowControl/>
              <w:jc w:val="center"/>
              <w:rPr>
                <w:rFonts w:ascii="Times New Roman" w:eastAsia="宋体" w:hAnsi="Times New Roman" w:cs="Times New Roman"/>
                <w:color w:val="000000"/>
                <w:kern w:val="0"/>
                <w:sz w:val="20"/>
                <w:szCs w:val="20"/>
              </w:rPr>
            </w:pPr>
            <w:r w:rsidRPr="00A47F2E">
              <w:rPr>
                <w:rFonts w:ascii="Times New Roman" w:eastAsia="宋体" w:hAnsi="Times New Roman" w:cs="Times New Roman"/>
                <w:color w:val="000000"/>
                <w:kern w:val="0"/>
                <w:sz w:val="20"/>
                <w:szCs w:val="20"/>
              </w:rPr>
              <w:t>3</w:t>
            </w:r>
          </w:p>
        </w:tc>
        <w:tc>
          <w:tcPr>
            <w:tcW w:w="850" w:type="dxa"/>
            <w:tcBorders>
              <w:top w:val="nil"/>
              <w:left w:val="nil"/>
              <w:bottom w:val="single" w:sz="4" w:space="0" w:color="auto"/>
              <w:right w:val="single" w:sz="4" w:space="0" w:color="auto"/>
            </w:tcBorders>
            <w:shd w:val="clear" w:color="auto" w:fill="auto"/>
            <w:noWrap/>
            <w:vAlign w:val="center"/>
            <w:hideMark/>
          </w:tcPr>
          <w:p w:rsidR="00382F5A" w:rsidRPr="00382F5A" w:rsidRDefault="00382F5A" w:rsidP="00382F5A">
            <w:pPr>
              <w:widowControl/>
              <w:jc w:val="center"/>
              <w:rPr>
                <w:rFonts w:ascii="Times New Roman" w:eastAsia="宋体" w:hAnsi="Times New Roman" w:cs="Times New Roman"/>
                <w:color w:val="000000"/>
                <w:kern w:val="0"/>
                <w:sz w:val="20"/>
                <w:szCs w:val="20"/>
              </w:rPr>
            </w:pPr>
            <w:r w:rsidRPr="00382F5A">
              <w:rPr>
                <w:rFonts w:ascii="Times New Roman" w:eastAsia="宋体" w:hAnsi="Times New Roman" w:cs="Times New Roman"/>
                <w:color w:val="000000"/>
                <w:kern w:val="0"/>
                <w:sz w:val="20"/>
                <w:szCs w:val="20"/>
              </w:rPr>
              <w:t>159933</w:t>
            </w:r>
          </w:p>
        </w:tc>
        <w:tc>
          <w:tcPr>
            <w:tcW w:w="4536" w:type="dxa"/>
            <w:tcBorders>
              <w:top w:val="nil"/>
              <w:left w:val="nil"/>
              <w:bottom w:val="single" w:sz="4" w:space="0" w:color="auto"/>
              <w:right w:val="single" w:sz="4" w:space="0" w:color="auto"/>
            </w:tcBorders>
            <w:shd w:val="clear" w:color="auto" w:fill="auto"/>
            <w:noWrap/>
            <w:vAlign w:val="center"/>
            <w:hideMark/>
          </w:tcPr>
          <w:p w:rsidR="00382F5A" w:rsidRPr="00382F5A" w:rsidRDefault="00382F5A" w:rsidP="00382F5A">
            <w:pPr>
              <w:widowControl/>
              <w:jc w:val="left"/>
              <w:rPr>
                <w:rFonts w:ascii="宋体" w:eastAsia="宋体" w:hAnsi="宋体" w:cs="宋体"/>
                <w:color w:val="000000"/>
                <w:kern w:val="0"/>
                <w:sz w:val="20"/>
                <w:szCs w:val="20"/>
              </w:rPr>
            </w:pPr>
            <w:r w:rsidRPr="00382F5A">
              <w:rPr>
                <w:rFonts w:ascii="宋体" w:eastAsia="宋体" w:hAnsi="宋体" w:cs="宋体" w:hint="eastAsia"/>
                <w:color w:val="000000"/>
                <w:kern w:val="0"/>
                <w:sz w:val="20"/>
                <w:szCs w:val="20"/>
              </w:rPr>
              <w:t>国投瑞银沪深300金融地产交易型开放式指数证券投资基金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82F5A" w:rsidRPr="00382F5A" w:rsidRDefault="00382F5A" w:rsidP="00382F5A">
            <w:pPr>
              <w:widowControl/>
              <w:jc w:val="center"/>
              <w:rPr>
                <w:rFonts w:ascii="宋体" w:eastAsia="宋体" w:hAnsi="宋体" w:cs="宋体"/>
                <w:color w:val="000000"/>
                <w:kern w:val="0"/>
                <w:sz w:val="20"/>
                <w:szCs w:val="20"/>
              </w:rPr>
            </w:pPr>
            <w:r w:rsidRPr="00382F5A">
              <w:rPr>
                <w:rFonts w:ascii="宋体" w:eastAsia="宋体" w:hAnsi="宋体" w:cs="宋体" w:hint="eastAsia"/>
                <w:color w:val="000000"/>
                <w:kern w:val="0"/>
                <w:sz w:val="20"/>
                <w:szCs w:val="20"/>
              </w:rPr>
              <w:t>是</w:t>
            </w:r>
          </w:p>
        </w:tc>
        <w:tc>
          <w:tcPr>
            <w:tcW w:w="1276" w:type="dxa"/>
            <w:tcBorders>
              <w:top w:val="nil"/>
              <w:left w:val="nil"/>
              <w:bottom w:val="single" w:sz="4" w:space="0" w:color="auto"/>
              <w:right w:val="single" w:sz="4" w:space="0" w:color="auto"/>
            </w:tcBorders>
            <w:shd w:val="clear" w:color="auto" w:fill="auto"/>
            <w:noWrap/>
            <w:vAlign w:val="center"/>
            <w:hideMark/>
          </w:tcPr>
          <w:p w:rsidR="00382F5A" w:rsidRPr="00382F5A" w:rsidRDefault="00382F5A" w:rsidP="00382F5A">
            <w:pPr>
              <w:widowControl/>
              <w:jc w:val="center"/>
              <w:rPr>
                <w:rFonts w:ascii="宋体" w:eastAsia="宋体" w:hAnsi="宋体" w:cs="宋体"/>
                <w:color w:val="000000"/>
                <w:kern w:val="0"/>
                <w:sz w:val="20"/>
                <w:szCs w:val="20"/>
              </w:rPr>
            </w:pPr>
            <w:r w:rsidRPr="00382F5A">
              <w:rPr>
                <w:rFonts w:ascii="宋体" w:eastAsia="宋体" w:hAnsi="宋体" w:cs="宋体" w:hint="eastAsia"/>
                <w:color w:val="000000"/>
                <w:kern w:val="0"/>
                <w:sz w:val="20"/>
                <w:szCs w:val="20"/>
              </w:rPr>
              <w:t>是</w:t>
            </w:r>
          </w:p>
        </w:tc>
        <w:tc>
          <w:tcPr>
            <w:tcW w:w="1276" w:type="dxa"/>
            <w:tcBorders>
              <w:top w:val="nil"/>
              <w:left w:val="nil"/>
              <w:bottom w:val="single" w:sz="4" w:space="0" w:color="auto"/>
              <w:right w:val="single" w:sz="4" w:space="0" w:color="auto"/>
            </w:tcBorders>
            <w:shd w:val="clear" w:color="auto" w:fill="auto"/>
            <w:noWrap/>
            <w:vAlign w:val="center"/>
            <w:hideMark/>
          </w:tcPr>
          <w:p w:rsidR="00382F5A" w:rsidRPr="00382F5A" w:rsidRDefault="00382F5A" w:rsidP="00327031">
            <w:pPr>
              <w:widowControl/>
              <w:jc w:val="center"/>
              <w:rPr>
                <w:rFonts w:ascii="宋体" w:eastAsia="宋体" w:hAnsi="宋体" w:cs="宋体"/>
                <w:color w:val="000000"/>
                <w:kern w:val="0"/>
                <w:sz w:val="22"/>
              </w:rPr>
            </w:pPr>
            <w:r w:rsidRPr="00382F5A">
              <w:rPr>
                <w:rFonts w:ascii="宋体" w:eastAsia="宋体" w:hAnsi="宋体" w:cs="宋体" w:hint="eastAsia"/>
                <w:color w:val="000000"/>
                <w:kern w:val="0"/>
                <w:sz w:val="22"/>
              </w:rPr>
              <w:t>-</w:t>
            </w:r>
          </w:p>
        </w:tc>
      </w:tr>
      <w:tr w:rsidR="00267E1C" w:rsidRPr="00382F5A" w:rsidTr="00A47F2E">
        <w:trPr>
          <w:trHeight w:val="2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82F5A" w:rsidRPr="00A47F2E" w:rsidRDefault="00382F5A" w:rsidP="00382F5A">
            <w:pPr>
              <w:widowControl/>
              <w:jc w:val="center"/>
              <w:rPr>
                <w:rFonts w:ascii="Times New Roman" w:eastAsia="宋体" w:hAnsi="Times New Roman" w:cs="Times New Roman"/>
                <w:color w:val="000000"/>
                <w:kern w:val="0"/>
                <w:sz w:val="20"/>
                <w:szCs w:val="20"/>
              </w:rPr>
            </w:pPr>
            <w:r w:rsidRPr="00A47F2E">
              <w:rPr>
                <w:rFonts w:ascii="Times New Roman" w:eastAsia="宋体" w:hAnsi="Times New Roman" w:cs="Times New Roman"/>
                <w:color w:val="000000"/>
                <w:kern w:val="0"/>
                <w:sz w:val="20"/>
                <w:szCs w:val="20"/>
              </w:rPr>
              <w:t>4</w:t>
            </w:r>
          </w:p>
        </w:tc>
        <w:tc>
          <w:tcPr>
            <w:tcW w:w="850" w:type="dxa"/>
            <w:tcBorders>
              <w:top w:val="nil"/>
              <w:left w:val="nil"/>
              <w:bottom w:val="single" w:sz="4" w:space="0" w:color="auto"/>
              <w:right w:val="single" w:sz="4" w:space="0" w:color="auto"/>
            </w:tcBorders>
            <w:shd w:val="clear" w:color="auto" w:fill="auto"/>
            <w:noWrap/>
            <w:vAlign w:val="center"/>
            <w:hideMark/>
          </w:tcPr>
          <w:p w:rsidR="00382F5A" w:rsidRPr="00382F5A" w:rsidRDefault="00382F5A" w:rsidP="00382F5A">
            <w:pPr>
              <w:widowControl/>
              <w:jc w:val="center"/>
              <w:rPr>
                <w:rFonts w:ascii="Times New Roman" w:eastAsia="宋体" w:hAnsi="Times New Roman" w:cs="Times New Roman"/>
                <w:color w:val="000000"/>
                <w:kern w:val="0"/>
                <w:sz w:val="20"/>
                <w:szCs w:val="20"/>
              </w:rPr>
            </w:pPr>
            <w:r w:rsidRPr="00382F5A">
              <w:rPr>
                <w:rFonts w:ascii="Times New Roman" w:eastAsia="宋体" w:hAnsi="Times New Roman" w:cs="Times New Roman"/>
                <w:color w:val="000000"/>
                <w:kern w:val="0"/>
                <w:sz w:val="20"/>
                <w:szCs w:val="20"/>
              </w:rPr>
              <w:t>161211</w:t>
            </w:r>
          </w:p>
        </w:tc>
        <w:tc>
          <w:tcPr>
            <w:tcW w:w="4536" w:type="dxa"/>
            <w:tcBorders>
              <w:top w:val="nil"/>
              <w:left w:val="nil"/>
              <w:bottom w:val="single" w:sz="4" w:space="0" w:color="auto"/>
              <w:right w:val="single" w:sz="4" w:space="0" w:color="auto"/>
            </w:tcBorders>
            <w:shd w:val="clear" w:color="auto" w:fill="auto"/>
            <w:noWrap/>
            <w:vAlign w:val="center"/>
            <w:hideMark/>
          </w:tcPr>
          <w:p w:rsidR="00382F5A" w:rsidRPr="00382F5A" w:rsidRDefault="00382F5A" w:rsidP="00382F5A">
            <w:pPr>
              <w:widowControl/>
              <w:jc w:val="left"/>
              <w:rPr>
                <w:rFonts w:ascii="宋体" w:eastAsia="宋体" w:hAnsi="宋体" w:cs="宋体"/>
                <w:color w:val="000000"/>
                <w:kern w:val="0"/>
                <w:sz w:val="20"/>
                <w:szCs w:val="20"/>
              </w:rPr>
            </w:pPr>
            <w:r w:rsidRPr="00382F5A">
              <w:rPr>
                <w:rFonts w:ascii="宋体" w:eastAsia="宋体" w:hAnsi="宋体" w:cs="宋体" w:hint="eastAsia"/>
                <w:color w:val="000000"/>
                <w:kern w:val="0"/>
                <w:sz w:val="20"/>
                <w:szCs w:val="20"/>
              </w:rPr>
              <w:t>国投瑞银沪深300金融地产交易型开放式指数证券投资基金联接基金</w:t>
            </w:r>
          </w:p>
        </w:tc>
        <w:tc>
          <w:tcPr>
            <w:tcW w:w="1276" w:type="dxa"/>
            <w:tcBorders>
              <w:top w:val="nil"/>
              <w:left w:val="nil"/>
              <w:bottom w:val="single" w:sz="4" w:space="0" w:color="auto"/>
              <w:right w:val="single" w:sz="4" w:space="0" w:color="auto"/>
            </w:tcBorders>
            <w:shd w:val="clear" w:color="auto" w:fill="auto"/>
            <w:noWrap/>
            <w:vAlign w:val="center"/>
            <w:hideMark/>
          </w:tcPr>
          <w:p w:rsidR="00382F5A" w:rsidRPr="00382F5A" w:rsidRDefault="00382F5A" w:rsidP="00382F5A">
            <w:pPr>
              <w:widowControl/>
              <w:jc w:val="center"/>
              <w:rPr>
                <w:rFonts w:ascii="宋体" w:eastAsia="宋体" w:hAnsi="宋体" w:cs="宋体"/>
                <w:color w:val="000000"/>
                <w:kern w:val="0"/>
                <w:sz w:val="20"/>
                <w:szCs w:val="20"/>
              </w:rPr>
            </w:pPr>
            <w:r w:rsidRPr="00382F5A">
              <w:rPr>
                <w:rFonts w:ascii="宋体" w:eastAsia="宋体" w:hAnsi="宋体" w:cs="宋体" w:hint="eastAsia"/>
                <w:color w:val="000000"/>
                <w:kern w:val="0"/>
                <w:sz w:val="20"/>
                <w:szCs w:val="20"/>
              </w:rPr>
              <w:t>是</w:t>
            </w:r>
          </w:p>
        </w:tc>
        <w:tc>
          <w:tcPr>
            <w:tcW w:w="1276" w:type="dxa"/>
            <w:tcBorders>
              <w:top w:val="nil"/>
              <w:left w:val="nil"/>
              <w:bottom w:val="single" w:sz="4" w:space="0" w:color="auto"/>
              <w:right w:val="single" w:sz="4" w:space="0" w:color="auto"/>
            </w:tcBorders>
            <w:shd w:val="clear" w:color="auto" w:fill="auto"/>
            <w:noWrap/>
            <w:vAlign w:val="center"/>
            <w:hideMark/>
          </w:tcPr>
          <w:p w:rsidR="00382F5A" w:rsidRPr="00382F5A" w:rsidRDefault="00382F5A" w:rsidP="00382F5A">
            <w:pPr>
              <w:widowControl/>
              <w:jc w:val="center"/>
              <w:rPr>
                <w:rFonts w:ascii="宋体" w:eastAsia="宋体" w:hAnsi="宋体" w:cs="宋体"/>
                <w:color w:val="000000"/>
                <w:kern w:val="0"/>
                <w:sz w:val="20"/>
                <w:szCs w:val="20"/>
              </w:rPr>
            </w:pPr>
            <w:r w:rsidRPr="00382F5A">
              <w:rPr>
                <w:rFonts w:ascii="宋体" w:eastAsia="宋体" w:hAnsi="宋体" w:cs="宋体" w:hint="eastAsia"/>
                <w:color w:val="000000"/>
                <w:kern w:val="0"/>
                <w:sz w:val="20"/>
                <w:szCs w:val="20"/>
              </w:rPr>
              <w:t>是</w:t>
            </w:r>
          </w:p>
        </w:tc>
        <w:tc>
          <w:tcPr>
            <w:tcW w:w="1276" w:type="dxa"/>
            <w:tcBorders>
              <w:top w:val="nil"/>
              <w:left w:val="nil"/>
              <w:bottom w:val="single" w:sz="4" w:space="0" w:color="auto"/>
              <w:right w:val="single" w:sz="4" w:space="0" w:color="auto"/>
            </w:tcBorders>
            <w:shd w:val="clear" w:color="auto" w:fill="auto"/>
            <w:noWrap/>
            <w:vAlign w:val="center"/>
            <w:hideMark/>
          </w:tcPr>
          <w:p w:rsidR="00382F5A" w:rsidRPr="00382F5A" w:rsidRDefault="00382F5A" w:rsidP="00327031">
            <w:pPr>
              <w:widowControl/>
              <w:jc w:val="center"/>
              <w:rPr>
                <w:rFonts w:ascii="宋体" w:eastAsia="宋体" w:hAnsi="宋体" w:cs="宋体"/>
                <w:color w:val="000000"/>
                <w:kern w:val="0"/>
                <w:sz w:val="22"/>
              </w:rPr>
            </w:pPr>
            <w:r w:rsidRPr="00382F5A">
              <w:rPr>
                <w:rFonts w:ascii="宋体" w:eastAsia="宋体" w:hAnsi="宋体" w:cs="宋体" w:hint="eastAsia"/>
                <w:color w:val="000000"/>
                <w:kern w:val="0"/>
                <w:sz w:val="22"/>
              </w:rPr>
              <w:t>-</w:t>
            </w:r>
          </w:p>
        </w:tc>
      </w:tr>
      <w:tr w:rsidR="00267E1C" w:rsidRPr="00382F5A" w:rsidTr="00A47F2E">
        <w:trPr>
          <w:trHeight w:val="2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82F5A" w:rsidRPr="00A47F2E" w:rsidRDefault="00382F5A" w:rsidP="00382F5A">
            <w:pPr>
              <w:widowControl/>
              <w:jc w:val="center"/>
              <w:rPr>
                <w:rFonts w:ascii="Times New Roman" w:eastAsia="宋体" w:hAnsi="Times New Roman" w:cs="Times New Roman"/>
                <w:color w:val="000000"/>
                <w:kern w:val="0"/>
                <w:sz w:val="20"/>
                <w:szCs w:val="20"/>
              </w:rPr>
            </w:pPr>
            <w:r w:rsidRPr="00A47F2E">
              <w:rPr>
                <w:rFonts w:ascii="Times New Roman" w:eastAsia="宋体" w:hAnsi="Times New Roman" w:cs="Times New Roman"/>
                <w:color w:val="000000"/>
                <w:kern w:val="0"/>
                <w:sz w:val="20"/>
                <w:szCs w:val="20"/>
              </w:rPr>
              <w:t>5</w:t>
            </w:r>
          </w:p>
        </w:tc>
        <w:tc>
          <w:tcPr>
            <w:tcW w:w="850" w:type="dxa"/>
            <w:tcBorders>
              <w:top w:val="nil"/>
              <w:left w:val="nil"/>
              <w:bottom w:val="single" w:sz="4" w:space="0" w:color="auto"/>
              <w:right w:val="single" w:sz="4" w:space="0" w:color="auto"/>
            </w:tcBorders>
            <w:shd w:val="clear" w:color="auto" w:fill="auto"/>
            <w:noWrap/>
            <w:vAlign w:val="center"/>
            <w:hideMark/>
          </w:tcPr>
          <w:p w:rsidR="00382F5A" w:rsidRPr="00382F5A" w:rsidRDefault="00382F5A" w:rsidP="00382F5A">
            <w:pPr>
              <w:widowControl/>
              <w:jc w:val="center"/>
              <w:rPr>
                <w:rFonts w:ascii="Times New Roman" w:eastAsia="宋体" w:hAnsi="Times New Roman" w:cs="Times New Roman"/>
                <w:color w:val="000000"/>
                <w:kern w:val="0"/>
                <w:sz w:val="20"/>
                <w:szCs w:val="20"/>
              </w:rPr>
            </w:pPr>
            <w:r w:rsidRPr="00382F5A">
              <w:rPr>
                <w:rFonts w:ascii="Times New Roman" w:eastAsia="宋体" w:hAnsi="Times New Roman" w:cs="Times New Roman"/>
                <w:color w:val="000000"/>
                <w:kern w:val="0"/>
                <w:sz w:val="20"/>
                <w:szCs w:val="20"/>
              </w:rPr>
              <w:t>161227</w:t>
            </w:r>
          </w:p>
        </w:tc>
        <w:tc>
          <w:tcPr>
            <w:tcW w:w="4536" w:type="dxa"/>
            <w:tcBorders>
              <w:top w:val="nil"/>
              <w:left w:val="nil"/>
              <w:bottom w:val="single" w:sz="4" w:space="0" w:color="auto"/>
              <w:right w:val="single" w:sz="4" w:space="0" w:color="auto"/>
            </w:tcBorders>
            <w:shd w:val="clear" w:color="auto" w:fill="auto"/>
            <w:noWrap/>
            <w:vAlign w:val="center"/>
            <w:hideMark/>
          </w:tcPr>
          <w:p w:rsidR="00382F5A" w:rsidRPr="00382F5A" w:rsidRDefault="00382F5A" w:rsidP="00382F5A">
            <w:pPr>
              <w:widowControl/>
              <w:jc w:val="left"/>
              <w:rPr>
                <w:rFonts w:ascii="宋体" w:eastAsia="宋体" w:hAnsi="宋体" w:cs="宋体"/>
                <w:color w:val="000000"/>
                <w:kern w:val="0"/>
                <w:sz w:val="20"/>
                <w:szCs w:val="20"/>
              </w:rPr>
            </w:pPr>
            <w:r w:rsidRPr="00382F5A">
              <w:rPr>
                <w:rFonts w:ascii="宋体" w:eastAsia="宋体" w:hAnsi="宋体" w:cs="宋体" w:hint="eastAsia"/>
                <w:color w:val="000000"/>
                <w:kern w:val="0"/>
                <w:sz w:val="20"/>
                <w:szCs w:val="20"/>
              </w:rPr>
              <w:t>国投瑞银瑞福深证100指数证券投资基金(LOF)</w:t>
            </w:r>
          </w:p>
        </w:tc>
        <w:tc>
          <w:tcPr>
            <w:tcW w:w="1276" w:type="dxa"/>
            <w:tcBorders>
              <w:top w:val="nil"/>
              <w:left w:val="nil"/>
              <w:bottom w:val="single" w:sz="4" w:space="0" w:color="auto"/>
              <w:right w:val="single" w:sz="4" w:space="0" w:color="auto"/>
            </w:tcBorders>
            <w:shd w:val="clear" w:color="auto" w:fill="auto"/>
            <w:noWrap/>
            <w:vAlign w:val="center"/>
            <w:hideMark/>
          </w:tcPr>
          <w:p w:rsidR="00382F5A" w:rsidRPr="00382F5A" w:rsidRDefault="00382F5A" w:rsidP="00382F5A">
            <w:pPr>
              <w:widowControl/>
              <w:jc w:val="center"/>
              <w:rPr>
                <w:rFonts w:ascii="宋体" w:eastAsia="宋体" w:hAnsi="宋体" w:cs="宋体"/>
                <w:color w:val="000000"/>
                <w:kern w:val="0"/>
                <w:sz w:val="20"/>
                <w:szCs w:val="20"/>
              </w:rPr>
            </w:pPr>
            <w:r w:rsidRPr="00382F5A">
              <w:rPr>
                <w:rFonts w:ascii="宋体" w:eastAsia="宋体" w:hAnsi="宋体" w:cs="宋体" w:hint="eastAsia"/>
                <w:color w:val="000000"/>
                <w:kern w:val="0"/>
                <w:sz w:val="20"/>
                <w:szCs w:val="20"/>
              </w:rPr>
              <w:t>是</w:t>
            </w:r>
          </w:p>
        </w:tc>
        <w:tc>
          <w:tcPr>
            <w:tcW w:w="1276" w:type="dxa"/>
            <w:tcBorders>
              <w:top w:val="nil"/>
              <w:left w:val="nil"/>
              <w:bottom w:val="single" w:sz="4" w:space="0" w:color="auto"/>
              <w:right w:val="single" w:sz="4" w:space="0" w:color="auto"/>
            </w:tcBorders>
            <w:shd w:val="clear" w:color="auto" w:fill="auto"/>
            <w:noWrap/>
            <w:vAlign w:val="center"/>
            <w:hideMark/>
          </w:tcPr>
          <w:p w:rsidR="00382F5A" w:rsidRPr="00382F5A" w:rsidRDefault="00382F5A" w:rsidP="00382F5A">
            <w:pPr>
              <w:widowControl/>
              <w:jc w:val="center"/>
              <w:rPr>
                <w:rFonts w:ascii="宋体" w:eastAsia="宋体" w:hAnsi="宋体" w:cs="宋体"/>
                <w:color w:val="000000"/>
                <w:kern w:val="0"/>
                <w:sz w:val="20"/>
                <w:szCs w:val="20"/>
              </w:rPr>
            </w:pPr>
            <w:r w:rsidRPr="00382F5A">
              <w:rPr>
                <w:rFonts w:ascii="宋体" w:eastAsia="宋体" w:hAnsi="宋体" w:cs="宋体" w:hint="eastAsia"/>
                <w:color w:val="000000"/>
                <w:kern w:val="0"/>
                <w:sz w:val="20"/>
                <w:szCs w:val="20"/>
              </w:rPr>
              <w:t>是</w:t>
            </w:r>
          </w:p>
        </w:tc>
        <w:tc>
          <w:tcPr>
            <w:tcW w:w="1276" w:type="dxa"/>
            <w:tcBorders>
              <w:top w:val="nil"/>
              <w:left w:val="nil"/>
              <w:bottom w:val="single" w:sz="4" w:space="0" w:color="auto"/>
              <w:right w:val="single" w:sz="4" w:space="0" w:color="auto"/>
            </w:tcBorders>
            <w:shd w:val="clear" w:color="auto" w:fill="auto"/>
            <w:noWrap/>
            <w:vAlign w:val="center"/>
            <w:hideMark/>
          </w:tcPr>
          <w:p w:rsidR="00382F5A" w:rsidRPr="00382F5A" w:rsidRDefault="00382F5A" w:rsidP="00327031">
            <w:pPr>
              <w:widowControl/>
              <w:jc w:val="center"/>
              <w:rPr>
                <w:rFonts w:ascii="宋体" w:eastAsia="宋体" w:hAnsi="宋体" w:cs="宋体"/>
                <w:color w:val="000000"/>
                <w:kern w:val="0"/>
                <w:sz w:val="22"/>
              </w:rPr>
            </w:pPr>
            <w:r w:rsidRPr="00382F5A">
              <w:rPr>
                <w:rFonts w:ascii="宋体" w:eastAsia="宋体" w:hAnsi="宋体" w:cs="宋体" w:hint="eastAsia"/>
                <w:color w:val="000000"/>
                <w:kern w:val="0"/>
                <w:sz w:val="22"/>
              </w:rPr>
              <w:t>-</w:t>
            </w:r>
          </w:p>
        </w:tc>
      </w:tr>
      <w:tr w:rsidR="00267E1C" w:rsidRPr="00382F5A" w:rsidTr="00A47F2E">
        <w:trPr>
          <w:trHeight w:val="2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82F5A" w:rsidRPr="00A47F2E" w:rsidRDefault="00382F5A" w:rsidP="00382F5A">
            <w:pPr>
              <w:widowControl/>
              <w:jc w:val="center"/>
              <w:rPr>
                <w:rFonts w:ascii="Times New Roman" w:eastAsia="宋体" w:hAnsi="Times New Roman" w:cs="Times New Roman"/>
                <w:color w:val="000000"/>
                <w:kern w:val="0"/>
                <w:sz w:val="20"/>
                <w:szCs w:val="20"/>
              </w:rPr>
            </w:pPr>
            <w:r w:rsidRPr="00A47F2E">
              <w:rPr>
                <w:rFonts w:ascii="Times New Roman" w:eastAsia="宋体" w:hAnsi="Times New Roman" w:cs="Times New Roman"/>
                <w:color w:val="000000"/>
                <w:kern w:val="0"/>
                <w:sz w:val="20"/>
                <w:szCs w:val="20"/>
              </w:rPr>
              <w:t>6</w:t>
            </w:r>
          </w:p>
        </w:tc>
        <w:tc>
          <w:tcPr>
            <w:tcW w:w="850" w:type="dxa"/>
            <w:tcBorders>
              <w:top w:val="nil"/>
              <w:left w:val="nil"/>
              <w:bottom w:val="single" w:sz="4" w:space="0" w:color="auto"/>
              <w:right w:val="single" w:sz="4" w:space="0" w:color="auto"/>
            </w:tcBorders>
            <w:shd w:val="clear" w:color="auto" w:fill="auto"/>
            <w:noWrap/>
            <w:vAlign w:val="center"/>
            <w:hideMark/>
          </w:tcPr>
          <w:p w:rsidR="00382F5A" w:rsidRPr="00382F5A" w:rsidRDefault="00267E1C" w:rsidP="00382F5A">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00</w:t>
            </w:r>
            <w:r w:rsidR="00382F5A" w:rsidRPr="00382F5A">
              <w:rPr>
                <w:rFonts w:ascii="Times New Roman" w:eastAsia="宋体" w:hAnsi="Times New Roman" w:cs="Times New Roman"/>
                <w:color w:val="000000"/>
                <w:kern w:val="0"/>
                <w:sz w:val="20"/>
                <w:szCs w:val="20"/>
              </w:rPr>
              <w:t>5994</w:t>
            </w:r>
          </w:p>
        </w:tc>
        <w:tc>
          <w:tcPr>
            <w:tcW w:w="4536" w:type="dxa"/>
            <w:tcBorders>
              <w:top w:val="nil"/>
              <w:left w:val="nil"/>
              <w:bottom w:val="single" w:sz="4" w:space="0" w:color="auto"/>
              <w:right w:val="single" w:sz="4" w:space="0" w:color="auto"/>
            </w:tcBorders>
            <w:shd w:val="clear" w:color="auto" w:fill="auto"/>
            <w:noWrap/>
            <w:vAlign w:val="center"/>
            <w:hideMark/>
          </w:tcPr>
          <w:p w:rsidR="00382F5A" w:rsidRPr="00382F5A" w:rsidRDefault="00382F5A" w:rsidP="00382F5A">
            <w:pPr>
              <w:widowControl/>
              <w:jc w:val="left"/>
              <w:rPr>
                <w:rFonts w:ascii="宋体" w:eastAsia="宋体" w:hAnsi="宋体" w:cs="宋体"/>
                <w:color w:val="000000"/>
                <w:kern w:val="0"/>
                <w:sz w:val="20"/>
                <w:szCs w:val="20"/>
              </w:rPr>
            </w:pPr>
            <w:r w:rsidRPr="00382F5A">
              <w:rPr>
                <w:rFonts w:ascii="宋体" w:eastAsia="宋体" w:hAnsi="宋体" w:cs="宋体" w:hint="eastAsia"/>
                <w:color w:val="000000"/>
                <w:kern w:val="0"/>
                <w:sz w:val="20"/>
                <w:szCs w:val="20"/>
              </w:rPr>
              <w:t>国投瑞银中证500指数量化增强型证券投资基金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82F5A" w:rsidRPr="00382F5A" w:rsidRDefault="00382F5A" w:rsidP="00382F5A">
            <w:pPr>
              <w:widowControl/>
              <w:jc w:val="center"/>
              <w:rPr>
                <w:rFonts w:ascii="宋体" w:eastAsia="宋体" w:hAnsi="宋体" w:cs="宋体"/>
                <w:color w:val="000000"/>
                <w:kern w:val="0"/>
                <w:sz w:val="20"/>
                <w:szCs w:val="20"/>
              </w:rPr>
            </w:pPr>
            <w:r w:rsidRPr="00382F5A">
              <w:rPr>
                <w:rFonts w:ascii="宋体" w:eastAsia="宋体" w:hAnsi="宋体" w:cs="宋体" w:hint="eastAsia"/>
                <w:color w:val="000000"/>
                <w:kern w:val="0"/>
                <w:sz w:val="20"/>
                <w:szCs w:val="20"/>
              </w:rPr>
              <w:t>是</w:t>
            </w:r>
          </w:p>
        </w:tc>
        <w:tc>
          <w:tcPr>
            <w:tcW w:w="1276" w:type="dxa"/>
            <w:tcBorders>
              <w:top w:val="nil"/>
              <w:left w:val="nil"/>
              <w:bottom w:val="single" w:sz="4" w:space="0" w:color="auto"/>
              <w:right w:val="single" w:sz="4" w:space="0" w:color="auto"/>
            </w:tcBorders>
            <w:shd w:val="clear" w:color="auto" w:fill="auto"/>
            <w:noWrap/>
            <w:vAlign w:val="center"/>
            <w:hideMark/>
          </w:tcPr>
          <w:p w:rsidR="00382F5A" w:rsidRPr="00382F5A" w:rsidRDefault="00382F5A" w:rsidP="00382F5A">
            <w:pPr>
              <w:widowControl/>
              <w:jc w:val="center"/>
              <w:rPr>
                <w:rFonts w:ascii="宋体" w:eastAsia="宋体" w:hAnsi="宋体" w:cs="宋体"/>
                <w:color w:val="000000"/>
                <w:kern w:val="0"/>
                <w:sz w:val="20"/>
                <w:szCs w:val="20"/>
              </w:rPr>
            </w:pPr>
            <w:r w:rsidRPr="00382F5A">
              <w:rPr>
                <w:rFonts w:ascii="宋体" w:eastAsia="宋体" w:hAnsi="宋体" w:cs="宋体" w:hint="eastAsia"/>
                <w:color w:val="000000"/>
                <w:kern w:val="0"/>
                <w:sz w:val="20"/>
                <w:szCs w:val="20"/>
              </w:rPr>
              <w:t>是</w:t>
            </w:r>
          </w:p>
        </w:tc>
        <w:tc>
          <w:tcPr>
            <w:tcW w:w="1276" w:type="dxa"/>
            <w:tcBorders>
              <w:top w:val="nil"/>
              <w:left w:val="nil"/>
              <w:bottom w:val="single" w:sz="4" w:space="0" w:color="auto"/>
              <w:right w:val="single" w:sz="4" w:space="0" w:color="auto"/>
            </w:tcBorders>
            <w:shd w:val="clear" w:color="auto" w:fill="auto"/>
            <w:noWrap/>
            <w:vAlign w:val="center"/>
            <w:hideMark/>
          </w:tcPr>
          <w:p w:rsidR="00382F5A" w:rsidRPr="00382F5A" w:rsidRDefault="00382F5A" w:rsidP="00327031">
            <w:pPr>
              <w:widowControl/>
              <w:jc w:val="center"/>
              <w:rPr>
                <w:rFonts w:ascii="宋体" w:eastAsia="宋体" w:hAnsi="宋体" w:cs="宋体"/>
                <w:color w:val="000000"/>
                <w:kern w:val="0"/>
                <w:sz w:val="20"/>
                <w:szCs w:val="20"/>
              </w:rPr>
            </w:pPr>
            <w:r w:rsidRPr="00382F5A">
              <w:rPr>
                <w:rFonts w:ascii="宋体" w:eastAsia="宋体" w:hAnsi="宋体" w:cs="宋体" w:hint="eastAsia"/>
                <w:color w:val="000000"/>
                <w:kern w:val="0"/>
                <w:sz w:val="20"/>
                <w:szCs w:val="20"/>
              </w:rPr>
              <w:t>是</w:t>
            </w:r>
          </w:p>
        </w:tc>
      </w:tr>
      <w:tr w:rsidR="00267E1C" w:rsidRPr="00382F5A" w:rsidTr="00A47F2E">
        <w:trPr>
          <w:trHeight w:val="27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382F5A" w:rsidRPr="00A47F2E" w:rsidRDefault="00382F5A" w:rsidP="00382F5A">
            <w:pPr>
              <w:widowControl/>
              <w:jc w:val="center"/>
              <w:rPr>
                <w:rFonts w:ascii="Times New Roman" w:eastAsia="宋体" w:hAnsi="Times New Roman" w:cs="Times New Roman"/>
                <w:color w:val="000000"/>
                <w:kern w:val="0"/>
                <w:sz w:val="20"/>
                <w:szCs w:val="20"/>
              </w:rPr>
            </w:pPr>
            <w:r w:rsidRPr="00A47F2E">
              <w:rPr>
                <w:rFonts w:ascii="Times New Roman" w:eastAsia="宋体" w:hAnsi="Times New Roman" w:cs="Times New Roman"/>
                <w:color w:val="000000"/>
                <w:kern w:val="0"/>
                <w:sz w:val="20"/>
                <w:szCs w:val="20"/>
              </w:rPr>
              <w:t>7</w:t>
            </w:r>
          </w:p>
        </w:tc>
        <w:tc>
          <w:tcPr>
            <w:tcW w:w="850" w:type="dxa"/>
            <w:tcBorders>
              <w:top w:val="nil"/>
              <w:left w:val="nil"/>
              <w:bottom w:val="single" w:sz="4" w:space="0" w:color="auto"/>
              <w:right w:val="single" w:sz="4" w:space="0" w:color="auto"/>
            </w:tcBorders>
            <w:shd w:val="clear" w:color="auto" w:fill="auto"/>
            <w:noWrap/>
            <w:vAlign w:val="center"/>
            <w:hideMark/>
          </w:tcPr>
          <w:p w:rsidR="00382F5A" w:rsidRPr="00382F5A" w:rsidRDefault="00267E1C" w:rsidP="00382F5A">
            <w:pPr>
              <w:widowControl/>
              <w:jc w:val="center"/>
              <w:rPr>
                <w:rFonts w:ascii="Times New Roman" w:eastAsia="宋体" w:hAnsi="Times New Roman" w:cs="Times New Roman"/>
                <w:color w:val="000000"/>
                <w:kern w:val="0"/>
                <w:sz w:val="20"/>
                <w:szCs w:val="20"/>
              </w:rPr>
            </w:pPr>
            <w:r>
              <w:rPr>
                <w:rFonts w:ascii="Times New Roman" w:eastAsia="宋体" w:hAnsi="Times New Roman" w:cs="Times New Roman"/>
                <w:color w:val="000000"/>
                <w:kern w:val="0"/>
                <w:sz w:val="20"/>
                <w:szCs w:val="20"/>
              </w:rPr>
              <w:t>00</w:t>
            </w:r>
            <w:r w:rsidR="00382F5A" w:rsidRPr="00382F5A">
              <w:rPr>
                <w:rFonts w:ascii="Times New Roman" w:eastAsia="宋体" w:hAnsi="Times New Roman" w:cs="Times New Roman"/>
                <w:color w:val="000000"/>
                <w:kern w:val="0"/>
                <w:sz w:val="20"/>
                <w:szCs w:val="20"/>
              </w:rPr>
              <w:t>7143</w:t>
            </w:r>
          </w:p>
        </w:tc>
        <w:tc>
          <w:tcPr>
            <w:tcW w:w="4536" w:type="dxa"/>
            <w:tcBorders>
              <w:top w:val="nil"/>
              <w:left w:val="nil"/>
              <w:bottom w:val="single" w:sz="4" w:space="0" w:color="auto"/>
              <w:right w:val="single" w:sz="4" w:space="0" w:color="auto"/>
            </w:tcBorders>
            <w:shd w:val="clear" w:color="auto" w:fill="auto"/>
            <w:noWrap/>
            <w:vAlign w:val="center"/>
            <w:hideMark/>
          </w:tcPr>
          <w:p w:rsidR="00382F5A" w:rsidRPr="00382F5A" w:rsidRDefault="00382F5A" w:rsidP="00382F5A">
            <w:pPr>
              <w:widowControl/>
              <w:jc w:val="left"/>
              <w:rPr>
                <w:rFonts w:ascii="宋体" w:eastAsia="宋体" w:hAnsi="宋体" w:cs="宋体"/>
                <w:color w:val="000000"/>
                <w:kern w:val="0"/>
                <w:sz w:val="20"/>
                <w:szCs w:val="20"/>
              </w:rPr>
            </w:pPr>
            <w:r w:rsidRPr="00382F5A">
              <w:rPr>
                <w:rFonts w:ascii="宋体" w:eastAsia="宋体" w:hAnsi="宋体" w:cs="宋体" w:hint="eastAsia"/>
                <w:color w:val="000000"/>
                <w:kern w:val="0"/>
                <w:sz w:val="20"/>
                <w:szCs w:val="20"/>
              </w:rPr>
              <w:t>国投瑞银沪深300指数量化增强型证券投资基金</w:t>
            </w:r>
          </w:p>
        </w:tc>
        <w:tc>
          <w:tcPr>
            <w:tcW w:w="1276" w:type="dxa"/>
            <w:tcBorders>
              <w:top w:val="nil"/>
              <w:left w:val="nil"/>
              <w:bottom w:val="single" w:sz="4" w:space="0" w:color="auto"/>
              <w:right w:val="single" w:sz="4" w:space="0" w:color="auto"/>
            </w:tcBorders>
            <w:shd w:val="clear" w:color="auto" w:fill="auto"/>
            <w:noWrap/>
            <w:vAlign w:val="center"/>
            <w:hideMark/>
          </w:tcPr>
          <w:p w:rsidR="00382F5A" w:rsidRPr="00382F5A" w:rsidRDefault="00382F5A" w:rsidP="00382F5A">
            <w:pPr>
              <w:widowControl/>
              <w:jc w:val="center"/>
              <w:rPr>
                <w:rFonts w:ascii="宋体" w:eastAsia="宋体" w:hAnsi="宋体" w:cs="宋体"/>
                <w:color w:val="000000"/>
                <w:kern w:val="0"/>
                <w:sz w:val="20"/>
                <w:szCs w:val="20"/>
              </w:rPr>
            </w:pPr>
            <w:r w:rsidRPr="00382F5A">
              <w:rPr>
                <w:rFonts w:ascii="宋体" w:eastAsia="宋体" w:hAnsi="宋体" w:cs="宋体" w:hint="eastAsia"/>
                <w:color w:val="000000"/>
                <w:kern w:val="0"/>
                <w:sz w:val="20"/>
                <w:szCs w:val="20"/>
              </w:rPr>
              <w:t>是</w:t>
            </w:r>
          </w:p>
        </w:tc>
        <w:tc>
          <w:tcPr>
            <w:tcW w:w="1276" w:type="dxa"/>
            <w:tcBorders>
              <w:top w:val="nil"/>
              <w:left w:val="nil"/>
              <w:bottom w:val="single" w:sz="4" w:space="0" w:color="auto"/>
              <w:right w:val="single" w:sz="4" w:space="0" w:color="auto"/>
            </w:tcBorders>
            <w:shd w:val="clear" w:color="auto" w:fill="auto"/>
            <w:noWrap/>
            <w:vAlign w:val="center"/>
            <w:hideMark/>
          </w:tcPr>
          <w:p w:rsidR="00382F5A" w:rsidRPr="00382F5A" w:rsidRDefault="00382F5A" w:rsidP="00382F5A">
            <w:pPr>
              <w:widowControl/>
              <w:jc w:val="center"/>
              <w:rPr>
                <w:rFonts w:ascii="宋体" w:eastAsia="宋体" w:hAnsi="宋体" w:cs="宋体"/>
                <w:color w:val="000000"/>
                <w:kern w:val="0"/>
                <w:sz w:val="20"/>
                <w:szCs w:val="20"/>
              </w:rPr>
            </w:pPr>
            <w:r w:rsidRPr="00382F5A">
              <w:rPr>
                <w:rFonts w:ascii="宋体" w:eastAsia="宋体" w:hAnsi="宋体" w:cs="宋体" w:hint="eastAsia"/>
                <w:color w:val="000000"/>
                <w:kern w:val="0"/>
                <w:sz w:val="20"/>
                <w:szCs w:val="20"/>
              </w:rPr>
              <w:t>是</w:t>
            </w:r>
          </w:p>
        </w:tc>
        <w:tc>
          <w:tcPr>
            <w:tcW w:w="1276" w:type="dxa"/>
            <w:tcBorders>
              <w:top w:val="nil"/>
              <w:left w:val="nil"/>
              <w:bottom w:val="single" w:sz="4" w:space="0" w:color="auto"/>
              <w:right w:val="single" w:sz="4" w:space="0" w:color="auto"/>
            </w:tcBorders>
            <w:shd w:val="clear" w:color="auto" w:fill="auto"/>
            <w:noWrap/>
            <w:vAlign w:val="center"/>
            <w:hideMark/>
          </w:tcPr>
          <w:p w:rsidR="00382F5A" w:rsidRPr="00382F5A" w:rsidRDefault="00382F5A" w:rsidP="00327031">
            <w:pPr>
              <w:widowControl/>
              <w:jc w:val="center"/>
              <w:rPr>
                <w:rFonts w:ascii="宋体" w:eastAsia="宋体" w:hAnsi="宋体" w:cs="宋体"/>
                <w:color w:val="000000"/>
                <w:kern w:val="0"/>
                <w:sz w:val="20"/>
                <w:szCs w:val="20"/>
              </w:rPr>
            </w:pPr>
            <w:r w:rsidRPr="00382F5A">
              <w:rPr>
                <w:rFonts w:ascii="宋体" w:eastAsia="宋体" w:hAnsi="宋体" w:cs="宋体" w:hint="eastAsia"/>
                <w:color w:val="000000"/>
                <w:kern w:val="0"/>
                <w:sz w:val="20"/>
                <w:szCs w:val="20"/>
              </w:rPr>
              <w:t>是</w:t>
            </w:r>
          </w:p>
        </w:tc>
      </w:tr>
    </w:tbl>
    <w:p w:rsidR="00382F5A" w:rsidRDefault="00382F5A" w:rsidP="00004952">
      <w:pPr>
        <w:adjustRightInd w:val="0"/>
        <w:spacing w:line="360" w:lineRule="auto"/>
        <w:rPr>
          <w:rFonts w:ascii="Arial" w:eastAsia="宋体" w:hAnsi="Arial" w:cs="Arial"/>
          <w:b/>
          <w:sz w:val="24"/>
          <w:szCs w:val="20"/>
        </w:rPr>
      </w:pPr>
    </w:p>
    <w:p w:rsidR="00DE555A" w:rsidRPr="00004952" w:rsidRDefault="00425112">
      <w:pPr>
        <w:spacing w:line="360" w:lineRule="auto"/>
        <w:ind w:right="480" w:firstLineChars="200" w:firstLine="482"/>
        <w:rPr>
          <w:rFonts w:ascii="Arial" w:eastAsia="宋体" w:hAnsi="Arial" w:cs="Arial"/>
          <w:b/>
          <w:sz w:val="24"/>
          <w:szCs w:val="20"/>
        </w:rPr>
      </w:pPr>
      <w:r w:rsidRPr="00004952">
        <w:rPr>
          <w:rFonts w:ascii="Arial" w:eastAsia="宋体" w:hAnsi="Arial" w:cs="Arial" w:hint="eastAsia"/>
          <w:b/>
          <w:sz w:val="24"/>
          <w:szCs w:val="20"/>
        </w:rPr>
        <w:t>二、</w:t>
      </w:r>
      <w:r w:rsidR="00275B9D" w:rsidRPr="00275B9D">
        <w:rPr>
          <w:rFonts w:ascii="Arial" w:eastAsia="宋体" w:hAnsi="Arial" w:cs="Arial" w:hint="eastAsia"/>
          <w:b/>
          <w:sz w:val="24"/>
          <w:szCs w:val="20"/>
        </w:rPr>
        <w:t>根据《指数基金指引》修改相关条款</w:t>
      </w:r>
    </w:p>
    <w:p w:rsidR="00425112" w:rsidRDefault="00275B9D" w:rsidP="00004952">
      <w:pPr>
        <w:adjustRightInd w:val="0"/>
        <w:spacing w:line="360" w:lineRule="auto"/>
        <w:ind w:firstLineChars="200" w:firstLine="480"/>
        <w:rPr>
          <w:rFonts w:ascii="Arial" w:eastAsia="宋体" w:hAnsi="Arial" w:cs="Arial"/>
          <w:sz w:val="24"/>
          <w:szCs w:val="20"/>
        </w:rPr>
      </w:pPr>
      <w:r w:rsidRPr="00275B9D">
        <w:rPr>
          <w:rFonts w:ascii="Arial" w:eastAsia="宋体" w:hAnsi="Arial" w:cs="Arial" w:hint="eastAsia"/>
          <w:sz w:val="24"/>
          <w:szCs w:val="20"/>
        </w:rPr>
        <w:t>根据</w:t>
      </w:r>
      <w:r w:rsidR="000C382C">
        <w:rPr>
          <w:rFonts w:ascii="Arial" w:eastAsia="宋体" w:hAnsi="Arial" w:cs="Arial" w:hint="eastAsia"/>
          <w:sz w:val="24"/>
          <w:szCs w:val="20"/>
        </w:rPr>
        <w:t>中国证监会</w:t>
      </w:r>
      <w:r w:rsidRPr="00275B9D">
        <w:rPr>
          <w:rFonts w:ascii="Arial" w:eastAsia="宋体" w:hAnsi="Arial" w:cs="Arial" w:hint="eastAsia"/>
          <w:sz w:val="24"/>
          <w:szCs w:val="20"/>
        </w:rPr>
        <w:t>2021</w:t>
      </w:r>
      <w:r w:rsidRPr="00275B9D">
        <w:rPr>
          <w:rFonts w:ascii="Arial" w:eastAsia="宋体" w:hAnsi="Arial" w:cs="Arial" w:hint="eastAsia"/>
          <w:sz w:val="24"/>
          <w:szCs w:val="20"/>
        </w:rPr>
        <w:t>年</w:t>
      </w:r>
      <w:r w:rsidRPr="005B1EB6">
        <w:rPr>
          <w:rFonts w:ascii="Arial" w:eastAsia="宋体" w:hAnsi="Arial" w:cs="Arial"/>
          <w:sz w:val="24"/>
          <w:szCs w:val="20"/>
        </w:rPr>
        <w:t>1</w:t>
      </w:r>
      <w:r w:rsidRPr="005B1EB6">
        <w:rPr>
          <w:rFonts w:ascii="Arial" w:eastAsia="宋体" w:hAnsi="Arial" w:cs="Arial" w:hint="eastAsia"/>
          <w:sz w:val="24"/>
          <w:szCs w:val="20"/>
        </w:rPr>
        <w:t>月</w:t>
      </w:r>
      <w:r w:rsidR="005B1EB6" w:rsidRPr="00A47F2E">
        <w:rPr>
          <w:rFonts w:ascii="Arial" w:eastAsia="宋体" w:hAnsi="Arial" w:cs="Arial"/>
          <w:sz w:val="24"/>
          <w:szCs w:val="20"/>
        </w:rPr>
        <w:t>22</w:t>
      </w:r>
      <w:r w:rsidRPr="005B1EB6">
        <w:rPr>
          <w:rFonts w:ascii="Arial" w:eastAsia="宋体" w:hAnsi="Arial" w:cs="Arial" w:hint="eastAsia"/>
          <w:sz w:val="24"/>
          <w:szCs w:val="20"/>
        </w:rPr>
        <w:t>日</w:t>
      </w:r>
      <w:r w:rsidRPr="00275B9D">
        <w:rPr>
          <w:rFonts w:ascii="Arial" w:eastAsia="宋体" w:hAnsi="Arial" w:cs="Arial" w:hint="eastAsia"/>
          <w:sz w:val="24"/>
          <w:szCs w:val="20"/>
        </w:rPr>
        <w:t>发布</w:t>
      </w:r>
      <w:r w:rsidR="000C382C">
        <w:rPr>
          <w:rFonts w:ascii="Arial" w:eastAsia="宋体" w:hAnsi="Arial" w:cs="Arial" w:hint="eastAsia"/>
          <w:sz w:val="24"/>
          <w:szCs w:val="20"/>
        </w:rPr>
        <w:t>的</w:t>
      </w:r>
      <w:r w:rsidRPr="00275B9D">
        <w:rPr>
          <w:rFonts w:ascii="Arial" w:eastAsia="宋体" w:hAnsi="Arial" w:cs="Arial" w:hint="eastAsia"/>
          <w:sz w:val="24"/>
          <w:szCs w:val="20"/>
        </w:rPr>
        <w:t>《公开募集证券投资基金运作指引第</w:t>
      </w:r>
      <w:r w:rsidRPr="00275B9D">
        <w:rPr>
          <w:rFonts w:ascii="Arial" w:eastAsia="宋体" w:hAnsi="Arial" w:cs="Arial" w:hint="eastAsia"/>
          <w:sz w:val="24"/>
          <w:szCs w:val="20"/>
        </w:rPr>
        <w:t>3</w:t>
      </w:r>
      <w:r w:rsidRPr="00275B9D">
        <w:rPr>
          <w:rFonts w:ascii="Arial" w:eastAsia="宋体" w:hAnsi="Arial" w:cs="Arial" w:hint="eastAsia"/>
          <w:sz w:val="24"/>
          <w:szCs w:val="20"/>
        </w:rPr>
        <w:t>号——指数基金指引》，</w:t>
      </w:r>
      <w:r>
        <w:rPr>
          <w:rFonts w:ascii="Arial" w:eastAsia="宋体" w:hAnsi="Arial" w:cs="Arial" w:hint="eastAsia"/>
          <w:sz w:val="24"/>
          <w:szCs w:val="20"/>
        </w:rPr>
        <w:t>本公司</w:t>
      </w:r>
      <w:r w:rsidRPr="00275B9D">
        <w:rPr>
          <w:rFonts w:ascii="Arial" w:eastAsia="宋体" w:hAnsi="Arial" w:cs="Arial" w:hint="eastAsia"/>
          <w:sz w:val="24"/>
          <w:szCs w:val="20"/>
        </w:rPr>
        <w:t>拟修改上述</w:t>
      </w:r>
      <w:r w:rsidRPr="00275B9D">
        <w:rPr>
          <w:rFonts w:ascii="Arial" w:eastAsia="宋体" w:hAnsi="Arial" w:cs="Arial" w:hint="eastAsia"/>
          <w:sz w:val="24"/>
          <w:szCs w:val="20"/>
        </w:rPr>
        <w:t>7</w:t>
      </w:r>
      <w:r>
        <w:rPr>
          <w:rFonts w:ascii="Arial" w:eastAsia="宋体" w:hAnsi="Arial" w:cs="Arial" w:hint="eastAsia"/>
          <w:sz w:val="24"/>
          <w:szCs w:val="20"/>
        </w:rPr>
        <w:t>只</w:t>
      </w:r>
      <w:r w:rsidRPr="00275B9D">
        <w:rPr>
          <w:rFonts w:ascii="Arial" w:eastAsia="宋体" w:hAnsi="Arial" w:cs="Arial" w:hint="eastAsia"/>
          <w:sz w:val="24"/>
          <w:szCs w:val="20"/>
        </w:rPr>
        <w:t>基金的基金合同的相关条款</w:t>
      </w:r>
      <w:r>
        <w:rPr>
          <w:rFonts w:ascii="Arial" w:eastAsia="宋体" w:hAnsi="Arial" w:cs="Arial" w:hint="eastAsia"/>
          <w:sz w:val="24"/>
          <w:szCs w:val="20"/>
        </w:rPr>
        <w:t>，主要涉及前言、释义、基金的投资、基金合同的变更、终止与基金财产的清</w:t>
      </w:r>
      <w:r>
        <w:rPr>
          <w:rFonts w:ascii="Arial" w:eastAsia="宋体" w:hAnsi="Arial" w:cs="Arial" w:hint="eastAsia"/>
          <w:sz w:val="24"/>
          <w:szCs w:val="20"/>
        </w:rPr>
        <w:lastRenderedPageBreak/>
        <w:t>算等章节</w:t>
      </w:r>
      <w:r w:rsidR="00382F5A">
        <w:rPr>
          <w:rFonts w:ascii="Arial" w:eastAsia="宋体" w:hAnsi="Arial" w:cs="Arial" w:hint="eastAsia"/>
          <w:sz w:val="24"/>
          <w:szCs w:val="20"/>
        </w:rPr>
        <w:t>，</w:t>
      </w:r>
      <w:r w:rsidR="00004952" w:rsidRPr="00004952">
        <w:rPr>
          <w:rFonts w:ascii="Arial" w:eastAsia="宋体" w:hAnsi="Arial" w:cs="Arial" w:hint="eastAsia"/>
          <w:sz w:val="24"/>
          <w:szCs w:val="20"/>
        </w:rPr>
        <w:t>并在招募说明书中列明标的指数的编制方法、可供投资者免费查询指数信息的途径及补充指数基金的风险揭示</w:t>
      </w:r>
      <w:r w:rsidRPr="00275B9D">
        <w:rPr>
          <w:rFonts w:ascii="Arial" w:eastAsia="宋体" w:hAnsi="Arial" w:cs="Arial" w:hint="eastAsia"/>
          <w:sz w:val="24"/>
          <w:szCs w:val="20"/>
        </w:rPr>
        <w:t>。</w:t>
      </w:r>
    </w:p>
    <w:p w:rsidR="00275B9D" w:rsidRDefault="00275B9D">
      <w:pPr>
        <w:spacing w:line="360" w:lineRule="auto"/>
        <w:ind w:right="480" w:firstLineChars="200" w:firstLine="480"/>
        <w:rPr>
          <w:rFonts w:ascii="Arial" w:eastAsia="宋体" w:hAnsi="Arial" w:cs="Arial"/>
          <w:sz w:val="24"/>
          <w:szCs w:val="20"/>
        </w:rPr>
      </w:pPr>
    </w:p>
    <w:p w:rsidR="00425112" w:rsidRPr="00004952" w:rsidRDefault="00425112" w:rsidP="00425112">
      <w:pPr>
        <w:adjustRightInd w:val="0"/>
        <w:spacing w:line="360" w:lineRule="auto"/>
        <w:ind w:firstLineChars="200" w:firstLine="482"/>
        <w:rPr>
          <w:rFonts w:ascii="Arial" w:eastAsia="宋体" w:hAnsi="Arial" w:cs="Arial"/>
          <w:b/>
          <w:sz w:val="24"/>
          <w:szCs w:val="20"/>
        </w:rPr>
      </w:pPr>
      <w:r w:rsidRPr="00004952">
        <w:rPr>
          <w:rFonts w:ascii="Arial" w:eastAsia="宋体" w:hAnsi="Arial" w:cs="Arial" w:hint="eastAsia"/>
          <w:b/>
          <w:sz w:val="24"/>
          <w:szCs w:val="20"/>
        </w:rPr>
        <w:t>三、明确投资范围中包含存托凭证</w:t>
      </w:r>
    </w:p>
    <w:p w:rsidR="00425112" w:rsidRDefault="00425112" w:rsidP="00425112">
      <w:pPr>
        <w:adjustRightInd w:val="0"/>
        <w:spacing w:line="360" w:lineRule="auto"/>
        <w:ind w:firstLineChars="200" w:firstLine="480"/>
        <w:rPr>
          <w:rFonts w:ascii="Arial" w:eastAsia="宋体" w:hAnsi="Arial" w:cs="Arial"/>
          <w:sz w:val="24"/>
          <w:szCs w:val="20"/>
        </w:rPr>
      </w:pPr>
      <w:r w:rsidRPr="00425112">
        <w:rPr>
          <w:rFonts w:ascii="Arial" w:eastAsia="宋体" w:hAnsi="Arial" w:cs="Arial" w:hint="eastAsia"/>
          <w:sz w:val="24"/>
          <w:szCs w:val="20"/>
        </w:rPr>
        <w:t>明确</w:t>
      </w:r>
      <w:r>
        <w:rPr>
          <w:rFonts w:ascii="Arial" w:eastAsia="宋体" w:hAnsi="Arial" w:cs="Arial" w:hint="eastAsia"/>
          <w:sz w:val="24"/>
          <w:szCs w:val="20"/>
        </w:rPr>
        <w:t>上述</w:t>
      </w:r>
      <w:r>
        <w:rPr>
          <w:rFonts w:ascii="Arial" w:eastAsia="宋体" w:hAnsi="Arial" w:cs="Arial" w:hint="eastAsia"/>
          <w:sz w:val="24"/>
          <w:szCs w:val="20"/>
        </w:rPr>
        <w:t>7</w:t>
      </w:r>
      <w:r>
        <w:rPr>
          <w:rFonts w:ascii="Arial" w:eastAsia="宋体" w:hAnsi="Arial" w:cs="Arial" w:hint="eastAsia"/>
          <w:sz w:val="24"/>
          <w:szCs w:val="20"/>
        </w:rPr>
        <w:t>只</w:t>
      </w:r>
      <w:r w:rsidRPr="00425112">
        <w:rPr>
          <w:rFonts w:ascii="Arial" w:eastAsia="宋体" w:hAnsi="Arial" w:cs="Arial" w:hint="eastAsia"/>
          <w:sz w:val="24"/>
          <w:szCs w:val="20"/>
        </w:rPr>
        <w:t>基金投资范围中</w:t>
      </w:r>
      <w:r w:rsidR="00136E20">
        <w:rPr>
          <w:rFonts w:ascii="Arial" w:eastAsia="宋体" w:hAnsi="Arial" w:cs="Arial" w:hint="eastAsia"/>
          <w:sz w:val="24"/>
          <w:szCs w:val="20"/>
        </w:rPr>
        <w:t>的股票</w:t>
      </w:r>
      <w:r w:rsidRPr="00425112">
        <w:rPr>
          <w:rFonts w:ascii="Arial" w:eastAsia="宋体" w:hAnsi="Arial" w:cs="Arial" w:hint="eastAsia"/>
          <w:sz w:val="24"/>
          <w:szCs w:val="20"/>
        </w:rPr>
        <w:t>包含存托凭证，同时相应调整</w:t>
      </w:r>
      <w:r>
        <w:rPr>
          <w:rFonts w:ascii="Arial" w:eastAsia="宋体" w:hAnsi="Arial" w:cs="Arial" w:hint="eastAsia"/>
          <w:sz w:val="24"/>
          <w:szCs w:val="20"/>
        </w:rPr>
        <w:t>上述</w:t>
      </w:r>
      <w:r>
        <w:rPr>
          <w:rFonts w:ascii="Arial" w:eastAsia="宋体" w:hAnsi="Arial" w:cs="Arial" w:hint="eastAsia"/>
          <w:sz w:val="24"/>
          <w:szCs w:val="20"/>
        </w:rPr>
        <w:t>7</w:t>
      </w:r>
      <w:r>
        <w:rPr>
          <w:rFonts w:ascii="Arial" w:eastAsia="宋体" w:hAnsi="Arial" w:cs="Arial" w:hint="eastAsia"/>
          <w:sz w:val="24"/>
          <w:szCs w:val="20"/>
        </w:rPr>
        <w:t>只</w:t>
      </w:r>
      <w:r w:rsidRPr="00425112">
        <w:rPr>
          <w:rFonts w:ascii="Arial" w:eastAsia="宋体" w:hAnsi="Arial" w:cs="Arial" w:hint="eastAsia"/>
          <w:sz w:val="24"/>
          <w:szCs w:val="20"/>
        </w:rPr>
        <w:t>基金投资策略、投资比例及限制，补充投资存托凭证的风险揭示以及估值等相关内容。</w:t>
      </w:r>
    </w:p>
    <w:p w:rsidR="00425112" w:rsidRDefault="00425112">
      <w:pPr>
        <w:spacing w:line="360" w:lineRule="auto"/>
        <w:ind w:right="480" w:firstLineChars="200" w:firstLine="480"/>
        <w:rPr>
          <w:rFonts w:ascii="Arial" w:eastAsia="宋体" w:hAnsi="Arial" w:cs="Arial"/>
          <w:sz w:val="24"/>
          <w:szCs w:val="20"/>
        </w:rPr>
      </w:pPr>
    </w:p>
    <w:p w:rsidR="00852833" w:rsidRPr="00004952" w:rsidRDefault="00852833" w:rsidP="00852833">
      <w:pPr>
        <w:spacing w:line="360" w:lineRule="auto"/>
        <w:ind w:right="480" w:firstLineChars="200" w:firstLine="482"/>
        <w:rPr>
          <w:rFonts w:ascii="Arial" w:eastAsia="宋体" w:hAnsi="Arial" w:cs="Arial"/>
          <w:b/>
          <w:sz w:val="24"/>
          <w:szCs w:val="20"/>
        </w:rPr>
      </w:pPr>
      <w:r>
        <w:rPr>
          <w:rFonts w:ascii="Arial" w:eastAsia="宋体" w:hAnsi="Arial" w:cs="Arial" w:hint="eastAsia"/>
          <w:b/>
          <w:sz w:val="24"/>
          <w:szCs w:val="20"/>
        </w:rPr>
        <w:t>四</w:t>
      </w:r>
      <w:r w:rsidRPr="00004952">
        <w:rPr>
          <w:rFonts w:ascii="Arial" w:eastAsia="宋体" w:hAnsi="Arial" w:cs="Arial" w:hint="eastAsia"/>
          <w:b/>
          <w:sz w:val="24"/>
          <w:szCs w:val="20"/>
        </w:rPr>
        <w:t>、增加侧袋机制相关内容</w:t>
      </w:r>
    </w:p>
    <w:p w:rsidR="00852833" w:rsidRDefault="00852833" w:rsidP="00004952">
      <w:pPr>
        <w:adjustRightInd w:val="0"/>
        <w:spacing w:line="360" w:lineRule="auto"/>
        <w:ind w:firstLineChars="200" w:firstLine="480"/>
        <w:rPr>
          <w:rFonts w:ascii="Arial" w:eastAsia="宋体" w:hAnsi="Arial" w:cs="Arial"/>
          <w:sz w:val="24"/>
          <w:szCs w:val="20"/>
        </w:rPr>
      </w:pPr>
      <w:r w:rsidRPr="00852833">
        <w:rPr>
          <w:rFonts w:ascii="Arial" w:eastAsia="宋体" w:hAnsi="Arial" w:cs="Arial" w:hint="eastAsia"/>
          <w:sz w:val="24"/>
          <w:szCs w:val="20"/>
        </w:rPr>
        <w:t>根据自</w:t>
      </w:r>
      <w:r w:rsidRPr="00852833">
        <w:rPr>
          <w:rFonts w:ascii="Arial" w:eastAsia="宋体" w:hAnsi="Arial" w:cs="Arial" w:hint="eastAsia"/>
          <w:sz w:val="24"/>
          <w:szCs w:val="20"/>
        </w:rPr>
        <w:t>2020</w:t>
      </w:r>
      <w:r w:rsidRPr="00852833">
        <w:rPr>
          <w:rFonts w:ascii="Arial" w:eastAsia="宋体" w:hAnsi="Arial" w:cs="Arial" w:hint="eastAsia"/>
          <w:sz w:val="24"/>
          <w:szCs w:val="20"/>
        </w:rPr>
        <w:t>年</w:t>
      </w:r>
      <w:r w:rsidRPr="00852833">
        <w:rPr>
          <w:rFonts w:ascii="Arial" w:eastAsia="宋体" w:hAnsi="Arial" w:cs="Arial" w:hint="eastAsia"/>
          <w:sz w:val="24"/>
          <w:szCs w:val="20"/>
        </w:rPr>
        <w:t>8</w:t>
      </w:r>
      <w:r w:rsidRPr="00852833">
        <w:rPr>
          <w:rFonts w:ascii="Arial" w:eastAsia="宋体" w:hAnsi="Arial" w:cs="Arial" w:hint="eastAsia"/>
          <w:sz w:val="24"/>
          <w:szCs w:val="20"/>
        </w:rPr>
        <w:t>月</w:t>
      </w:r>
      <w:r w:rsidRPr="00852833">
        <w:rPr>
          <w:rFonts w:ascii="Arial" w:eastAsia="宋体" w:hAnsi="Arial" w:cs="Arial" w:hint="eastAsia"/>
          <w:sz w:val="24"/>
          <w:szCs w:val="20"/>
        </w:rPr>
        <w:t>1</w:t>
      </w:r>
      <w:r w:rsidRPr="00852833">
        <w:rPr>
          <w:rFonts w:ascii="Arial" w:eastAsia="宋体" w:hAnsi="Arial" w:cs="Arial" w:hint="eastAsia"/>
          <w:sz w:val="24"/>
          <w:szCs w:val="20"/>
        </w:rPr>
        <w:t>日起施行的《公开募集证券投资基金侧袋机制指引（试行）》，</w:t>
      </w:r>
      <w:r w:rsidR="00382F5A" w:rsidRPr="00382F5A">
        <w:rPr>
          <w:rFonts w:ascii="Arial" w:eastAsia="宋体" w:hAnsi="Arial" w:cs="Arial" w:hint="eastAsia"/>
          <w:sz w:val="24"/>
          <w:szCs w:val="20"/>
        </w:rPr>
        <w:t>上述国投瑞银中证</w:t>
      </w:r>
      <w:r w:rsidR="00382F5A" w:rsidRPr="00382F5A">
        <w:rPr>
          <w:rFonts w:ascii="Arial" w:eastAsia="宋体" w:hAnsi="Arial" w:cs="Arial" w:hint="eastAsia"/>
          <w:sz w:val="24"/>
          <w:szCs w:val="20"/>
        </w:rPr>
        <w:t>500</w:t>
      </w:r>
      <w:r w:rsidR="00382F5A" w:rsidRPr="00382F5A">
        <w:rPr>
          <w:rFonts w:ascii="Arial" w:eastAsia="宋体" w:hAnsi="Arial" w:cs="Arial" w:hint="eastAsia"/>
          <w:sz w:val="24"/>
          <w:szCs w:val="20"/>
        </w:rPr>
        <w:t>指数量化增强型证券投资基金、国投瑞银沪深</w:t>
      </w:r>
      <w:r w:rsidR="00382F5A" w:rsidRPr="00382F5A">
        <w:rPr>
          <w:rFonts w:ascii="Arial" w:eastAsia="宋体" w:hAnsi="Arial" w:cs="Arial" w:hint="eastAsia"/>
          <w:sz w:val="24"/>
          <w:szCs w:val="20"/>
        </w:rPr>
        <w:t>300</w:t>
      </w:r>
      <w:r w:rsidR="00382F5A" w:rsidRPr="00382F5A">
        <w:rPr>
          <w:rFonts w:ascii="Arial" w:eastAsia="宋体" w:hAnsi="Arial" w:cs="Arial" w:hint="eastAsia"/>
          <w:sz w:val="24"/>
          <w:szCs w:val="20"/>
        </w:rPr>
        <w:t>指数量化增强型证券投资基金</w:t>
      </w:r>
      <w:r w:rsidR="004D0C26">
        <w:rPr>
          <w:rFonts w:ascii="Arial" w:eastAsia="宋体" w:hAnsi="Arial" w:cs="Arial" w:hint="eastAsia"/>
          <w:sz w:val="24"/>
          <w:szCs w:val="20"/>
        </w:rPr>
        <w:t>的基金合同</w:t>
      </w:r>
      <w:r w:rsidRPr="00852833">
        <w:rPr>
          <w:rFonts w:ascii="Arial" w:eastAsia="宋体" w:hAnsi="Arial" w:cs="Arial" w:hint="eastAsia"/>
          <w:sz w:val="24"/>
          <w:szCs w:val="20"/>
        </w:rPr>
        <w:t>中</w:t>
      </w:r>
      <w:r w:rsidR="00382F5A">
        <w:rPr>
          <w:rFonts w:ascii="Arial" w:eastAsia="宋体" w:hAnsi="Arial" w:cs="Arial" w:hint="eastAsia"/>
          <w:sz w:val="24"/>
          <w:szCs w:val="20"/>
        </w:rPr>
        <w:t>除</w:t>
      </w:r>
      <w:r w:rsidR="00382F5A" w:rsidRPr="00382F5A">
        <w:rPr>
          <w:rFonts w:ascii="Arial" w:eastAsia="宋体" w:hAnsi="Arial" w:cs="Arial" w:hint="eastAsia"/>
          <w:sz w:val="24"/>
          <w:szCs w:val="20"/>
        </w:rPr>
        <w:t>根据《指数基金指引》修改相关条款、投资范围中增加存托凭证</w:t>
      </w:r>
      <w:r w:rsidR="000C382C">
        <w:rPr>
          <w:rFonts w:ascii="Arial" w:eastAsia="宋体" w:hAnsi="Arial" w:cs="Arial" w:hint="eastAsia"/>
          <w:sz w:val="24"/>
          <w:szCs w:val="20"/>
        </w:rPr>
        <w:t>外</w:t>
      </w:r>
      <w:r w:rsidR="00382F5A">
        <w:rPr>
          <w:rFonts w:ascii="Arial" w:eastAsia="宋体" w:hAnsi="Arial" w:cs="Arial" w:hint="eastAsia"/>
          <w:sz w:val="24"/>
          <w:szCs w:val="20"/>
        </w:rPr>
        <w:t>，同步</w:t>
      </w:r>
      <w:r w:rsidRPr="00852833">
        <w:rPr>
          <w:rFonts w:ascii="Arial" w:eastAsia="宋体" w:hAnsi="Arial" w:cs="Arial" w:hint="eastAsia"/>
          <w:sz w:val="24"/>
          <w:szCs w:val="20"/>
        </w:rPr>
        <w:t>增加侧袋机制相关内容。</w:t>
      </w:r>
      <w:r w:rsidR="004D0C26" w:rsidRPr="004D0C26">
        <w:rPr>
          <w:rFonts w:ascii="Arial" w:eastAsia="宋体" w:hAnsi="Arial" w:cs="Arial" w:hint="eastAsia"/>
          <w:sz w:val="24"/>
          <w:szCs w:val="20"/>
        </w:rPr>
        <w:t>增加侧袋机制</w:t>
      </w:r>
      <w:r w:rsidR="004D0C26">
        <w:rPr>
          <w:rFonts w:ascii="Arial" w:eastAsia="宋体" w:hAnsi="Arial" w:cs="Arial" w:hint="eastAsia"/>
          <w:sz w:val="24"/>
          <w:szCs w:val="20"/>
        </w:rPr>
        <w:t>修订的相关</w:t>
      </w:r>
      <w:r w:rsidRPr="00852833">
        <w:rPr>
          <w:rFonts w:ascii="Arial" w:eastAsia="宋体" w:hAnsi="Arial" w:cs="Arial" w:hint="eastAsia"/>
          <w:sz w:val="24"/>
          <w:szCs w:val="20"/>
        </w:rPr>
        <w:t>内容主要在前言、释义、基金份额的申购与赎回、基金合同当事人及权利义务、基金份额持有人大会、基金的投资、基金资产估值、基金费用与税收、基金的收</w:t>
      </w:r>
      <w:r w:rsidR="004D0C26">
        <w:rPr>
          <w:rFonts w:ascii="Arial" w:eastAsia="宋体" w:hAnsi="Arial" w:cs="Arial" w:hint="eastAsia"/>
          <w:sz w:val="24"/>
          <w:szCs w:val="20"/>
        </w:rPr>
        <w:t>益与分配和基金的信息披露等章节中增加与侧袋机制相关的条款</w:t>
      </w:r>
      <w:r w:rsidRPr="00852833">
        <w:rPr>
          <w:rFonts w:ascii="Arial" w:eastAsia="宋体" w:hAnsi="Arial" w:cs="Arial" w:hint="eastAsia"/>
          <w:sz w:val="24"/>
          <w:szCs w:val="20"/>
        </w:rPr>
        <w:t>。</w:t>
      </w:r>
    </w:p>
    <w:p w:rsidR="00004952" w:rsidRDefault="00004952" w:rsidP="00004952">
      <w:pPr>
        <w:adjustRightInd w:val="0"/>
        <w:spacing w:line="360" w:lineRule="auto"/>
        <w:ind w:firstLineChars="200" w:firstLine="480"/>
        <w:rPr>
          <w:rFonts w:ascii="Arial" w:eastAsia="宋体" w:hAnsi="Arial" w:cs="Arial"/>
          <w:sz w:val="24"/>
          <w:szCs w:val="20"/>
        </w:rPr>
      </w:pPr>
    </w:p>
    <w:p w:rsidR="00134731" w:rsidRPr="00004952" w:rsidRDefault="00004952" w:rsidP="00004952">
      <w:pPr>
        <w:adjustRightInd w:val="0"/>
        <w:spacing w:line="360" w:lineRule="auto"/>
        <w:ind w:firstLineChars="200" w:firstLine="480"/>
        <w:rPr>
          <w:rFonts w:ascii="Arial" w:eastAsia="宋体" w:hAnsi="Arial" w:cs="Arial"/>
          <w:sz w:val="24"/>
          <w:szCs w:val="20"/>
        </w:rPr>
      </w:pPr>
      <w:r>
        <w:rPr>
          <w:rFonts w:ascii="Arial" w:eastAsia="宋体" w:hAnsi="Arial" w:cs="Arial" w:hint="eastAsia"/>
          <w:sz w:val="24"/>
          <w:szCs w:val="20"/>
        </w:rPr>
        <w:t>相关</w:t>
      </w:r>
      <w:r w:rsidRPr="00004952">
        <w:rPr>
          <w:rFonts w:ascii="Arial" w:eastAsia="宋体" w:hAnsi="Arial" w:cs="Arial" w:hint="eastAsia"/>
          <w:sz w:val="24"/>
          <w:szCs w:val="20"/>
        </w:rPr>
        <w:t>基金的托管协议、招募说明书、</w:t>
      </w:r>
      <w:r w:rsidR="00A15BE5">
        <w:rPr>
          <w:rFonts w:ascii="Arial" w:eastAsia="宋体" w:hAnsi="Arial" w:cs="Arial" w:hint="eastAsia"/>
          <w:sz w:val="24"/>
          <w:szCs w:val="20"/>
        </w:rPr>
        <w:t>基金</w:t>
      </w:r>
      <w:r w:rsidRPr="00004952">
        <w:rPr>
          <w:rFonts w:ascii="Arial" w:eastAsia="宋体" w:hAnsi="Arial" w:cs="Arial" w:hint="eastAsia"/>
          <w:sz w:val="24"/>
          <w:szCs w:val="20"/>
        </w:rPr>
        <w:t>产品资料概要中涉及的上述修改内容已做同步修改</w:t>
      </w:r>
      <w:r>
        <w:rPr>
          <w:rFonts w:ascii="Arial" w:eastAsia="宋体" w:hAnsi="Arial" w:cs="Arial" w:hint="eastAsia"/>
          <w:sz w:val="24"/>
          <w:szCs w:val="20"/>
        </w:rPr>
        <w:t>，</w:t>
      </w:r>
      <w:r w:rsidR="00530571" w:rsidRPr="00004952">
        <w:rPr>
          <w:rFonts w:ascii="Arial" w:eastAsia="宋体" w:hAnsi="Arial" w:cs="Arial" w:hint="eastAsia"/>
          <w:sz w:val="24"/>
          <w:szCs w:val="20"/>
        </w:rPr>
        <w:t>本公司将依照《公开募集</w:t>
      </w:r>
      <w:r w:rsidR="00851715" w:rsidRPr="00004952">
        <w:rPr>
          <w:rFonts w:ascii="Arial" w:eastAsia="宋体" w:hAnsi="Arial" w:cs="Arial" w:hint="eastAsia"/>
          <w:sz w:val="24"/>
          <w:szCs w:val="20"/>
        </w:rPr>
        <w:t>证券投资基金信息披露管理办法》的有关规定在规定媒介公告修订后的相关</w:t>
      </w:r>
      <w:r w:rsidR="00530571" w:rsidRPr="00004952">
        <w:rPr>
          <w:rFonts w:ascii="Arial" w:eastAsia="宋体" w:hAnsi="Arial" w:cs="Arial" w:hint="eastAsia"/>
          <w:sz w:val="24"/>
          <w:szCs w:val="20"/>
        </w:rPr>
        <w:t>基金基金合同、托管协议、招募说明书</w:t>
      </w:r>
      <w:r w:rsidR="00851715" w:rsidRPr="00004952">
        <w:rPr>
          <w:rFonts w:ascii="Arial" w:eastAsia="宋体" w:hAnsi="Arial" w:cs="Arial" w:hint="eastAsia"/>
          <w:sz w:val="24"/>
          <w:szCs w:val="20"/>
        </w:rPr>
        <w:t>（更新）</w:t>
      </w:r>
      <w:r w:rsidR="00530571" w:rsidRPr="00004952">
        <w:rPr>
          <w:rFonts w:ascii="Arial" w:eastAsia="宋体" w:hAnsi="Arial" w:cs="Arial" w:hint="eastAsia"/>
          <w:sz w:val="24"/>
          <w:szCs w:val="20"/>
        </w:rPr>
        <w:t>及基金产品资料概要</w:t>
      </w:r>
      <w:r w:rsidR="00F013C6" w:rsidRPr="003E5F3B">
        <w:rPr>
          <w:rFonts w:ascii="Arial" w:eastAsia="宋体" w:hAnsi="Arial" w:cs="Arial" w:hint="eastAsia"/>
          <w:sz w:val="24"/>
          <w:szCs w:val="20"/>
        </w:rPr>
        <w:t>（更新）</w:t>
      </w:r>
      <w:r w:rsidR="00530571" w:rsidRPr="00004952">
        <w:rPr>
          <w:rFonts w:ascii="Arial" w:eastAsia="宋体" w:hAnsi="Arial" w:cs="Arial" w:hint="eastAsia"/>
          <w:sz w:val="24"/>
          <w:szCs w:val="20"/>
        </w:rPr>
        <w:t>。投资者可通过本公司网站（</w:t>
      </w:r>
      <w:r w:rsidR="00530571" w:rsidRPr="00004952">
        <w:rPr>
          <w:rFonts w:ascii="Arial" w:eastAsia="宋体" w:hAnsi="Arial" w:cs="Arial"/>
          <w:sz w:val="24"/>
          <w:szCs w:val="20"/>
        </w:rPr>
        <w:t>www.ubssdic.com</w:t>
      </w:r>
      <w:r w:rsidR="00530571" w:rsidRPr="00004952">
        <w:rPr>
          <w:rFonts w:ascii="Arial" w:eastAsia="宋体" w:hAnsi="Arial" w:cs="Arial" w:hint="eastAsia"/>
          <w:sz w:val="24"/>
          <w:szCs w:val="20"/>
        </w:rPr>
        <w:t>）或中国证监会基金电子披露网站（</w:t>
      </w:r>
      <w:r w:rsidR="00530571" w:rsidRPr="00004952">
        <w:rPr>
          <w:rFonts w:ascii="Arial" w:eastAsia="宋体" w:hAnsi="Arial" w:cs="Arial"/>
          <w:sz w:val="24"/>
          <w:szCs w:val="20"/>
        </w:rPr>
        <w:t>http://eid.csrc.gov.cn/fund</w:t>
      </w:r>
      <w:r w:rsidR="00530571" w:rsidRPr="00004952">
        <w:rPr>
          <w:rFonts w:ascii="Arial" w:eastAsia="宋体" w:hAnsi="Arial" w:cs="Arial" w:hint="eastAsia"/>
          <w:sz w:val="24"/>
          <w:szCs w:val="20"/>
        </w:rPr>
        <w:t>）查阅</w:t>
      </w:r>
      <w:r w:rsidR="00151EBB" w:rsidRPr="00004952">
        <w:rPr>
          <w:rFonts w:ascii="Arial" w:eastAsia="宋体" w:hAnsi="Arial" w:cs="Arial" w:hint="eastAsia"/>
          <w:sz w:val="24"/>
          <w:szCs w:val="20"/>
        </w:rPr>
        <w:t>相关</w:t>
      </w:r>
      <w:r w:rsidR="00530571" w:rsidRPr="00004952">
        <w:rPr>
          <w:rFonts w:ascii="Arial" w:eastAsia="宋体" w:hAnsi="Arial" w:cs="Arial" w:hint="eastAsia"/>
          <w:sz w:val="24"/>
          <w:szCs w:val="20"/>
        </w:rPr>
        <w:t>基金修订后的法律文件。本次修订对基金份额持有人利益无实质性不利影响，并已履行了规定的程序，符合相关法律法规的规定，修订自</w:t>
      </w:r>
      <w:r w:rsidR="00DC38CA" w:rsidRPr="00DC38CA">
        <w:rPr>
          <w:rFonts w:asciiTheme="minorEastAsia" w:hAnsiTheme="minorEastAsia" w:cs="Arial"/>
          <w:sz w:val="24"/>
          <w:szCs w:val="20"/>
        </w:rPr>
        <w:t>2021</w:t>
      </w:r>
      <w:r w:rsidR="00530571" w:rsidRPr="00DC38CA">
        <w:rPr>
          <w:rFonts w:asciiTheme="minorEastAsia" w:hAnsiTheme="minorEastAsia" w:cs="Arial" w:hint="eastAsia"/>
          <w:sz w:val="24"/>
          <w:szCs w:val="20"/>
        </w:rPr>
        <w:t>年</w:t>
      </w:r>
      <w:r w:rsidR="00DC38CA" w:rsidRPr="00DC38CA">
        <w:rPr>
          <w:rFonts w:asciiTheme="minorEastAsia" w:hAnsiTheme="minorEastAsia" w:cs="Arial"/>
          <w:sz w:val="24"/>
          <w:szCs w:val="20"/>
        </w:rPr>
        <w:t>3</w:t>
      </w:r>
      <w:r w:rsidR="00530571" w:rsidRPr="00DC38CA">
        <w:rPr>
          <w:rFonts w:asciiTheme="minorEastAsia" w:hAnsiTheme="minorEastAsia" w:cs="Arial" w:hint="eastAsia"/>
          <w:sz w:val="24"/>
          <w:szCs w:val="20"/>
        </w:rPr>
        <w:t>月</w:t>
      </w:r>
      <w:r w:rsidR="00DC38CA" w:rsidRPr="00DC38CA">
        <w:rPr>
          <w:rFonts w:asciiTheme="minorEastAsia" w:hAnsiTheme="minorEastAsia" w:cs="Arial"/>
          <w:sz w:val="24"/>
          <w:szCs w:val="20"/>
        </w:rPr>
        <w:t>30</w:t>
      </w:r>
      <w:r w:rsidR="00530571" w:rsidRPr="00004952">
        <w:rPr>
          <w:rFonts w:ascii="Arial" w:eastAsia="宋体" w:hAnsi="Arial" w:cs="Arial" w:hint="eastAsia"/>
          <w:sz w:val="24"/>
          <w:szCs w:val="20"/>
        </w:rPr>
        <w:t>日起生效。</w:t>
      </w:r>
    </w:p>
    <w:p w:rsidR="00384BDC" w:rsidRPr="00004952" w:rsidRDefault="00134731" w:rsidP="00004952">
      <w:pPr>
        <w:adjustRightInd w:val="0"/>
        <w:spacing w:line="360" w:lineRule="auto"/>
        <w:ind w:firstLineChars="200" w:firstLine="480"/>
        <w:rPr>
          <w:rFonts w:ascii="Arial" w:eastAsia="宋体" w:hAnsi="Arial" w:cs="Arial"/>
          <w:sz w:val="24"/>
          <w:szCs w:val="20"/>
        </w:rPr>
      </w:pPr>
      <w:r w:rsidRPr="00004952">
        <w:rPr>
          <w:rFonts w:ascii="Arial" w:eastAsia="宋体" w:hAnsi="Arial" w:cs="Arial" w:hint="eastAsia"/>
          <w:sz w:val="24"/>
          <w:szCs w:val="20"/>
        </w:rPr>
        <w:t>风险提示：本公司承诺以诚实信用、勤勉尽责的原则管理和运用基金资产，但不保证基金一定盈利，也不保证最低收益。基金的过往业绩并不代表其将来表现。投资有风险，敬请投资人认真阅读基金的相关法律文件，并选择适合自身风险承受能力的投资品种进行投资。</w:t>
      </w:r>
    </w:p>
    <w:p w:rsidR="00384BDC" w:rsidRPr="00004952" w:rsidRDefault="00134731" w:rsidP="00004952">
      <w:pPr>
        <w:adjustRightInd w:val="0"/>
        <w:spacing w:line="360" w:lineRule="auto"/>
        <w:ind w:firstLineChars="200" w:firstLine="480"/>
        <w:rPr>
          <w:rFonts w:ascii="Arial" w:eastAsia="宋体" w:hAnsi="Arial" w:cs="Arial"/>
          <w:sz w:val="24"/>
          <w:szCs w:val="20"/>
        </w:rPr>
      </w:pPr>
      <w:r w:rsidRPr="00004952">
        <w:rPr>
          <w:rFonts w:ascii="Arial" w:eastAsia="宋体" w:hAnsi="Arial" w:cs="Arial"/>
          <w:sz w:val="24"/>
          <w:szCs w:val="20"/>
        </w:rPr>
        <w:t xml:space="preserve">    </w:t>
      </w:r>
      <w:r w:rsidR="001C2D77" w:rsidRPr="00004952">
        <w:rPr>
          <w:rFonts w:ascii="Arial" w:eastAsia="宋体" w:hAnsi="Arial" w:cs="Arial" w:hint="eastAsia"/>
          <w:sz w:val="24"/>
          <w:szCs w:val="20"/>
        </w:rPr>
        <w:t>特此公告。</w:t>
      </w:r>
    </w:p>
    <w:p w:rsidR="00384BDC" w:rsidRPr="00004952" w:rsidRDefault="001C2D77" w:rsidP="00004952">
      <w:pPr>
        <w:adjustRightInd w:val="0"/>
        <w:spacing w:line="360" w:lineRule="auto"/>
        <w:ind w:firstLineChars="200" w:firstLine="480"/>
        <w:rPr>
          <w:rFonts w:ascii="Arial" w:eastAsia="宋体" w:hAnsi="Arial" w:cs="Arial"/>
          <w:sz w:val="24"/>
          <w:szCs w:val="20"/>
        </w:rPr>
      </w:pPr>
      <w:r w:rsidRPr="00004952">
        <w:rPr>
          <w:rFonts w:ascii="Arial" w:eastAsia="宋体" w:hAnsi="Arial" w:cs="Arial"/>
          <w:sz w:val="24"/>
          <w:szCs w:val="20"/>
        </w:rPr>
        <w:t xml:space="preserve"> </w:t>
      </w:r>
    </w:p>
    <w:p w:rsidR="00134731" w:rsidRPr="00134731" w:rsidRDefault="00134731" w:rsidP="00004952">
      <w:pPr>
        <w:adjustRightInd w:val="0"/>
        <w:spacing w:line="360" w:lineRule="auto"/>
        <w:ind w:firstLineChars="200" w:firstLine="480"/>
        <w:jc w:val="right"/>
        <w:rPr>
          <w:rFonts w:ascii="宋体" w:eastAsia="宋体" w:hAnsi="宋体" w:cs="Times New Roman"/>
          <w:sz w:val="24"/>
          <w:szCs w:val="24"/>
        </w:rPr>
      </w:pPr>
      <w:r w:rsidRPr="00004952">
        <w:rPr>
          <w:rFonts w:ascii="Arial" w:eastAsia="宋体" w:hAnsi="Arial" w:cs="Arial" w:hint="eastAsia"/>
          <w:sz w:val="24"/>
          <w:szCs w:val="20"/>
        </w:rPr>
        <w:lastRenderedPageBreak/>
        <w:t>国投瑞银基金管理</w:t>
      </w:r>
      <w:r w:rsidRPr="00134731">
        <w:rPr>
          <w:rFonts w:ascii="宋体" w:eastAsia="宋体" w:hAnsi="宋体" w:cs="Times New Roman" w:hint="eastAsia"/>
          <w:sz w:val="24"/>
          <w:szCs w:val="24"/>
        </w:rPr>
        <w:t>有限公司</w:t>
      </w:r>
    </w:p>
    <w:p w:rsidR="00DE307D" w:rsidRDefault="00DC38CA">
      <w:pPr>
        <w:wordWrap w:val="0"/>
        <w:spacing w:line="360" w:lineRule="auto"/>
        <w:jc w:val="right"/>
        <w:rPr>
          <w:rFonts w:ascii="宋体" w:eastAsia="宋体" w:hAnsi="宋体" w:cs="Times New Roman"/>
          <w:sz w:val="24"/>
          <w:szCs w:val="24"/>
        </w:rPr>
      </w:pPr>
      <w:r>
        <w:rPr>
          <w:rFonts w:ascii="宋体" w:eastAsia="宋体" w:hAnsi="宋体" w:cs="Times New Roman"/>
          <w:sz w:val="24"/>
          <w:szCs w:val="24"/>
        </w:rPr>
        <w:t>2021</w:t>
      </w:r>
      <w:r w:rsidR="00134731" w:rsidRPr="00134731">
        <w:rPr>
          <w:rFonts w:ascii="宋体" w:eastAsia="宋体" w:hAnsi="宋体" w:cs="Times New Roman" w:hint="eastAsia"/>
          <w:sz w:val="24"/>
          <w:szCs w:val="24"/>
        </w:rPr>
        <w:t>年</w:t>
      </w:r>
      <w:r>
        <w:rPr>
          <w:rFonts w:ascii="宋体" w:eastAsia="宋体" w:hAnsi="宋体" w:cs="Times New Roman"/>
          <w:sz w:val="24"/>
          <w:szCs w:val="24"/>
        </w:rPr>
        <w:t>3</w:t>
      </w:r>
      <w:r w:rsidR="00134731" w:rsidRPr="00134731">
        <w:rPr>
          <w:rFonts w:ascii="宋体" w:eastAsia="宋体" w:hAnsi="宋体" w:cs="Times New Roman" w:hint="eastAsia"/>
          <w:sz w:val="24"/>
          <w:szCs w:val="24"/>
        </w:rPr>
        <w:t>月</w:t>
      </w:r>
      <w:r>
        <w:rPr>
          <w:rFonts w:ascii="宋体" w:eastAsia="宋体" w:hAnsi="宋体" w:cs="Times New Roman"/>
          <w:sz w:val="24"/>
          <w:szCs w:val="24"/>
        </w:rPr>
        <w:t>30</w:t>
      </w:r>
      <w:r w:rsidR="00134731" w:rsidRPr="00134731">
        <w:rPr>
          <w:rFonts w:ascii="宋体" w:eastAsia="宋体" w:hAnsi="宋体" w:cs="Times New Roman" w:hint="eastAsia"/>
          <w:sz w:val="24"/>
          <w:szCs w:val="24"/>
        </w:rPr>
        <w:t>日</w:t>
      </w:r>
    </w:p>
    <w:p w:rsidR="00DE307D" w:rsidRDefault="00DE307D">
      <w:pPr>
        <w:widowControl/>
        <w:jc w:val="left"/>
        <w:rPr>
          <w:rFonts w:ascii="宋体" w:eastAsia="宋体" w:hAnsi="宋体" w:cs="Times New Roman"/>
          <w:sz w:val="24"/>
          <w:szCs w:val="24"/>
        </w:rPr>
      </w:pPr>
      <w:r>
        <w:rPr>
          <w:rFonts w:ascii="宋体" w:eastAsia="宋体" w:hAnsi="宋体" w:cs="Times New Roman"/>
          <w:sz w:val="24"/>
          <w:szCs w:val="24"/>
        </w:rPr>
        <w:br w:type="page"/>
      </w:r>
    </w:p>
    <w:p w:rsidR="00384BDC" w:rsidRPr="00004952" w:rsidRDefault="00DE307D" w:rsidP="00004952">
      <w:pPr>
        <w:spacing w:line="360" w:lineRule="auto"/>
        <w:jc w:val="left"/>
        <w:rPr>
          <w:b/>
        </w:rPr>
      </w:pPr>
      <w:r w:rsidRPr="00004952">
        <w:rPr>
          <w:rFonts w:hint="eastAsia"/>
          <w:b/>
        </w:rPr>
        <w:t>附件一：根据《指数基金指引》修改相关条款、增加存托凭证基金合同修</w:t>
      </w:r>
      <w:r>
        <w:rPr>
          <w:rFonts w:hint="eastAsia"/>
          <w:b/>
        </w:rPr>
        <w:t>改</w:t>
      </w:r>
      <w:r w:rsidRPr="00004952">
        <w:rPr>
          <w:rFonts w:hint="eastAsia"/>
          <w:b/>
        </w:rPr>
        <w:t>对照表</w:t>
      </w:r>
    </w:p>
    <w:p w:rsidR="00DE307D" w:rsidRDefault="00DE307D" w:rsidP="00004952">
      <w:pPr>
        <w:spacing w:line="360" w:lineRule="auto"/>
        <w:jc w:val="left"/>
      </w:pPr>
      <w:r>
        <w:rPr>
          <w:rFonts w:hint="eastAsia"/>
        </w:rPr>
        <w:t>（</w:t>
      </w:r>
      <w:r w:rsidRPr="00DE307D">
        <w:rPr>
          <w:rFonts w:hint="eastAsia"/>
        </w:rPr>
        <w:t>以国投瑞银中证下游消费与服务产业指数证券投资基金（</w:t>
      </w:r>
      <w:r w:rsidRPr="00DE307D">
        <w:rPr>
          <w:rFonts w:hint="eastAsia"/>
        </w:rPr>
        <w:t>LOF</w:t>
      </w:r>
      <w:r w:rsidRPr="00DE307D">
        <w:rPr>
          <w:rFonts w:hint="eastAsia"/>
        </w:rPr>
        <w:t>）基金合同为例</w:t>
      </w:r>
      <w:r>
        <w:rPr>
          <w:rFonts w:hint="eastAsia"/>
        </w:rPr>
        <w:t>）</w:t>
      </w:r>
    </w:p>
    <w:tbl>
      <w:tblPr>
        <w:tblW w:w="9781"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4A0"/>
      </w:tblPr>
      <w:tblGrid>
        <w:gridCol w:w="993"/>
        <w:gridCol w:w="4252"/>
        <w:gridCol w:w="4536"/>
      </w:tblGrid>
      <w:tr w:rsidR="00DE307D" w:rsidTr="00004952">
        <w:trPr>
          <w:jc w:val="center"/>
        </w:trPr>
        <w:tc>
          <w:tcPr>
            <w:tcW w:w="993" w:type="dxa"/>
            <w:vMerge w:val="restart"/>
            <w:tcBorders>
              <w:top w:val="single" w:sz="4" w:space="0" w:color="000000"/>
              <w:left w:val="single" w:sz="4" w:space="0" w:color="000000"/>
              <w:bottom w:val="single" w:sz="4" w:space="0" w:color="auto"/>
              <w:right w:val="single" w:sz="4" w:space="0" w:color="auto"/>
            </w:tcBorders>
            <w:vAlign w:val="center"/>
            <w:hideMark/>
          </w:tcPr>
          <w:p w:rsidR="00DE307D" w:rsidRDefault="00DE307D" w:rsidP="000435AD">
            <w:pPr>
              <w:spacing w:before="100" w:beforeAutospacing="1" w:after="100" w:afterAutospacing="1"/>
              <w:jc w:val="center"/>
            </w:pPr>
            <w:bookmarkStart w:id="0" w:name="_Hlk56439325"/>
            <w:r>
              <w:rPr>
                <w:b/>
                <w:bCs/>
              </w:rPr>
              <w:t>章节</w:t>
            </w:r>
          </w:p>
        </w:tc>
        <w:tc>
          <w:tcPr>
            <w:tcW w:w="4252" w:type="dxa"/>
            <w:tcBorders>
              <w:top w:val="single" w:sz="4" w:space="0" w:color="000000"/>
              <w:left w:val="single" w:sz="4" w:space="0" w:color="auto"/>
              <w:bottom w:val="single" w:sz="4" w:space="0" w:color="auto"/>
              <w:right w:val="single" w:sz="4" w:space="0" w:color="auto"/>
            </w:tcBorders>
            <w:vAlign w:val="center"/>
            <w:hideMark/>
          </w:tcPr>
          <w:p w:rsidR="00DE307D" w:rsidRDefault="00DE307D" w:rsidP="000435AD">
            <w:pPr>
              <w:pStyle w:val="aa"/>
              <w:jc w:val="center"/>
            </w:pPr>
            <w:r w:rsidRPr="00FD3653">
              <w:rPr>
                <w:rFonts w:hint="eastAsia"/>
                <w:b/>
                <w:bCs/>
              </w:rPr>
              <w:t>原文条款</w:t>
            </w:r>
          </w:p>
        </w:tc>
        <w:tc>
          <w:tcPr>
            <w:tcW w:w="4536" w:type="dxa"/>
            <w:tcBorders>
              <w:top w:val="single" w:sz="4" w:space="0" w:color="000000"/>
              <w:left w:val="single" w:sz="4" w:space="0" w:color="auto"/>
              <w:bottom w:val="single" w:sz="4" w:space="0" w:color="auto"/>
              <w:right w:val="single" w:sz="4" w:space="0" w:color="auto"/>
            </w:tcBorders>
            <w:vAlign w:val="center"/>
            <w:hideMark/>
          </w:tcPr>
          <w:p w:rsidR="00DE307D" w:rsidRDefault="00DE307D" w:rsidP="000435AD">
            <w:pPr>
              <w:spacing w:before="100" w:beforeAutospacing="1" w:after="100" w:afterAutospacing="1"/>
              <w:jc w:val="center"/>
            </w:pPr>
            <w:r w:rsidRPr="00FD3653">
              <w:rPr>
                <w:rFonts w:hint="eastAsia"/>
                <w:b/>
                <w:bCs/>
              </w:rPr>
              <w:t>修改后条款</w:t>
            </w:r>
          </w:p>
        </w:tc>
      </w:tr>
      <w:tr w:rsidR="00DE307D" w:rsidTr="00004952">
        <w:trPr>
          <w:jc w:val="center"/>
        </w:trPr>
        <w:tc>
          <w:tcPr>
            <w:tcW w:w="993" w:type="dxa"/>
            <w:vMerge/>
            <w:tcBorders>
              <w:top w:val="single" w:sz="4" w:space="0" w:color="000000"/>
              <w:left w:val="single" w:sz="4" w:space="0" w:color="000000"/>
              <w:bottom w:val="single" w:sz="4" w:space="0" w:color="auto"/>
              <w:right w:val="single" w:sz="4" w:space="0" w:color="auto"/>
            </w:tcBorders>
            <w:vAlign w:val="center"/>
            <w:hideMark/>
          </w:tcPr>
          <w:p w:rsidR="00DE307D" w:rsidRDefault="00DE307D" w:rsidP="000435AD"/>
        </w:tc>
        <w:tc>
          <w:tcPr>
            <w:tcW w:w="4252" w:type="dxa"/>
            <w:tcBorders>
              <w:top w:val="single" w:sz="4" w:space="0" w:color="auto"/>
              <w:left w:val="single" w:sz="4" w:space="0" w:color="auto"/>
              <w:bottom w:val="single" w:sz="4" w:space="0" w:color="auto"/>
              <w:right w:val="single" w:sz="4" w:space="0" w:color="auto"/>
            </w:tcBorders>
            <w:vAlign w:val="center"/>
            <w:hideMark/>
          </w:tcPr>
          <w:p w:rsidR="00DE307D" w:rsidRDefault="00DE307D" w:rsidP="000435AD">
            <w:pPr>
              <w:spacing w:before="100" w:beforeAutospacing="1" w:after="100" w:afterAutospacing="1"/>
              <w:jc w:val="center"/>
            </w:pPr>
            <w:r>
              <w:rPr>
                <w:b/>
                <w:bCs/>
              </w:rPr>
              <w:t>内容</w:t>
            </w:r>
          </w:p>
        </w:tc>
        <w:tc>
          <w:tcPr>
            <w:tcW w:w="4536" w:type="dxa"/>
            <w:tcBorders>
              <w:top w:val="single" w:sz="4" w:space="0" w:color="auto"/>
              <w:left w:val="single" w:sz="4" w:space="0" w:color="auto"/>
              <w:bottom w:val="single" w:sz="4" w:space="0" w:color="auto"/>
              <w:right w:val="single" w:sz="4" w:space="0" w:color="auto"/>
            </w:tcBorders>
            <w:vAlign w:val="center"/>
            <w:hideMark/>
          </w:tcPr>
          <w:p w:rsidR="00DE307D" w:rsidRDefault="00DE307D" w:rsidP="000435AD">
            <w:pPr>
              <w:spacing w:before="100" w:beforeAutospacing="1" w:after="100" w:afterAutospacing="1"/>
              <w:jc w:val="center"/>
            </w:pPr>
            <w:r>
              <w:rPr>
                <w:b/>
                <w:bCs/>
              </w:rPr>
              <w:t>内容</w:t>
            </w:r>
          </w:p>
        </w:tc>
      </w:tr>
      <w:tr w:rsidR="00DE307D" w:rsidTr="00004952">
        <w:trPr>
          <w:jc w:val="center"/>
        </w:trPr>
        <w:tc>
          <w:tcPr>
            <w:tcW w:w="993" w:type="dxa"/>
            <w:vMerge w:val="restart"/>
            <w:tcBorders>
              <w:top w:val="single" w:sz="4" w:space="0" w:color="auto"/>
              <w:left w:val="single" w:sz="4" w:space="0" w:color="000000"/>
              <w:right w:val="single" w:sz="4" w:space="0" w:color="auto"/>
            </w:tcBorders>
            <w:hideMark/>
          </w:tcPr>
          <w:p w:rsidR="00DE307D" w:rsidRDefault="00DE307D" w:rsidP="000435AD">
            <w:pPr>
              <w:pStyle w:val="aa"/>
            </w:pPr>
            <w:r w:rsidRPr="003B7764">
              <w:rPr>
                <w:rFonts w:hint="eastAsia"/>
                <w:b/>
                <w:bCs/>
              </w:rPr>
              <w:t>第一部分</w:t>
            </w:r>
            <w:r w:rsidRPr="003B7764">
              <w:rPr>
                <w:b/>
                <w:bCs/>
              </w:rPr>
              <w:tab/>
            </w:r>
            <w:r w:rsidRPr="003B7764">
              <w:rPr>
                <w:b/>
                <w:bCs/>
              </w:rPr>
              <w:t>前言和释义</w:t>
            </w:r>
          </w:p>
          <w:p w:rsidR="00DE307D" w:rsidRDefault="00DE307D" w:rsidP="000435AD">
            <w:pPr>
              <w:pStyle w:val="aa"/>
            </w:pPr>
          </w:p>
        </w:tc>
        <w:tc>
          <w:tcPr>
            <w:tcW w:w="4252" w:type="dxa"/>
            <w:tcBorders>
              <w:top w:val="single" w:sz="4" w:space="0" w:color="auto"/>
              <w:left w:val="single" w:sz="4" w:space="0" w:color="auto"/>
              <w:right w:val="single" w:sz="4" w:space="0" w:color="auto"/>
            </w:tcBorders>
          </w:tcPr>
          <w:p w:rsidR="00DE307D" w:rsidRDefault="00DE307D" w:rsidP="000435AD">
            <w:r w:rsidRPr="00AA34CD">
              <w:rPr>
                <w:rFonts w:hint="eastAsia"/>
              </w:rPr>
              <w:t>为保护基金投资者合法权益，明确《基金合同》当事人的权利与义务，规范国投瑞银中证下游消费与服务产业指数证券投资基金（</w:t>
            </w:r>
            <w:r w:rsidRPr="00AA34CD">
              <w:t>LOF</w:t>
            </w:r>
            <w:r w:rsidRPr="00AA34CD">
              <w:t>）（以下简称</w:t>
            </w:r>
            <w:r w:rsidRPr="00AA34CD">
              <w:t>“</w:t>
            </w:r>
            <w:r w:rsidRPr="00AA34CD">
              <w:t>本基金</w:t>
            </w:r>
            <w:r w:rsidRPr="00AA34CD">
              <w:t>”</w:t>
            </w:r>
            <w:r w:rsidRPr="00AA34CD">
              <w:t>或</w:t>
            </w:r>
            <w:r w:rsidRPr="00AA34CD">
              <w:t>“</w:t>
            </w:r>
            <w:r w:rsidRPr="00AA34CD">
              <w:t>基金</w:t>
            </w:r>
            <w:r w:rsidRPr="00AA34CD">
              <w:t>”</w:t>
            </w:r>
            <w:r w:rsidRPr="00AA34CD">
              <w:t>）运作，依照《中华人民共和国合同法》、《中华人民共和国证券投资基金法》（以下简称《基金法》）、《证券投资基金运作管理办法》（以下简称《运作办法》）、《证券投资基金销售管理办法》（以下简称《销售办法》）、《公开募集开放式证券投资基金流动性风险管理规定》（以下简称</w:t>
            </w:r>
            <w:r w:rsidRPr="00AA34CD">
              <w:t>“</w:t>
            </w:r>
            <w:r w:rsidRPr="00AA34CD">
              <w:t>《流动性风险规定》</w:t>
            </w:r>
            <w:r w:rsidRPr="00AA34CD">
              <w:t>”</w:t>
            </w:r>
            <w:r w:rsidRPr="00AA34CD">
              <w:t>）、《公开募集证券投资基金信息披露管理办法》（以下简称《信息披露办法》）、证券</w:t>
            </w:r>
            <w:r w:rsidRPr="00AA34CD">
              <w:rPr>
                <w:rFonts w:hint="eastAsia"/>
              </w:rPr>
              <w:t>投资基金信息披露内容与格式准则第</w:t>
            </w:r>
            <w:r w:rsidRPr="00AA34CD">
              <w:t xml:space="preserve"> 6 </w:t>
            </w:r>
            <w:r w:rsidRPr="00AA34CD">
              <w:t>号《基金合同的内容与格式》、《深圳证券交易所证券投资基金上市规则》及其他有关规定，在平等自愿、诚实信用、充分保护基金投资者及相关当事人的合法权益的原则基础上，特订立《国投瑞银中证下游消费与服务产业指数证券投资基金（</w:t>
            </w:r>
            <w:r w:rsidRPr="00AA34CD">
              <w:t>LOF</w:t>
            </w:r>
            <w:r w:rsidRPr="00AA34CD">
              <w:t>）基金合同》（以下简称</w:t>
            </w:r>
            <w:r w:rsidRPr="00AA34CD">
              <w:t>“</w:t>
            </w:r>
            <w:r w:rsidRPr="00AA34CD">
              <w:t>本合同</w:t>
            </w:r>
            <w:r w:rsidRPr="00AA34CD">
              <w:t>”</w:t>
            </w:r>
            <w:r w:rsidRPr="00AA34CD">
              <w:t>或</w:t>
            </w:r>
            <w:r w:rsidRPr="00AA34CD">
              <w:t>“</w:t>
            </w:r>
            <w:r w:rsidRPr="00AA34CD">
              <w:t>《基金合同》</w:t>
            </w:r>
            <w:r w:rsidRPr="00AA34CD">
              <w:t>”</w:t>
            </w:r>
            <w:r w:rsidRPr="00AA34CD">
              <w:t>）。</w:t>
            </w:r>
          </w:p>
        </w:tc>
        <w:tc>
          <w:tcPr>
            <w:tcW w:w="4536" w:type="dxa"/>
            <w:tcBorders>
              <w:top w:val="single" w:sz="4" w:space="0" w:color="auto"/>
              <w:left w:val="single" w:sz="4" w:space="0" w:color="auto"/>
              <w:right w:val="single" w:sz="4" w:space="0" w:color="auto"/>
            </w:tcBorders>
          </w:tcPr>
          <w:p w:rsidR="00DE307D" w:rsidRDefault="00DE307D" w:rsidP="000435AD">
            <w:r w:rsidRPr="00FB7533">
              <w:t>为保护基金投资者合法权益，明确《基金合同》当事人的权利与义务，规范国投瑞银中证下游消费与服务产业指数证券投资基金（</w:t>
            </w:r>
            <w:r w:rsidRPr="00FB7533">
              <w:t>LOF</w:t>
            </w:r>
            <w:r w:rsidRPr="00FB7533">
              <w:t>）（以下简称</w:t>
            </w:r>
            <w:r w:rsidRPr="00FB7533">
              <w:t>“</w:t>
            </w:r>
            <w:r w:rsidRPr="00FB7533">
              <w:t>本基金</w:t>
            </w:r>
            <w:r w:rsidRPr="00FB7533">
              <w:t>”</w:t>
            </w:r>
            <w:r w:rsidRPr="00FB7533">
              <w:t>或</w:t>
            </w:r>
            <w:r w:rsidRPr="00FB7533">
              <w:t>“</w:t>
            </w:r>
            <w:r w:rsidRPr="00FB7533">
              <w:t>基金</w:t>
            </w:r>
            <w:r w:rsidRPr="00FB7533">
              <w:t>”</w:t>
            </w:r>
            <w:r w:rsidRPr="00FB7533">
              <w:t>）运作，依照《中华人民共和国合同法》、《中华人民共和国证券投资基金法》（以下简称《基金法》）、《证券投资基金运作管理办法》（以下简称《运作办法》）、《证券投资基金销售管理办法》（以下简称《销售办法》）、</w:t>
            </w:r>
            <w:r w:rsidRPr="00FB7533">
              <w:rPr>
                <w:rFonts w:hint="eastAsia"/>
              </w:rPr>
              <w:t>《公开募集开放式证券投资基金流动性风险管理规定》（以下简称“《流动性风险规定》”）、</w:t>
            </w:r>
            <w:r w:rsidRPr="00FB7533">
              <w:t>《</w:t>
            </w:r>
            <w:r w:rsidRPr="00FB7533">
              <w:rPr>
                <w:rFonts w:hint="eastAsia"/>
              </w:rPr>
              <w:t>公开募集</w:t>
            </w:r>
            <w:r w:rsidRPr="00FB7533">
              <w:t>证券投资基金信息披露管理办法》（以下简称《信息披露办法》）、证券投资基金信息披露内容与格式准则第</w:t>
            </w:r>
            <w:r w:rsidRPr="00FB7533">
              <w:t xml:space="preserve"> 6 </w:t>
            </w:r>
            <w:r w:rsidRPr="00FB7533">
              <w:t>号《基金合同的内容与格式》、《深圳证券交易所证券投资基金上市规则》</w:t>
            </w:r>
            <w:r w:rsidRPr="00AA34CD">
              <w:rPr>
                <w:rFonts w:hint="eastAsia"/>
                <w:b/>
                <w:u w:val="single"/>
              </w:rPr>
              <w:t>、《公开募集证券投资基金运作指引第</w:t>
            </w:r>
            <w:r w:rsidRPr="00AA34CD">
              <w:rPr>
                <w:b/>
                <w:u w:val="single"/>
              </w:rPr>
              <w:t>3</w:t>
            </w:r>
            <w:r w:rsidRPr="00AA34CD">
              <w:rPr>
                <w:b/>
                <w:u w:val="single"/>
              </w:rPr>
              <w:t>号</w:t>
            </w:r>
            <w:r w:rsidRPr="00AA34CD">
              <w:rPr>
                <w:b/>
                <w:u w:val="single"/>
              </w:rPr>
              <w:t>——</w:t>
            </w:r>
            <w:r w:rsidRPr="00AA34CD">
              <w:rPr>
                <w:b/>
                <w:u w:val="single"/>
              </w:rPr>
              <w:t>指数基金指引》（以下简称</w:t>
            </w:r>
            <w:r w:rsidRPr="00AA34CD">
              <w:rPr>
                <w:b/>
                <w:u w:val="single"/>
              </w:rPr>
              <w:t>“</w:t>
            </w:r>
            <w:r w:rsidRPr="00AA34CD">
              <w:rPr>
                <w:b/>
                <w:u w:val="single"/>
              </w:rPr>
              <w:t>《指数基金指引》</w:t>
            </w:r>
            <w:r w:rsidRPr="00AA34CD">
              <w:rPr>
                <w:b/>
                <w:u w:val="single"/>
              </w:rPr>
              <w:t>”</w:t>
            </w:r>
            <w:r w:rsidRPr="00AA34CD">
              <w:rPr>
                <w:b/>
                <w:u w:val="single"/>
              </w:rPr>
              <w:t>）</w:t>
            </w:r>
            <w:r w:rsidRPr="00FB7533">
              <w:t>及其他有关规定，在平等自愿、诚实信用、充分保护基金投资者及相关当事人的合法权益的原则基础上，特订立《国投瑞银中证下游消费与服务产业指数证券投资基金（</w:t>
            </w:r>
            <w:r w:rsidRPr="00FB7533">
              <w:t>LOF</w:t>
            </w:r>
            <w:r w:rsidRPr="00FB7533">
              <w:t>）基金合同》（以下简称</w:t>
            </w:r>
            <w:r w:rsidRPr="00FB7533">
              <w:t>“</w:t>
            </w:r>
            <w:r w:rsidRPr="00FB7533">
              <w:t>本合同</w:t>
            </w:r>
            <w:r w:rsidRPr="00FB7533">
              <w:t>”</w:t>
            </w:r>
            <w:r w:rsidRPr="00FB7533">
              <w:t>或</w:t>
            </w:r>
            <w:r w:rsidRPr="00FB7533">
              <w:t>“</w:t>
            </w:r>
            <w:r w:rsidRPr="00FB7533">
              <w:t>《基金合同》</w:t>
            </w:r>
            <w:r w:rsidRPr="00FB7533">
              <w:t>”</w:t>
            </w:r>
            <w:r w:rsidRPr="00FB7533">
              <w:t>）。</w:t>
            </w:r>
          </w:p>
        </w:tc>
      </w:tr>
      <w:tr w:rsidR="00DE307D" w:rsidTr="00004952">
        <w:trPr>
          <w:jc w:val="center"/>
        </w:trPr>
        <w:tc>
          <w:tcPr>
            <w:tcW w:w="993" w:type="dxa"/>
            <w:vMerge/>
            <w:tcBorders>
              <w:left w:val="single" w:sz="4" w:space="0" w:color="000000"/>
              <w:right w:val="single" w:sz="4" w:space="0" w:color="auto"/>
            </w:tcBorders>
          </w:tcPr>
          <w:p w:rsidR="00DE307D" w:rsidRDefault="00DE307D" w:rsidP="000435AD">
            <w:pPr>
              <w:pStyle w:val="aa"/>
              <w:rPr>
                <w:b/>
                <w:bCs/>
              </w:rPr>
            </w:pPr>
          </w:p>
        </w:tc>
        <w:tc>
          <w:tcPr>
            <w:tcW w:w="4252" w:type="dxa"/>
            <w:tcBorders>
              <w:top w:val="single" w:sz="4" w:space="0" w:color="auto"/>
              <w:left w:val="single" w:sz="4" w:space="0" w:color="auto"/>
              <w:right w:val="single" w:sz="4" w:space="0" w:color="auto"/>
            </w:tcBorders>
          </w:tcPr>
          <w:p w:rsidR="00DE307D" w:rsidRDefault="00DE307D" w:rsidP="000435AD">
            <w:r>
              <w:rPr>
                <w:rFonts w:hint="eastAsia"/>
              </w:rPr>
              <w:t>无</w:t>
            </w:r>
          </w:p>
        </w:tc>
        <w:tc>
          <w:tcPr>
            <w:tcW w:w="4536" w:type="dxa"/>
            <w:tcBorders>
              <w:top w:val="single" w:sz="4" w:space="0" w:color="auto"/>
              <w:left w:val="single" w:sz="4" w:space="0" w:color="auto"/>
              <w:right w:val="single" w:sz="4" w:space="0" w:color="auto"/>
            </w:tcBorders>
          </w:tcPr>
          <w:p w:rsidR="00DE307D" w:rsidRDefault="00DE307D" w:rsidP="000435AD">
            <w:pPr>
              <w:rPr>
                <w:b/>
                <w:bCs/>
                <w:u w:val="single"/>
              </w:rPr>
            </w:pPr>
            <w:r w:rsidRPr="002C0E12">
              <w:rPr>
                <w:rFonts w:hint="eastAsia"/>
                <w:b/>
                <w:bCs/>
                <w:u w:val="single"/>
              </w:rPr>
              <w:t>本基金为指数基金，投资者投资于本基金面临跟踪误差控制未达约定目标、指数编制机构停止服务、成份股停牌等潜在风险，详见本基金招募说明书。</w:t>
            </w:r>
          </w:p>
          <w:p w:rsidR="00DE307D" w:rsidRDefault="00DE307D" w:rsidP="000435AD">
            <w:pPr>
              <w:rPr>
                <w:b/>
                <w:bCs/>
                <w:u w:val="single"/>
              </w:rPr>
            </w:pPr>
            <w:r w:rsidRPr="00413E49">
              <w:rPr>
                <w:rFonts w:hint="eastAsia"/>
                <w:bCs/>
                <w:szCs w:val="21"/>
              </w:rPr>
              <w:t>……</w:t>
            </w:r>
          </w:p>
          <w:p w:rsidR="00DE307D" w:rsidRPr="00AA34CD" w:rsidRDefault="00DE307D" w:rsidP="000435AD">
            <w:pPr>
              <w:rPr>
                <w:b/>
                <w:bCs/>
                <w:u w:val="single"/>
              </w:rPr>
            </w:pPr>
            <w:r w:rsidRPr="002C0E12">
              <w:rPr>
                <w:rFonts w:hint="eastAsia"/>
                <w:b/>
                <w:bCs/>
                <w:u w:val="single"/>
              </w:rPr>
              <w:t>本基金的投资范围包括存托凭证，可能面临中国存托凭证价格大幅波动甚至出现较大亏损的风险，以及与中国存托凭证发行机制相关的风险。</w:t>
            </w:r>
          </w:p>
        </w:tc>
      </w:tr>
      <w:tr w:rsidR="00DE307D" w:rsidTr="00004952">
        <w:trPr>
          <w:jc w:val="center"/>
        </w:trPr>
        <w:tc>
          <w:tcPr>
            <w:tcW w:w="993" w:type="dxa"/>
            <w:vMerge/>
            <w:tcBorders>
              <w:left w:val="single" w:sz="4" w:space="0" w:color="000000"/>
              <w:bottom w:val="single" w:sz="4" w:space="0" w:color="auto"/>
              <w:right w:val="single" w:sz="4" w:space="0" w:color="auto"/>
            </w:tcBorders>
            <w:hideMark/>
          </w:tcPr>
          <w:p w:rsidR="00DE307D" w:rsidRDefault="00DE307D" w:rsidP="000435AD">
            <w:pPr>
              <w:pStyle w:val="aa"/>
            </w:pPr>
          </w:p>
        </w:tc>
        <w:tc>
          <w:tcPr>
            <w:tcW w:w="4252" w:type="dxa"/>
            <w:tcBorders>
              <w:top w:val="single" w:sz="4" w:space="0" w:color="auto"/>
              <w:left w:val="single" w:sz="4" w:space="0" w:color="auto"/>
              <w:right w:val="single" w:sz="4" w:space="0" w:color="auto"/>
            </w:tcBorders>
            <w:hideMark/>
          </w:tcPr>
          <w:p w:rsidR="00DE307D" w:rsidRPr="00E5531E" w:rsidRDefault="00DE307D" w:rsidP="000435AD">
            <w:r w:rsidRPr="00E5531E">
              <w:rPr>
                <w:rFonts w:hint="eastAsia"/>
              </w:rPr>
              <w:t>无</w:t>
            </w:r>
          </w:p>
        </w:tc>
        <w:tc>
          <w:tcPr>
            <w:tcW w:w="4536" w:type="dxa"/>
            <w:tcBorders>
              <w:top w:val="single" w:sz="4" w:space="0" w:color="auto"/>
              <w:left w:val="single" w:sz="4" w:space="0" w:color="auto"/>
              <w:right w:val="single" w:sz="4" w:space="0" w:color="auto"/>
            </w:tcBorders>
            <w:hideMark/>
          </w:tcPr>
          <w:p w:rsidR="00DE307D" w:rsidRPr="00E5531E" w:rsidRDefault="00DE307D" w:rsidP="000435AD">
            <w:pPr>
              <w:rPr>
                <w:b/>
                <w:bCs/>
                <w:u w:val="single"/>
              </w:rPr>
            </w:pPr>
            <w:r w:rsidRPr="002C0E12">
              <w:rPr>
                <w:rFonts w:hint="eastAsia"/>
                <w:b/>
                <w:bCs/>
                <w:u w:val="single"/>
              </w:rPr>
              <w:t>《指数基金指引》</w:t>
            </w:r>
            <w:r w:rsidRPr="002C0E12">
              <w:rPr>
                <w:b/>
                <w:bCs/>
                <w:u w:val="single"/>
              </w:rPr>
              <w:tab/>
            </w:r>
            <w:r w:rsidRPr="002C0E12">
              <w:rPr>
                <w:b/>
                <w:bCs/>
                <w:u w:val="single"/>
              </w:rPr>
              <w:t>指中国证监会</w:t>
            </w:r>
            <w:r w:rsidRPr="002C0E12">
              <w:rPr>
                <w:b/>
                <w:bCs/>
                <w:u w:val="single"/>
              </w:rPr>
              <w:t>2021</w:t>
            </w:r>
            <w:r w:rsidRPr="002C0E12">
              <w:rPr>
                <w:b/>
                <w:bCs/>
                <w:u w:val="single"/>
              </w:rPr>
              <w:t>年</w:t>
            </w:r>
            <w:r w:rsidRPr="002C0E12">
              <w:rPr>
                <w:b/>
                <w:bCs/>
                <w:u w:val="single"/>
              </w:rPr>
              <w:t>1</w:t>
            </w:r>
            <w:r w:rsidRPr="002C0E12">
              <w:rPr>
                <w:b/>
                <w:bCs/>
                <w:u w:val="single"/>
              </w:rPr>
              <w:t>月</w:t>
            </w:r>
            <w:r w:rsidRPr="002C0E12">
              <w:rPr>
                <w:b/>
                <w:bCs/>
                <w:u w:val="single"/>
              </w:rPr>
              <w:t>22</w:t>
            </w:r>
            <w:r w:rsidRPr="002C0E12">
              <w:rPr>
                <w:b/>
                <w:bCs/>
                <w:u w:val="single"/>
              </w:rPr>
              <w:t>日颁布、同年</w:t>
            </w:r>
            <w:r w:rsidRPr="002C0E12">
              <w:rPr>
                <w:b/>
                <w:bCs/>
                <w:u w:val="single"/>
              </w:rPr>
              <w:t>2</w:t>
            </w:r>
            <w:r w:rsidRPr="002C0E12">
              <w:rPr>
                <w:b/>
                <w:bCs/>
                <w:u w:val="single"/>
              </w:rPr>
              <w:t>月</w:t>
            </w:r>
            <w:r w:rsidRPr="002C0E12">
              <w:rPr>
                <w:b/>
                <w:bCs/>
                <w:u w:val="single"/>
              </w:rPr>
              <w:t>1</w:t>
            </w:r>
            <w:r w:rsidRPr="002C0E12">
              <w:rPr>
                <w:b/>
                <w:bCs/>
                <w:u w:val="single"/>
              </w:rPr>
              <w:t>日实施的《公开募集证券投资基金运作指引第</w:t>
            </w:r>
            <w:r w:rsidRPr="002C0E12">
              <w:rPr>
                <w:b/>
                <w:bCs/>
                <w:u w:val="single"/>
              </w:rPr>
              <w:t>3</w:t>
            </w:r>
            <w:r w:rsidRPr="002C0E12">
              <w:rPr>
                <w:b/>
                <w:bCs/>
                <w:u w:val="single"/>
              </w:rPr>
              <w:t>号</w:t>
            </w:r>
            <w:r w:rsidRPr="002C0E12">
              <w:rPr>
                <w:b/>
                <w:bCs/>
                <w:u w:val="single"/>
              </w:rPr>
              <w:t>——</w:t>
            </w:r>
            <w:r w:rsidRPr="002C0E12">
              <w:rPr>
                <w:b/>
                <w:bCs/>
                <w:u w:val="single"/>
              </w:rPr>
              <w:t>指数基金指引》及颁布机关对其不时做出的修订</w:t>
            </w:r>
          </w:p>
        </w:tc>
      </w:tr>
      <w:tr w:rsidR="00DE307D" w:rsidTr="00004952">
        <w:trPr>
          <w:jc w:val="center"/>
        </w:trPr>
        <w:tc>
          <w:tcPr>
            <w:tcW w:w="993" w:type="dxa"/>
            <w:tcBorders>
              <w:left w:val="single" w:sz="4" w:space="0" w:color="000000"/>
              <w:bottom w:val="single" w:sz="4" w:space="0" w:color="auto"/>
              <w:right w:val="single" w:sz="4" w:space="0" w:color="auto"/>
            </w:tcBorders>
          </w:tcPr>
          <w:p w:rsidR="00DE307D" w:rsidRDefault="00DE307D" w:rsidP="000435AD">
            <w:pPr>
              <w:pStyle w:val="aa"/>
            </w:pPr>
            <w:r w:rsidRPr="003B7764">
              <w:rPr>
                <w:rFonts w:hint="eastAsia"/>
                <w:b/>
              </w:rPr>
              <w:t>第二部分</w:t>
            </w:r>
            <w:r w:rsidRPr="003B7764">
              <w:rPr>
                <w:b/>
              </w:rPr>
              <w:tab/>
            </w:r>
            <w:r w:rsidRPr="003B7764">
              <w:rPr>
                <w:b/>
              </w:rPr>
              <w:t>基金的基本情况</w:t>
            </w:r>
          </w:p>
        </w:tc>
        <w:tc>
          <w:tcPr>
            <w:tcW w:w="4252" w:type="dxa"/>
            <w:tcBorders>
              <w:top w:val="single" w:sz="4" w:space="0" w:color="auto"/>
              <w:left w:val="single" w:sz="4" w:space="0" w:color="auto"/>
              <w:right w:val="single" w:sz="4" w:space="0" w:color="auto"/>
            </w:tcBorders>
          </w:tcPr>
          <w:p w:rsidR="00DE307D" w:rsidRDefault="00DE307D" w:rsidP="000435AD">
            <w:r>
              <w:rPr>
                <w:rFonts w:hint="eastAsia"/>
              </w:rPr>
              <w:t>五、标的指数</w:t>
            </w:r>
          </w:p>
          <w:p w:rsidR="00DE307D" w:rsidRDefault="00DE307D" w:rsidP="000435AD">
            <w:r>
              <w:rPr>
                <w:rFonts w:hint="eastAsia"/>
              </w:rPr>
              <w:t>本基金的标的指数为中证下游消费与服务产业指数。</w:t>
            </w:r>
          </w:p>
          <w:p w:rsidR="00DE307D" w:rsidRPr="003B7764" w:rsidRDefault="00DE307D" w:rsidP="000435AD">
            <w:pPr>
              <w:rPr>
                <w:b/>
                <w:strike/>
              </w:rPr>
            </w:pPr>
            <w:r w:rsidRPr="003B7764">
              <w:rPr>
                <w:rFonts w:hint="eastAsia"/>
                <w:b/>
                <w:strike/>
              </w:rPr>
              <w:t>如果中证下游消费与服务产业指数被停止编制及发布，或者中证下游消费与服务产业指数由其他指数替代（单纯更名除外），或者由于指数编制方法等重大变更导致中证下游消费与服务产业指数不宜继续作为本基金的投资标的指数及业绩比较基准，或者证券市场有其他代表性更强、更适合投资的指数推出，基金管理人可以依据审慎性原则和维护基金份额持有人合法权益的原则，在履行适当程序后变更本基金的标的指数，并按照《信息披露办法》的有关规定在中国证监会指定的媒介上公告。</w:t>
            </w:r>
          </w:p>
        </w:tc>
        <w:tc>
          <w:tcPr>
            <w:tcW w:w="4536" w:type="dxa"/>
            <w:tcBorders>
              <w:top w:val="single" w:sz="4" w:space="0" w:color="auto"/>
              <w:left w:val="single" w:sz="4" w:space="0" w:color="auto"/>
              <w:right w:val="single" w:sz="4" w:space="0" w:color="auto"/>
            </w:tcBorders>
          </w:tcPr>
          <w:p w:rsidR="00DE307D" w:rsidRPr="003B7764" w:rsidRDefault="00DE307D" w:rsidP="000435AD">
            <w:pPr>
              <w:rPr>
                <w:bCs/>
              </w:rPr>
            </w:pPr>
            <w:r w:rsidRPr="003B7764">
              <w:rPr>
                <w:rFonts w:hint="eastAsia"/>
                <w:bCs/>
              </w:rPr>
              <w:t>五、标的指数</w:t>
            </w:r>
          </w:p>
          <w:p w:rsidR="00DE307D" w:rsidRDefault="00DE307D" w:rsidP="000435AD">
            <w:pPr>
              <w:rPr>
                <w:bCs/>
              </w:rPr>
            </w:pPr>
            <w:r w:rsidRPr="003B7764">
              <w:rPr>
                <w:rFonts w:hint="eastAsia"/>
                <w:bCs/>
              </w:rPr>
              <w:t>本基金的标的指数为中证下游消费与服务产业指数。</w:t>
            </w:r>
          </w:p>
          <w:p w:rsidR="00DE307D" w:rsidRPr="009907D9" w:rsidRDefault="00DE307D" w:rsidP="000435AD">
            <w:pPr>
              <w:rPr>
                <w:b/>
                <w:bCs/>
                <w:u w:val="single"/>
              </w:rPr>
            </w:pPr>
            <w:r w:rsidRPr="009907D9">
              <w:rPr>
                <w:rFonts w:hint="eastAsia"/>
                <w:b/>
                <w:bCs/>
                <w:u w:val="single"/>
              </w:rPr>
              <w:t>未来若出现标的指数不符合《指数基金指引》要求（因成份股价格波动等指数编制方法变动之外的因素致使标的指数不符合要求及法律法规、监管机构另有规定的情形除外）、指数编制机构退出等情形，基金管理人应当自该情形发生之日起十个工作日向中国证监会报告并提出解决方案，如更换基金标的指数、转换运作方式，与其他基金合并、或者终止基金合同等，并在</w:t>
            </w:r>
            <w:r w:rsidRPr="009907D9">
              <w:rPr>
                <w:b/>
                <w:bCs/>
                <w:u w:val="single"/>
              </w:rPr>
              <w:t>6</w:t>
            </w:r>
            <w:r w:rsidRPr="009907D9">
              <w:rPr>
                <w:b/>
                <w:bCs/>
                <w:u w:val="single"/>
              </w:rPr>
              <w:t>个月内召集基金份额持有人大会进行表决，基金份额持有人大会未成功召开或就上述事项表决未通过的，本基金合同终止。</w:t>
            </w:r>
          </w:p>
          <w:p w:rsidR="00DE307D" w:rsidRPr="002C0E12" w:rsidRDefault="00DE307D" w:rsidP="00DE307D">
            <w:pPr>
              <w:rPr>
                <w:b/>
                <w:bCs/>
                <w:u w:val="single"/>
              </w:rPr>
            </w:pPr>
            <w:r w:rsidRPr="009907D9">
              <w:rPr>
                <w:rFonts w:hint="eastAsia"/>
                <w:b/>
                <w:bCs/>
                <w:u w:val="single"/>
              </w:rPr>
              <w:t>自指数编制机构停止标的指数的编制及发布至解决方案确定期间，基金管理人应按照指数编制机构提供的最近一个交易日的指数信息遵循基金份额持有人利益优先原则维持基金投资运作。</w:t>
            </w:r>
          </w:p>
        </w:tc>
      </w:tr>
      <w:tr w:rsidR="00DE307D" w:rsidTr="00004952">
        <w:trPr>
          <w:jc w:val="center"/>
        </w:trPr>
        <w:tc>
          <w:tcPr>
            <w:tcW w:w="993" w:type="dxa"/>
            <w:vMerge w:val="restart"/>
            <w:tcBorders>
              <w:top w:val="single" w:sz="4" w:space="0" w:color="auto"/>
              <w:left w:val="single" w:sz="4" w:space="0" w:color="000000"/>
              <w:bottom w:val="single" w:sz="4" w:space="0" w:color="auto"/>
              <w:right w:val="single" w:sz="4" w:space="0" w:color="auto"/>
            </w:tcBorders>
            <w:hideMark/>
          </w:tcPr>
          <w:p w:rsidR="00DE307D" w:rsidRDefault="00DE307D" w:rsidP="000435AD">
            <w:pPr>
              <w:pStyle w:val="aa"/>
            </w:pPr>
            <w:r>
              <w:rPr>
                <w:b/>
                <w:bCs/>
              </w:rPr>
              <w:t>第七部分</w:t>
            </w:r>
            <w:r>
              <w:rPr>
                <w:b/>
                <w:bCs/>
              </w:rPr>
              <w:t xml:space="preserve"> </w:t>
            </w:r>
            <w:r>
              <w:rPr>
                <w:b/>
                <w:bCs/>
              </w:rPr>
              <w:t>基金合同当事人及权利义务</w:t>
            </w:r>
          </w:p>
        </w:tc>
        <w:tc>
          <w:tcPr>
            <w:tcW w:w="4252" w:type="dxa"/>
            <w:tcBorders>
              <w:top w:val="single" w:sz="4" w:space="0" w:color="auto"/>
              <w:left w:val="single" w:sz="4" w:space="0" w:color="auto"/>
              <w:right w:val="single" w:sz="4" w:space="0" w:color="auto"/>
            </w:tcBorders>
            <w:hideMark/>
          </w:tcPr>
          <w:p w:rsidR="00DE307D" w:rsidRDefault="00DE307D" w:rsidP="000435AD">
            <w:r>
              <w:t>一、基金管理人</w:t>
            </w:r>
          </w:p>
          <w:p w:rsidR="00DE307D" w:rsidRDefault="00DE307D" w:rsidP="000435AD">
            <w:r w:rsidRPr="00E5531E">
              <w:rPr>
                <w:rFonts w:hint="eastAsia"/>
              </w:rPr>
              <w:t>（一）</w:t>
            </w:r>
            <w:r w:rsidRPr="00E5531E">
              <w:tab/>
            </w:r>
            <w:r w:rsidRPr="00E5531E">
              <w:t>基金管理人简况</w:t>
            </w:r>
          </w:p>
          <w:p w:rsidR="00DE307D" w:rsidRDefault="00DE307D" w:rsidP="000435AD">
            <w:r>
              <w:rPr>
                <w:rFonts w:hint="eastAsia"/>
              </w:rPr>
              <w:t>……</w:t>
            </w:r>
          </w:p>
          <w:p w:rsidR="00DE307D" w:rsidRDefault="00DE307D" w:rsidP="000435AD">
            <w:r>
              <w:t>住所：上海市虹口区</w:t>
            </w:r>
            <w:r w:rsidRPr="00E5531E">
              <w:rPr>
                <w:b/>
                <w:bCs/>
                <w:strike/>
              </w:rPr>
              <w:t>东大名路</w:t>
            </w:r>
            <w:r w:rsidRPr="00E5531E">
              <w:rPr>
                <w:b/>
                <w:bCs/>
                <w:strike/>
              </w:rPr>
              <w:t>638</w:t>
            </w:r>
            <w:r w:rsidRPr="00E5531E">
              <w:rPr>
                <w:b/>
                <w:bCs/>
                <w:strike/>
              </w:rPr>
              <w:t>号</w:t>
            </w:r>
            <w:r w:rsidRPr="00E5531E">
              <w:rPr>
                <w:b/>
                <w:bCs/>
                <w:strike/>
              </w:rPr>
              <w:t>7</w:t>
            </w:r>
            <w:r w:rsidRPr="00E5531E">
              <w:rPr>
                <w:b/>
                <w:bCs/>
                <w:strike/>
              </w:rPr>
              <w:t>层</w:t>
            </w:r>
          </w:p>
        </w:tc>
        <w:tc>
          <w:tcPr>
            <w:tcW w:w="4536" w:type="dxa"/>
            <w:tcBorders>
              <w:top w:val="single" w:sz="4" w:space="0" w:color="auto"/>
              <w:left w:val="single" w:sz="4" w:space="0" w:color="auto"/>
              <w:right w:val="single" w:sz="4" w:space="0" w:color="auto"/>
            </w:tcBorders>
            <w:hideMark/>
          </w:tcPr>
          <w:p w:rsidR="00DE307D" w:rsidRDefault="00DE307D" w:rsidP="000435AD">
            <w:r>
              <w:t>一、基金管理人</w:t>
            </w:r>
          </w:p>
          <w:p w:rsidR="00DE307D" w:rsidRDefault="00DE307D" w:rsidP="000435AD">
            <w:r>
              <w:rPr>
                <w:rFonts w:hint="eastAsia"/>
              </w:rPr>
              <w:t>（一）</w:t>
            </w:r>
            <w:r>
              <w:tab/>
            </w:r>
            <w:r>
              <w:t>基金管理人简况</w:t>
            </w:r>
          </w:p>
          <w:p w:rsidR="00DE307D" w:rsidRDefault="00DE307D" w:rsidP="000435AD">
            <w:r>
              <w:rPr>
                <w:rFonts w:hint="eastAsia"/>
              </w:rPr>
              <w:t>……</w:t>
            </w:r>
          </w:p>
          <w:p w:rsidR="00DE307D" w:rsidRDefault="00DE307D" w:rsidP="000435AD">
            <w:r>
              <w:t>住所：上海市虹口区</w:t>
            </w:r>
            <w:r w:rsidRPr="00E5531E">
              <w:rPr>
                <w:b/>
                <w:bCs/>
                <w:u w:val="single"/>
              </w:rPr>
              <w:t>杨树浦路</w:t>
            </w:r>
            <w:r w:rsidRPr="00E5531E">
              <w:rPr>
                <w:b/>
                <w:bCs/>
                <w:u w:val="single"/>
              </w:rPr>
              <w:t>168</w:t>
            </w:r>
            <w:r w:rsidRPr="00E5531E">
              <w:rPr>
                <w:b/>
                <w:bCs/>
                <w:u w:val="single"/>
              </w:rPr>
              <w:t>号</w:t>
            </w:r>
            <w:r w:rsidRPr="00E5531E">
              <w:rPr>
                <w:b/>
                <w:bCs/>
                <w:u w:val="single"/>
              </w:rPr>
              <w:t>20</w:t>
            </w:r>
            <w:r w:rsidRPr="00E5531E">
              <w:rPr>
                <w:b/>
                <w:bCs/>
                <w:u w:val="single"/>
              </w:rPr>
              <w:t>层</w:t>
            </w:r>
          </w:p>
        </w:tc>
      </w:tr>
      <w:tr w:rsidR="00DE307D" w:rsidTr="00004952">
        <w:trPr>
          <w:jc w:val="center"/>
        </w:trPr>
        <w:tc>
          <w:tcPr>
            <w:tcW w:w="993" w:type="dxa"/>
            <w:vMerge/>
            <w:tcBorders>
              <w:top w:val="single" w:sz="4" w:space="0" w:color="auto"/>
              <w:left w:val="single" w:sz="4" w:space="0" w:color="000000"/>
              <w:bottom w:val="single" w:sz="4" w:space="0" w:color="auto"/>
              <w:right w:val="single" w:sz="4" w:space="0" w:color="auto"/>
            </w:tcBorders>
            <w:vAlign w:val="center"/>
            <w:hideMark/>
          </w:tcPr>
          <w:p w:rsidR="00DE307D" w:rsidRDefault="00DE307D" w:rsidP="000435AD"/>
        </w:tc>
        <w:tc>
          <w:tcPr>
            <w:tcW w:w="4252" w:type="dxa"/>
            <w:tcBorders>
              <w:top w:val="single" w:sz="4" w:space="0" w:color="auto"/>
              <w:left w:val="single" w:sz="4" w:space="0" w:color="auto"/>
              <w:bottom w:val="single" w:sz="4" w:space="0" w:color="auto"/>
              <w:right w:val="single" w:sz="4" w:space="0" w:color="auto"/>
            </w:tcBorders>
            <w:hideMark/>
          </w:tcPr>
          <w:p w:rsidR="00DE307D" w:rsidRDefault="00DE307D" w:rsidP="000435AD">
            <w:r>
              <w:rPr>
                <w:rFonts w:hint="eastAsia"/>
              </w:rPr>
              <w:t>（二）</w:t>
            </w:r>
            <w:r>
              <w:tab/>
            </w:r>
            <w:r>
              <w:t>基金管理人的权利与义务</w:t>
            </w:r>
          </w:p>
          <w:p w:rsidR="00DE307D" w:rsidRDefault="00DE307D" w:rsidP="000435AD">
            <w:r>
              <w:t>1</w:t>
            </w:r>
            <w:r>
              <w:t>、根据《基金法》、《运作办法》及其他有关规定，基金管理人的权利包括但不限于：</w:t>
            </w:r>
          </w:p>
          <w:p w:rsidR="00DE307D" w:rsidRDefault="00DE307D" w:rsidP="000435AD">
            <w:r>
              <w:t>（</w:t>
            </w:r>
            <w:r>
              <w:t>13</w:t>
            </w:r>
            <w:r>
              <w:t>）依照法律法规为基金的利益对被投资公司行使</w:t>
            </w:r>
            <w:r>
              <w:rPr>
                <w:b/>
                <w:bCs/>
                <w:strike/>
              </w:rPr>
              <w:t>股东</w:t>
            </w:r>
            <w:r>
              <w:t>权利，为基金的利益行使因基金财产投资于证券所产生的权利；</w:t>
            </w:r>
          </w:p>
        </w:tc>
        <w:tc>
          <w:tcPr>
            <w:tcW w:w="4536" w:type="dxa"/>
            <w:tcBorders>
              <w:top w:val="single" w:sz="4" w:space="0" w:color="auto"/>
              <w:left w:val="single" w:sz="4" w:space="0" w:color="auto"/>
              <w:bottom w:val="single" w:sz="4" w:space="0" w:color="auto"/>
              <w:right w:val="single" w:sz="4" w:space="0" w:color="auto"/>
            </w:tcBorders>
            <w:hideMark/>
          </w:tcPr>
          <w:p w:rsidR="00DE307D" w:rsidRDefault="00DE307D" w:rsidP="000435AD">
            <w:r>
              <w:rPr>
                <w:rFonts w:hint="eastAsia"/>
              </w:rPr>
              <w:t>（二）</w:t>
            </w:r>
            <w:r>
              <w:tab/>
            </w:r>
            <w:r>
              <w:t>基金管理人的权利与义务</w:t>
            </w:r>
          </w:p>
          <w:p w:rsidR="00DE307D" w:rsidRDefault="00DE307D" w:rsidP="000435AD">
            <w:r>
              <w:t>1</w:t>
            </w:r>
            <w:r>
              <w:t>、根据《基金法》、《运作办法》及其他有关规定，基金管理人的权利包括但不限于：</w:t>
            </w:r>
          </w:p>
          <w:p w:rsidR="00DE307D" w:rsidRDefault="00DE307D" w:rsidP="000435AD">
            <w:r>
              <w:t>（</w:t>
            </w:r>
            <w:r>
              <w:t>13</w:t>
            </w:r>
            <w:r>
              <w:t>）依照法律法规为基金的利益对被投资公司行使</w:t>
            </w:r>
            <w:r>
              <w:rPr>
                <w:b/>
                <w:bCs/>
                <w:u w:val="single"/>
              </w:rPr>
              <w:t>相关</w:t>
            </w:r>
            <w:r>
              <w:t>权利，为基金的利益行使因基金财产投资于证券所产生的权利；</w:t>
            </w:r>
          </w:p>
        </w:tc>
      </w:tr>
      <w:tr w:rsidR="00134A1D" w:rsidTr="006F7CA4">
        <w:trPr>
          <w:jc w:val="center"/>
        </w:trPr>
        <w:tc>
          <w:tcPr>
            <w:tcW w:w="993" w:type="dxa"/>
            <w:vMerge w:val="restart"/>
            <w:tcBorders>
              <w:top w:val="single" w:sz="4" w:space="0" w:color="auto"/>
              <w:left w:val="single" w:sz="4" w:space="0" w:color="000000"/>
              <w:right w:val="single" w:sz="4" w:space="0" w:color="auto"/>
            </w:tcBorders>
            <w:hideMark/>
          </w:tcPr>
          <w:p w:rsidR="00134A1D" w:rsidRDefault="00134A1D" w:rsidP="000435AD">
            <w:pPr>
              <w:pStyle w:val="aa"/>
            </w:pPr>
            <w:r>
              <w:rPr>
                <w:b/>
                <w:bCs/>
              </w:rPr>
              <w:t>第十二部分</w:t>
            </w:r>
            <w:r>
              <w:rPr>
                <w:b/>
                <w:bCs/>
              </w:rPr>
              <w:t xml:space="preserve"> </w:t>
            </w:r>
            <w:r>
              <w:rPr>
                <w:b/>
                <w:bCs/>
              </w:rPr>
              <w:t>基金的投资</w:t>
            </w:r>
          </w:p>
        </w:tc>
        <w:tc>
          <w:tcPr>
            <w:tcW w:w="4252" w:type="dxa"/>
            <w:tcBorders>
              <w:top w:val="single" w:sz="4" w:space="0" w:color="auto"/>
              <w:left w:val="single" w:sz="4" w:space="0" w:color="auto"/>
              <w:right w:val="single" w:sz="4" w:space="0" w:color="auto"/>
            </w:tcBorders>
            <w:hideMark/>
          </w:tcPr>
          <w:p w:rsidR="00134A1D" w:rsidRDefault="00134A1D" w:rsidP="000435AD">
            <w:r>
              <w:t>二、投资范围</w:t>
            </w:r>
          </w:p>
          <w:p w:rsidR="00134A1D" w:rsidRDefault="00134A1D" w:rsidP="000435AD">
            <w:r w:rsidRPr="002C0E12">
              <w:rPr>
                <w:rFonts w:hint="eastAsia"/>
              </w:rPr>
              <w:t>本基金资产投资于具有良好流动性的金融工具，包括标的指数成份股及其备选成份股、新股、债券、权证、股指期货及法律法规或中国证监会允许基金投资的其它金融工具。</w:t>
            </w:r>
          </w:p>
        </w:tc>
        <w:tc>
          <w:tcPr>
            <w:tcW w:w="4536" w:type="dxa"/>
            <w:tcBorders>
              <w:top w:val="single" w:sz="4" w:space="0" w:color="auto"/>
              <w:left w:val="single" w:sz="4" w:space="0" w:color="auto"/>
              <w:right w:val="single" w:sz="4" w:space="0" w:color="auto"/>
            </w:tcBorders>
            <w:hideMark/>
          </w:tcPr>
          <w:p w:rsidR="00134A1D" w:rsidRDefault="00134A1D" w:rsidP="000435AD">
            <w:r>
              <w:t>二、投资范围</w:t>
            </w:r>
          </w:p>
          <w:p w:rsidR="00134A1D" w:rsidRDefault="00134A1D" w:rsidP="00DE307D">
            <w:r w:rsidRPr="002C0E12">
              <w:rPr>
                <w:rFonts w:hint="eastAsia"/>
              </w:rPr>
              <w:t>本基金资产投资于具有良好流动性的金融工具，包括标的指数成份股及其备选成份股</w:t>
            </w:r>
            <w:r w:rsidRPr="002C0E12">
              <w:rPr>
                <w:rFonts w:hint="eastAsia"/>
                <w:b/>
                <w:u w:val="single"/>
              </w:rPr>
              <w:t>（含存托凭证</w:t>
            </w:r>
            <w:r w:rsidRPr="009907D9">
              <w:rPr>
                <w:rFonts w:hint="eastAsia"/>
                <w:b/>
                <w:u w:val="single"/>
              </w:rPr>
              <w:t>，下同</w:t>
            </w:r>
            <w:r w:rsidRPr="002C0E12">
              <w:rPr>
                <w:rFonts w:hint="eastAsia"/>
                <w:b/>
                <w:u w:val="single"/>
              </w:rPr>
              <w:t>）</w:t>
            </w:r>
            <w:r w:rsidRPr="002C0E12">
              <w:rPr>
                <w:rFonts w:hint="eastAsia"/>
              </w:rPr>
              <w:t>、新股、</w:t>
            </w:r>
            <w:r w:rsidRPr="002C0E12">
              <w:rPr>
                <w:rFonts w:hint="eastAsia"/>
                <w:b/>
                <w:u w:val="single"/>
              </w:rPr>
              <w:t>存托凭证、</w:t>
            </w:r>
            <w:r w:rsidRPr="002C0E12">
              <w:rPr>
                <w:rFonts w:hint="eastAsia"/>
              </w:rPr>
              <w:t>债券、权证、股指期货及法律法规或中国证监会允许基金投资的其它金融工具。</w:t>
            </w:r>
          </w:p>
        </w:tc>
      </w:tr>
      <w:tr w:rsidR="00134A1D" w:rsidTr="006F7CA4">
        <w:trPr>
          <w:jc w:val="center"/>
        </w:trPr>
        <w:tc>
          <w:tcPr>
            <w:tcW w:w="993" w:type="dxa"/>
            <w:vMerge/>
            <w:tcBorders>
              <w:left w:val="single" w:sz="4" w:space="0" w:color="000000"/>
              <w:right w:val="single" w:sz="4" w:space="0" w:color="auto"/>
            </w:tcBorders>
            <w:vAlign w:val="center"/>
            <w:hideMark/>
          </w:tcPr>
          <w:p w:rsidR="00134A1D" w:rsidRDefault="00134A1D" w:rsidP="000435AD"/>
        </w:tc>
        <w:tc>
          <w:tcPr>
            <w:tcW w:w="4252" w:type="dxa"/>
            <w:tcBorders>
              <w:top w:val="single" w:sz="4" w:space="0" w:color="auto"/>
              <w:left w:val="single" w:sz="4" w:space="0" w:color="auto"/>
              <w:right w:val="single" w:sz="4" w:space="0" w:color="auto"/>
            </w:tcBorders>
            <w:hideMark/>
          </w:tcPr>
          <w:p w:rsidR="00134A1D" w:rsidRDefault="00134A1D" w:rsidP="000435AD">
            <w:r>
              <w:rPr>
                <w:rFonts w:hint="eastAsia"/>
              </w:rPr>
              <w:t>四</w:t>
            </w:r>
            <w:r>
              <w:t>、投资策略</w:t>
            </w:r>
          </w:p>
          <w:p w:rsidR="00134A1D" w:rsidRDefault="00134A1D" w:rsidP="000435AD">
            <w:r>
              <w:rPr>
                <w:rFonts w:hint="eastAsia"/>
              </w:rPr>
              <w:t>无</w:t>
            </w:r>
          </w:p>
        </w:tc>
        <w:tc>
          <w:tcPr>
            <w:tcW w:w="4536" w:type="dxa"/>
            <w:tcBorders>
              <w:top w:val="single" w:sz="4" w:space="0" w:color="auto"/>
              <w:left w:val="single" w:sz="4" w:space="0" w:color="auto"/>
              <w:right w:val="single" w:sz="4" w:space="0" w:color="auto"/>
            </w:tcBorders>
            <w:hideMark/>
          </w:tcPr>
          <w:p w:rsidR="00134A1D" w:rsidRDefault="00134A1D" w:rsidP="000435AD">
            <w:r>
              <w:rPr>
                <w:rFonts w:hint="eastAsia"/>
              </w:rPr>
              <w:t>四</w:t>
            </w:r>
            <w:r>
              <w:t>、投资策略</w:t>
            </w:r>
          </w:p>
          <w:p w:rsidR="00134A1D" w:rsidRDefault="00134A1D" w:rsidP="000435AD">
            <w:r>
              <w:rPr>
                <w:rFonts w:hint="eastAsia"/>
                <w:b/>
                <w:bCs/>
                <w:u w:val="single"/>
              </w:rPr>
              <w:t>3</w:t>
            </w:r>
            <w:r>
              <w:rPr>
                <w:rFonts w:hint="eastAsia"/>
                <w:b/>
                <w:bCs/>
                <w:u w:val="single"/>
              </w:rPr>
              <w:t>、</w:t>
            </w:r>
            <w:r>
              <w:rPr>
                <w:b/>
                <w:bCs/>
                <w:u w:val="single"/>
              </w:rPr>
              <w:t>存托凭证投资策略</w:t>
            </w:r>
          </w:p>
          <w:p w:rsidR="00134A1D" w:rsidRDefault="00134A1D" w:rsidP="00034B6B">
            <w:r>
              <w:rPr>
                <w:b/>
                <w:bCs/>
                <w:u w:val="single"/>
              </w:rPr>
              <w:t>本基金将根据本基金的投资目标和投资策略，基于对基础证券投资价值的深入研究判断，进行存托凭证的投资。</w:t>
            </w:r>
          </w:p>
        </w:tc>
      </w:tr>
      <w:tr w:rsidR="00134A1D" w:rsidTr="006F7CA4">
        <w:trPr>
          <w:jc w:val="center"/>
        </w:trPr>
        <w:tc>
          <w:tcPr>
            <w:tcW w:w="993" w:type="dxa"/>
            <w:vMerge/>
            <w:tcBorders>
              <w:left w:val="single" w:sz="4" w:space="0" w:color="000000"/>
              <w:right w:val="single" w:sz="4" w:space="0" w:color="auto"/>
            </w:tcBorders>
            <w:vAlign w:val="center"/>
            <w:hideMark/>
          </w:tcPr>
          <w:p w:rsidR="00134A1D" w:rsidRDefault="00134A1D" w:rsidP="000435AD"/>
        </w:tc>
        <w:tc>
          <w:tcPr>
            <w:tcW w:w="4252" w:type="dxa"/>
            <w:tcBorders>
              <w:top w:val="single" w:sz="4" w:space="0" w:color="auto"/>
              <w:left w:val="single" w:sz="4" w:space="0" w:color="auto"/>
              <w:right w:val="single" w:sz="4" w:space="0" w:color="auto"/>
            </w:tcBorders>
            <w:hideMark/>
          </w:tcPr>
          <w:p w:rsidR="00A15BE5" w:rsidRDefault="00A15BE5" w:rsidP="000435AD">
            <w:r w:rsidRPr="00984EA4">
              <w:rPr>
                <w:rFonts w:hint="eastAsia"/>
              </w:rPr>
              <w:t>五、投资限制</w:t>
            </w:r>
          </w:p>
          <w:p w:rsidR="00134A1D" w:rsidRDefault="00134A1D" w:rsidP="000435AD">
            <w:r w:rsidRPr="002C0E12">
              <w:rPr>
                <w:rFonts w:hint="eastAsia"/>
              </w:rPr>
              <w:t>（二）投资组合限制</w:t>
            </w:r>
          </w:p>
          <w:p w:rsidR="00134A1D" w:rsidRDefault="00134A1D" w:rsidP="000435AD">
            <w:r w:rsidRPr="002C0E12">
              <w:rPr>
                <w:rFonts w:hint="eastAsia"/>
              </w:rPr>
              <w:t>本基金的投资组合将遵循以下限制：</w:t>
            </w:r>
          </w:p>
          <w:p w:rsidR="00134A1D" w:rsidRDefault="00134A1D" w:rsidP="000435AD">
            <w:r>
              <w:rPr>
                <w:rFonts w:hint="eastAsia"/>
              </w:rPr>
              <w:t>无</w:t>
            </w:r>
          </w:p>
        </w:tc>
        <w:tc>
          <w:tcPr>
            <w:tcW w:w="4536" w:type="dxa"/>
            <w:tcBorders>
              <w:top w:val="single" w:sz="4" w:space="0" w:color="auto"/>
              <w:left w:val="single" w:sz="4" w:space="0" w:color="auto"/>
              <w:right w:val="single" w:sz="4" w:space="0" w:color="auto"/>
            </w:tcBorders>
            <w:hideMark/>
          </w:tcPr>
          <w:p w:rsidR="00A15BE5" w:rsidRPr="00A15BE5" w:rsidRDefault="00A15BE5" w:rsidP="000435AD">
            <w:r w:rsidRPr="00A15BE5">
              <w:rPr>
                <w:rFonts w:hint="eastAsia"/>
              </w:rPr>
              <w:t>五、投资限制</w:t>
            </w:r>
          </w:p>
          <w:p w:rsidR="00134A1D" w:rsidRDefault="00134A1D" w:rsidP="000435AD">
            <w:r w:rsidRPr="002C0E12">
              <w:rPr>
                <w:rFonts w:hint="eastAsia"/>
              </w:rPr>
              <w:t>（二）投资组合限制</w:t>
            </w:r>
          </w:p>
          <w:p w:rsidR="00134A1D" w:rsidRDefault="00134A1D" w:rsidP="000435AD">
            <w:r w:rsidRPr="002C0E12">
              <w:rPr>
                <w:rFonts w:hint="eastAsia"/>
              </w:rPr>
              <w:t>本基金的投资组合将遵循以下限制：</w:t>
            </w:r>
          </w:p>
          <w:p w:rsidR="00134A1D" w:rsidRDefault="00134A1D" w:rsidP="000435AD">
            <w:r w:rsidRPr="002C0E12">
              <w:rPr>
                <w:b/>
                <w:bCs/>
                <w:u w:val="single"/>
              </w:rPr>
              <w:t>14</w:t>
            </w:r>
            <w:r w:rsidRPr="002C0E12">
              <w:rPr>
                <w:b/>
                <w:bCs/>
                <w:u w:val="single"/>
              </w:rPr>
              <w:t>、本基金投资存托凭证的比例限制依照境内上市交易的股票执行，与境内上市交易的股票合并计算；</w:t>
            </w:r>
          </w:p>
        </w:tc>
      </w:tr>
      <w:tr w:rsidR="00134A1D" w:rsidTr="006F7CA4">
        <w:trPr>
          <w:jc w:val="center"/>
        </w:trPr>
        <w:tc>
          <w:tcPr>
            <w:tcW w:w="993" w:type="dxa"/>
            <w:vMerge/>
            <w:tcBorders>
              <w:left w:val="single" w:sz="4" w:space="0" w:color="000000"/>
              <w:right w:val="single" w:sz="4" w:space="0" w:color="auto"/>
            </w:tcBorders>
            <w:vAlign w:val="center"/>
          </w:tcPr>
          <w:p w:rsidR="00134A1D" w:rsidRDefault="00134A1D" w:rsidP="000435AD"/>
        </w:tc>
        <w:tc>
          <w:tcPr>
            <w:tcW w:w="4252" w:type="dxa"/>
            <w:tcBorders>
              <w:top w:val="single" w:sz="4" w:space="0" w:color="auto"/>
              <w:left w:val="single" w:sz="4" w:space="0" w:color="auto"/>
              <w:right w:val="single" w:sz="4" w:space="0" w:color="auto"/>
            </w:tcBorders>
          </w:tcPr>
          <w:p w:rsidR="00134A1D" w:rsidRDefault="00134A1D" w:rsidP="000435AD">
            <w:r w:rsidRPr="002C0E12">
              <w:rPr>
                <w:rFonts w:hint="eastAsia"/>
              </w:rPr>
              <w:t>六、业绩比较基准</w:t>
            </w:r>
          </w:p>
          <w:p w:rsidR="00134A1D" w:rsidRPr="00F51A70" w:rsidRDefault="00134A1D" w:rsidP="000435AD">
            <w:pPr>
              <w:rPr>
                <w:b/>
                <w:strike/>
              </w:rPr>
            </w:pPr>
            <w:r w:rsidRPr="00F51A70">
              <w:rPr>
                <w:b/>
                <w:strike/>
              </w:rPr>
              <w:t>如果中证下游消费与服务产业指数被停止编制及发布，或者中证下游消费与服务产业指数由其他指数替代（单纯更名除外），或者由于指数编制方法等重大变更导致中证下游消费与服务产业指数不宜继续作为本基金的投资标的指数及业绩比较基准或者证券市场有其他代表性更强、更适合投资的指数推出，基金管理人可以依据审慎性原则和维护基金份额持有人合法权益的原则，履行适当程序后变更本基金的标的指数和业绩比较基准，并依</w:t>
            </w:r>
            <w:r w:rsidRPr="00F51A70">
              <w:rPr>
                <w:rFonts w:hint="eastAsia"/>
                <w:b/>
                <w:strike/>
              </w:rPr>
              <w:t>照《信息披露办法》的有关规定在指定媒介</w:t>
            </w:r>
            <w:r w:rsidRPr="00F51A70">
              <w:rPr>
                <w:b/>
                <w:strike/>
              </w:rPr>
              <w:t>上予以公告。</w:t>
            </w:r>
          </w:p>
        </w:tc>
        <w:tc>
          <w:tcPr>
            <w:tcW w:w="4536" w:type="dxa"/>
            <w:tcBorders>
              <w:top w:val="single" w:sz="4" w:space="0" w:color="auto"/>
              <w:left w:val="single" w:sz="4" w:space="0" w:color="auto"/>
              <w:right w:val="single" w:sz="4" w:space="0" w:color="auto"/>
            </w:tcBorders>
          </w:tcPr>
          <w:p w:rsidR="00134A1D" w:rsidRDefault="00134A1D" w:rsidP="000435AD">
            <w:r>
              <w:rPr>
                <w:rFonts w:hint="eastAsia"/>
              </w:rPr>
              <w:t>六、业绩比较基准</w:t>
            </w:r>
          </w:p>
          <w:p w:rsidR="00134A1D" w:rsidRPr="009907D9" w:rsidRDefault="00134A1D" w:rsidP="000435AD">
            <w:pPr>
              <w:rPr>
                <w:b/>
                <w:u w:val="single"/>
              </w:rPr>
            </w:pPr>
            <w:r w:rsidRPr="009907D9">
              <w:rPr>
                <w:rFonts w:hint="eastAsia"/>
                <w:b/>
                <w:u w:val="single"/>
              </w:rPr>
              <w:t>未来若出现标的指数不符合《指数基金指引》要求（因成份股价格波动等指数编制方法变动之外的因素致使标的指数不符合要求及法律法规、监管机构另有规定的情形除外）、指数编制机构退出等情形，基金管理人应当自该情形发生之日起十个工作日向中国证监会报告并提出解决方案，如更换基金标的指数、转换运作方式，与其他基金合并、或者终止基金合同等，并在</w:t>
            </w:r>
            <w:r w:rsidRPr="009907D9">
              <w:rPr>
                <w:b/>
                <w:u w:val="single"/>
              </w:rPr>
              <w:t>6</w:t>
            </w:r>
            <w:r w:rsidRPr="009907D9">
              <w:rPr>
                <w:b/>
                <w:u w:val="single"/>
              </w:rPr>
              <w:t>个月内召集基金份额持有人大会进行表决，基金份额持有人大会未成功召开或就上述事项表决未通过的，本基金合同终止。</w:t>
            </w:r>
          </w:p>
          <w:p w:rsidR="00134A1D" w:rsidRPr="002C0E12" w:rsidRDefault="00134A1D" w:rsidP="00DE307D">
            <w:r w:rsidRPr="009907D9">
              <w:rPr>
                <w:rFonts w:hint="eastAsia"/>
                <w:b/>
                <w:u w:val="single"/>
              </w:rPr>
              <w:t>自指数编制机构停止标的指数的编制及发布至解决方案确定期间，基金管理人应按照指数编制机构提供的最近一个交易日的指数信息遵循基金份额持有人利益优先原则维持基金投资运作。</w:t>
            </w:r>
          </w:p>
        </w:tc>
      </w:tr>
      <w:tr w:rsidR="00134A1D" w:rsidTr="006F7CA4">
        <w:trPr>
          <w:jc w:val="center"/>
        </w:trPr>
        <w:tc>
          <w:tcPr>
            <w:tcW w:w="993" w:type="dxa"/>
            <w:vMerge/>
            <w:tcBorders>
              <w:left w:val="single" w:sz="4" w:space="0" w:color="000000"/>
              <w:bottom w:val="single" w:sz="4" w:space="0" w:color="auto"/>
              <w:right w:val="single" w:sz="4" w:space="0" w:color="auto"/>
            </w:tcBorders>
            <w:vAlign w:val="center"/>
          </w:tcPr>
          <w:p w:rsidR="00134A1D" w:rsidRPr="005E5D65" w:rsidRDefault="00134A1D" w:rsidP="000435AD"/>
        </w:tc>
        <w:tc>
          <w:tcPr>
            <w:tcW w:w="4252" w:type="dxa"/>
            <w:tcBorders>
              <w:top w:val="single" w:sz="4" w:space="0" w:color="auto"/>
              <w:left w:val="single" w:sz="4" w:space="0" w:color="auto"/>
              <w:right w:val="single" w:sz="4" w:space="0" w:color="auto"/>
            </w:tcBorders>
          </w:tcPr>
          <w:p w:rsidR="00134A1D" w:rsidRDefault="00134A1D" w:rsidP="000435AD">
            <w:r w:rsidRPr="005E5D65">
              <w:rPr>
                <w:rFonts w:hint="eastAsia"/>
              </w:rPr>
              <w:t>八、基金管理人代表基金行使</w:t>
            </w:r>
            <w:r w:rsidRPr="000849E5">
              <w:rPr>
                <w:rFonts w:hint="eastAsia"/>
                <w:b/>
                <w:strike/>
              </w:rPr>
              <w:t>股东</w:t>
            </w:r>
            <w:r w:rsidRPr="005E5D65">
              <w:rPr>
                <w:rFonts w:hint="eastAsia"/>
              </w:rPr>
              <w:t>权利的处理原则及方法</w:t>
            </w:r>
          </w:p>
          <w:p w:rsidR="00134A1D" w:rsidRPr="002C0E12" w:rsidRDefault="00134A1D" w:rsidP="000435AD">
            <w:r w:rsidRPr="005E5D65">
              <w:t>3</w:t>
            </w:r>
            <w:r w:rsidRPr="005E5D65">
              <w:t>、基金管理人按照国家有关规定代表基金独立行使</w:t>
            </w:r>
            <w:r w:rsidRPr="000849E5">
              <w:rPr>
                <w:b/>
                <w:strike/>
              </w:rPr>
              <w:t>股东</w:t>
            </w:r>
            <w:r w:rsidRPr="005E5D65">
              <w:t>权利，保护基金份额持有人的利益。</w:t>
            </w:r>
          </w:p>
        </w:tc>
        <w:tc>
          <w:tcPr>
            <w:tcW w:w="4536" w:type="dxa"/>
            <w:tcBorders>
              <w:top w:val="single" w:sz="4" w:space="0" w:color="auto"/>
              <w:left w:val="single" w:sz="4" w:space="0" w:color="auto"/>
              <w:right w:val="single" w:sz="4" w:space="0" w:color="auto"/>
            </w:tcBorders>
          </w:tcPr>
          <w:p w:rsidR="00134A1D" w:rsidRDefault="00134A1D" w:rsidP="000435AD">
            <w:r w:rsidRPr="005E5D65">
              <w:rPr>
                <w:rFonts w:hint="eastAsia"/>
              </w:rPr>
              <w:t>八、基金管理人代表基金行使</w:t>
            </w:r>
            <w:r w:rsidRPr="000849E5">
              <w:rPr>
                <w:rFonts w:hint="eastAsia"/>
                <w:b/>
                <w:u w:val="single"/>
              </w:rPr>
              <w:t>相关</w:t>
            </w:r>
            <w:r w:rsidRPr="005E5D65">
              <w:rPr>
                <w:rFonts w:hint="eastAsia"/>
              </w:rPr>
              <w:t>权利的处理原则及方法</w:t>
            </w:r>
          </w:p>
          <w:p w:rsidR="00134A1D" w:rsidRDefault="00134A1D" w:rsidP="000435AD">
            <w:r w:rsidRPr="005E5D65">
              <w:t>3</w:t>
            </w:r>
            <w:r w:rsidRPr="005E5D65">
              <w:t>、基金管理人按照国家有关规定代表基金独立行使</w:t>
            </w:r>
            <w:r w:rsidRPr="000849E5">
              <w:rPr>
                <w:b/>
                <w:u w:val="single"/>
              </w:rPr>
              <w:t>相关</w:t>
            </w:r>
            <w:r w:rsidRPr="005E5D65">
              <w:t>权利，保护基金份额持有人的利益。</w:t>
            </w:r>
          </w:p>
        </w:tc>
      </w:tr>
      <w:tr w:rsidR="00DE307D" w:rsidTr="00004952">
        <w:trPr>
          <w:jc w:val="center"/>
        </w:trPr>
        <w:tc>
          <w:tcPr>
            <w:tcW w:w="993" w:type="dxa"/>
            <w:vMerge w:val="restart"/>
            <w:tcBorders>
              <w:top w:val="single" w:sz="4" w:space="0" w:color="auto"/>
              <w:left w:val="single" w:sz="4" w:space="0" w:color="000000"/>
              <w:right w:val="single" w:sz="4" w:space="0" w:color="auto"/>
            </w:tcBorders>
            <w:hideMark/>
          </w:tcPr>
          <w:p w:rsidR="00DE307D" w:rsidRDefault="00DE307D" w:rsidP="000435AD">
            <w:pPr>
              <w:pStyle w:val="aa"/>
            </w:pPr>
            <w:r>
              <w:rPr>
                <w:b/>
                <w:bCs/>
              </w:rPr>
              <w:t>第十四部分</w:t>
            </w:r>
            <w:r>
              <w:rPr>
                <w:b/>
                <w:bCs/>
              </w:rPr>
              <w:t xml:space="preserve"> </w:t>
            </w:r>
            <w:r>
              <w:rPr>
                <w:b/>
                <w:bCs/>
              </w:rPr>
              <w:t>基金资产估值</w:t>
            </w:r>
          </w:p>
        </w:tc>
        <w:tc>
          <w:tcPr>
            <w:tcW w:w="4252" w:type="dxa"/>
            <w:tcBorders>
              <w:top w:val="single" w:sz="4" w:space="0" w:color="auto"/>
              <w:left w:val="single" w:sz="4" w:space="0" w:color="auto"/>
              <w:right w:val="single" w:sz="4" w:space="0" w:color="auto"/>
            </w:tcBorders>
            <w:hideMark/>
          </w:tcPr>
          <w:p w:rsidR="00DE307D" w:rsidRDefault="00DE307D" w:rsidP="000435AD">
            <w:r>
              <w:rPr>
                <w:rFonts w:hint="eastAsia"/>
              </w:rPr>
              <w:t>三</w:t>
            </w:r>
            <w:r>
              <w:t>、估值对象</w:t>
            </w:r>
          </w:p>
          <w:p w:rsidR="00DE307D" w:rsidRDefault="00DE307D" w:rsidP="000435AD">
            <w:r w:rsidRPr="00F51A70">
              <w:rPr>
                <w:rFonts w:hint="eastAsia"/>
              </w:rPr>
              <w:t>基金所拥有的股票、债券、权证、金融衍生品和银行存款本息等资产和负债。</w:t>
            </w:r>
          </w:p>
        </w:tc>
        <w:tc>
          <w:tcPr>
            <w:tcW w:w="4536" w:type="dxa"/>
            <w:tcBorders>
              <w:top w:val="single" w:sz="4" w:space="0" w:color="auto"/>
              <w:left w:val="single" w:sz="4" w:space="0" w:color="auto"/>
              <w:right w:val="single" w:sz="4" w:space="0" w:color="auto"/>
            </w:tcBorders>
            <w:hideMark/>
          </w:tcPr>
          <w:p w:rsidR="00DE307D" w:rsidRDefault="00DE307D" w:rsidP="000435AD">
            <w:r>
              <w:rPr>
                <w:rFonts w:hint="eastAsia"/>
              </w:rPr>
              <w:t>三</w:t>
            </w:r>
            <w:r>
              <w:t>、估值对象</w:t>
            </w:r>
          </w:p>
          <w:p w:rsidR="00DE307D" w:rsidRDefault="00DE307D" w:rsidP="00DE307D">
            <w:r w:rsidRPr="00F51A70">
              <w:rPr>
                <w:rFonts w:hint="eastAsia"/>
              </w:rPr>
              <w:t>基金所拥有的股票</w:t>
            </w:r>
            <w:r w:rsidRPr="00F51A70">
              <w:rPr>
                <w:rFonts w:hint="eastAsia"/>
                <w:b/>
                <w:u w:val="single"/>
              </w:rPr>
              <w:t>（含存托凭证）</w:t>
            </w:r>
            <w:r w:rsidRPr="00F51A70">
              <w:rPr>
                <w:rFonts w:hint="eastAsia"/>
              </w:rPr>
              <w:t>、债券、权证、金融衍生品和银行存款本息等资产和负债。</w:t>
            </w:r>
          </w:p>
        </w:tc>
      </w:tr>
      <w:tr w:rsidR="00DE307D" w:rsidTr="00004952">
        <w:trPr>
          <w:jc w:val="center"/>
        </w:trPr>
        <w:tc>
          <w:tcPr>
            <w:tcW w:w="993" w:type="dxa"/>
            <w:vMerge/>
            <w:tcBorders>
              <w:left w:val="single" w:sz="4" w:space="0" w:color="000000"/>
              <w:right w:val="single" w:sz="4" w:space="0" w:color="auto"/>
            </w:tcBorders>
            <w:vAlign w:val="center"/>
            <w:hideMark/>
          </w:tcPr>
          <w:p w:rsidR="00DE307D" w:rsidRDefault="00DE307D" w:rsidP="000435AD"/>
        </w:tc>
        <w:tc>
          <w:tcPr>
            <w:tcW w:w="4252" w:type="dxa"/>
            <w:tcBorders>
              <w:top w:val="single" w:sz="4" w:space="0" w:color="auto"/>
              <w:left w:val="single" w:sz="4" w:space="0" w:color="auto"/>
              <w:bottom w:val="single" w:sz="4" w:space="0" w:color="auto"/>
              <w:right w:val="single" w:sz="4" w:space="0" w:color="auto"/>
            </w:tcBorders>
            <w:hideMark/>
          </w:tcPr>
          <w:p w:rsidR="00DE307D" w:rsidRDefault="00DE307D" w:rsidP="000435AD">
            <w:r>
              <w:rPr>
                <w:rFonts w:hint="eastAsia"/>
              </w:rPr>
              <w:t>五</w:t>
            </w:r>
            <w:r>
              <w:t>、估值方法</w:t>
            </w:r>
          </w:p>
          <w:p w:rsidR="00DE307D" w:rsidRDefault="00DE307D" w:rsidP="000435AD">
            <w:r>
              <w:rPr>
                <w:rFonts w:hint="eastAsia"/>
              </w:rPr>
              <w:t>无</w:t>
            </w:r>
          </w:p>
        </w:tc>
        <w:tc>
          <w:tcPr>
            <w:tcW w:w="4536" w:type="dxa"/>
            <w:tcBorders>
              <w:top w:val="single" w:sz="4" w:space="0" w:color="auto"/>
              <w:left w:val="single" w:sz="4" w:space="0" w:color="auto"/>
              <w:bottom w:val="single" w:sz="4" w:space="0" w:color="auto"/>
              <w:right w:val="single" w:sz="4" w:space="0" w:color="auto"/>
            </w:tcBorders>
            <w:hideMark/>
          </w:tcPr>
          <w:p w:rsidR="00DE307D" w:rsidRDefault="00DE307D" w:rsidP="000435AD">
            <w:r>
              <w:rPr>
                <w:rFonts w:hint="eastAsia"/>
              </w:rPr>
              <w:t>五</w:t>
            </w:r>
            <w:r>
              <w:t>、估值方法</w:t>
            </w:r>
          </w:p>
          <w:p w:rsidR="00DE307D" w:rsidRDefault="00DE307D" w:rsidP="000435AD">
            <w:r w:rsidRPr="00F51A70">
              <w:rPr>
                <w:b/>
                <w:bCs/>
                <w:u w:val="single"/>
              </w:rPr>
              <w:t>7</w:t>
            </w:r>
            <w:r w:rsidRPr="00F51A70">
              <w:rPr>
                <w:b/>
                <w:bCs/>
                <w:u w:val="single"/>
              </w:rPr>
              <w:t>、本基金投资存托凭证的估值核算依照境内上市交易的股票执行。</w:t>
            </w:r>
          </w:p>
        </w:tc>
      </w:tr>
      <w:tr w:rsidR="00DE307D" w:rsidTr="00004952">
        <w:trPr>
          <w:jc w:val="center"/>
        </w:trPr>
        <w:tc>
          <w:tcPr>
            <w:tcW w:w="993" w:type="dxa"/>
            <w:vMerge/>
            <w:tcBorders>
              <w:left w:val="single" w:sz="4" w:space="0" w:color="000000"/>
              <w:bottom w:val="single" w:sz="4" w:space="0" w:color="auto"/>
              <w:right w:val="single" w:sz="4" w:space="0" w:color="auto"/>
            </w:tcBorders>
            <w:vAlign w:val="center"/>
          </w:tcPr>
          <w:p w:rsidR="00DE307D" w:rsidRDefault="00DE307D" w:rsidP="000435AD"/>
        </w:tc>
        <w:tc>
          <w:tcPr>
            <w:tcW w:w="4252" w:type="dxa"/>
            <w:tcBorders>
              <w:top w:val="single" w:sz="4" w:space="0" w:color="auto"/>
              <w:left w:val="single" w:sz="4" w:space="0" w:color="auto"/>
              <w:bottom w:val="single" w:sz="4" w:space="0" w:color="auto"/>
              <w:right w:val="single" w:sz="4" w:space="0" w:color="auto"/>
            </w:tcBorders>
          </w:tcPr>
          <w:p w:rsidR="00DE307D" w:rsidRDefault="00DE307D" w:rsidP="000435AD">
            <w:r>
              <w:rPr>
                <w:rFonts w:hint="eastAsia"/>
              </w:rPr>
              <w:t>八、特殊情形的处理</w:t>
            </w:r>
          </w:p>
          <w:p w:rsidR="00DE307D" w:rsidRDefault="00DE307D" w:rsidP="000435AD">
            <w:r>
              <w:t>1</w:t>
            </w:r>
            <w:r>
              <w:t>、基金管理人按估值方法的第</w:t>
            </w:r>
            <w:r>
              <w:t xml:space="preserve"> </w:t>
            </w:r>
            <w:r w:rsidRPr="00657B1D">
              <w:rPr>
                <w:b/>
                <w:strike/>
              </w:rPr>
              <w:t>7</w:t>
            </w:r>
            <w:r>
              <w:t xml:space="preserve"> </w:t>
            </w:r>
            <w:r>
              <w:t>项进行估值时，所造成的误差不作为基金资产估值错误处理；</w:t>
            </w:r>
          </w:p>
        </w:tc>
        <w:tc>
          <w:tcPr>
            <w:tcW w:w="4536" w:type="dxa"/>
            <w:tcBorders>
              <w:top w:val="single" w:sz="4" w:space="0" w:color="auto"/>
              <w:left w:val="single" w:sz="4" w:space="0" w:color="auto"/>
              <w:bottom w:val="single" w:sz="4" w:space="0" w:color="auto"/>
              <w:right w:val="single" w:sz="4" w:space="0" w:color="auto"/>
            </w:tcBorders>
          </w:tcPr>
          <w:p w:rsidR="00DE307D" w:rsidRDefault="00DE307D" w:rsidP="000435AD">
            <w:r>
              <w:rPr>
                <w:rFonts w:hint="eastAsia"/>
              </w:rPr>
              <w:t>八、特殊情形的处理</w:t>
            </w:r>
          </w:p>
          <w:p w:rsidR="00DE307D" w:rsidRDefault="00DE307D" w:rsidP="000435AD">
            <w:r>
              <w:t>1</w:t>
            </w:r>
            <w:r>
              <w:t>、基金管理人按估值方法的第</w:t>
            </w:r>
            <w:r>
              <w:t xml:space="preserve"> </w:t>
            </w:r>
            <w:r w:rsidRPr="00657B1D">
              <w:rPr>
                <w:b/>
                <w:bCs/>
                <w:u w:val="single"/>
              </w:rPr>
              <w:t>8</w:t>
            </w:r>
            <w:r>
              <w:t xml:space="preserve"> </w:t>
            </w:r>
            <w:r>
              <w:t>项进行估值时，所造成的误差不作为基金资产估值错误处理；</w:t>
            </w:r>
          </w:p>
        </w:tc>
      </w:tr>
      <w:tr w:rsidR="00DE307D" w:rsidTr="00004952">
        <w:trPr>
          <w:jc w:val="center"/>
        </w:trPr>
        <w:tc>
          <w:tcPr>
            <w:tcW w:w="993" w:type="dxa"/>
            <w:tcBorders>
              <w:top w:val="single" w:sz="4" w:space="0" w:color="auto"/>
              <w:left w:val="single" w:sz="4" w:space="0" w:color="000000"/>
              <w:bottom w:val="single" w:sz="4" w:space="0" w:color="auto"/>
              <w:right w:val="single" w:sz="4" w:space="0" w:color="auto"/>
            </w:tcBorders>
            <w:vAlign w:val="center"/>
          </w:tcPr>
          <w:p w:rsidR="00DE307D" w:rsidRDefault="00DE307D" w:rsidP="000435AD">
            <w:pPr>
              <w:rPr>
                <w:b/>
              </w:rPr>
            </w:pPr>
            <w:r w:rsidRPr="00F51A70">
              <w:rPr>
                <w:rFonts w:hint="eastAsia"/>
                <w:b/>
              </w:rPr>
              <w:t>第十九部分</w:t>
            </w:r>
          </w:p>
          <w:p w:rsidR="00DE307D" w:rsidRPr="00F51A70" w:rsidRDefault="00DE307D" w:rsidP="000435AD">
            <w:pPr>
              <w:rPr>
                <w:b/>
              </w:rPr>
            </w:pPr>
            <w:r w:rsidRPr="00F51A70">
              <w:rPr>
                <w:b/>
              </w:rPr>
              <w:t>基金合同的变更、终止与基金财产的清算</w:t>
            </w:r>
          </w:p>
        </w:tc>
        <w:tc>
          <w:tcPr>
            <w:tcW w:w="4252" w:type="dxa"/>
            <w:tcBorders>
              <w:top w:val="single" w:sz="4" w:space="0" w:color="auto"/>
              <w:left w:val="single" w:sz="4" w:space="0" w:color="auto"/>
              <w:right w:val="single" w:sz="4" w:space="0" w:color="auto"/>
            </w:tcBorders>
          </w:tcPr>
          <w:p w:rsidR="00DE307D" w:rsidRDefault="00DE307D" w:rsidP="000435AD">
            <w:r>
              <w:rPr>
                <w:rFonts w:hint="eastAsia"/>
              </w:rPr>
              <w:t>二、《基金合同》的终止</w:t>
            </w:r>
          </w:p>
          <w:p w:rsidR="00DE307D" w:rsidRDefault="00DE307D" w:rsidP="000435AD">
            <w:r w:rsidRPr="00F51A70">
              <w:rPr>
                <w:rFonts w:hint="eastAsia"/>
              </w:rPr>
              <w:t>有下列情形之一的，《基金合同》应当终止：</w:t>
            </w:r>
          </w:p>
          <w:p w:rsidR="00DE307D" w:rsidRDefault="00DE307D" w:rsidP="000435AD">
            <w:r>
              <w:rPr>
                <w:rFonts w:hint="eastAsia"/>
              </w:rPr>
              <w:t>无</w:t>
            </w:r>
          </w:p>
        </w:tc>
        <w:tc>
          <w:tcPr>
            <w:tcW w:w="4536" w:type="dxa"/>
            <w:tcBorders>
              <w:top w:val="single" w:sz="4" w:space="0" w:color="auto"/>
              <w:left w:val="single" w:sz="4" w:space="0" w:color="auto"/>
              <w:right w:val="single" w:sz="4" w:space="0" w:color="auto"/>
            </w:tcBorders>
          </w:tcPr>
          <w:p w:rsidR="00DE307D" w:rsidRDefault="00DE307D" w:rsidP="000435AD">
            <w:r>
              <w:rPr>
                <w:rFonts w:hint="eastAsia"/>
              </w:rPr>
              <w:t>二、《基金合同》的终止</w:t>
            </w:r>
          </w:p>
          <w:p w:rsidR="00DE307D" w:rsidRDefault="00DE307D" w:rsidP="000435AD">
            <w:r>
              <w:rPr>
                <w:rFonts w:hint="eastAsia"/>
              </w:rPr>
              <w:t>有下列情形之一的，《基金合同》应当终止：</w:t>
            </w:r>
          </w:p>
          <w:p w:rsidR="00DE307D" w:rsidRPr="00F51A70" w:rsidRDefault="00DE307D" w:rsidP="00DE307D">
            <w:pPr>
              <w:rPr>
                <w:b/>
                <w:u w:val="single"/>
              </w:rPr>
            </w:pPr>
            <w:r w:rsidRPr="00F51A70">
              <w:rPr>
                <w:b/>
                <w:u w:val="single"/>
              </w:rPr>
              <w:t>3</w:t>
            </w:r>
            <w:r w:rsidRPr="00F51A70">
              <w:rPr>
                <w:b/>
                <w:u w:val="single"/>
              </w:rPr>
              <w:t>、</w:t>
            </w:r>
            <w:r w:rsidRPr="00A5136E">
              <w:rPr>
                <w:rFonts w:hint="eastAsia"/>
                <w:b/>
                <w:u w:val="single"/>
              </w:rPr>
              <w:t>出现标的指数不符合《指数基金指引》要求（因成份股价格波动等指数编制方法变动之外的因素致使标的指数不符合要求及法律法规、监管机构另有规定的情形除外）、指数编制机构退出等情形，基金管理人召集基金份额持有人大会对解决方案进行表决，基金份额持有人大会未成功召开或就上述事项表决未通过的；</w:t>
            </w:r>
          </w:p>
        </w:tc>
      </w:tr>
      <w:bookmarkEnd w:id="0"/>
    </w:tbl>
    <w:p w:rsidR="00DE307D" w:rsidRPr="00DE307D" w:rsidRDefault="00DE307D" w:rsidP="00004952">
      <w:pPr>
        <w:spacing w:line="360" w:lineRule="auto"/>
        <w:jc w:val="left"/>
      </w:pPr>
    </w:p>
    <w:p w:rsidR="00DE307D" w:rsidRDefault="00DE307D">
      <w:pPr>
        <w:widowControl/>
        <w:jc w:val="left"/>
      </w:pPr>
      <w:r>
        <w:br w:type="page"/>
      </w:r>
    </w:p>
    <w:p w:rsidR="00DE307D" w:rsidRPr="000435AD" w:rsidRDefault="00DE307D" w:rsidP="00DE307D">
      <w:pPr>
        <w:spacing w:line="360" w:lineRule="auto"/>
        <w:jc w:val="left"/>
        <w:rPr>
          <w:b/>
        </w:rPr>
      </w:pPr>
      <w:r w:rsidRPr="000435AD">
        <w:rPr>
          <w:b/>
        </w:rPr>
        <w:t>附件</w:t>
      </w:r>
      <w:r>
        <w:rPr>
          <w:rFonts w:hint="eastAsia"/>
          <w:b/>
        </w:rPr>
        <w:t>二</w:t>
      </w:r>
      <w:r w:rsidRPr="000435AD">
        <w:rPr>
          <w:rFonts w:hint="eastAsia"/>
          <w:b/>
        </w:rPr>
        <w:t>：根据《指数基金指引》修改相关条款、增加存托凭证</w:t>
      </w:r>
      <w:r>
        <w:rPr>
          <w:rFonts w:hint="eastAsia"/>
          <w:b/>
        </w:rPr>
        <w:t>、增加侧袋机制相关内容</w:t>
      </w:r>
      <w:r w:rsidRPr="000435AD">
        <w:rPr>
          <w:rFonts w:hint="eastAsia"/>
          <w:b/>
        </w:rPr>
        <w:t>基金合同修</w:t>
      </w:r>
      <w:r>
        <w:rPr>
          <w:rFonts w:hint="eastAsia"/>
          <w:b/>
        </w:rPr>
        <w:t>改</w:t>
      </w:r>
      <w:r w:rsidRPr="000435AD">
        <w:rPr>
          <w:rFonts w:hint="eastAsia"/>
          <w:b/>
        </w:rPr>
        <w:t>对照表</w:t>
      </w:r>
    </w:p>
    <w:p w:rsidR="00384BDC" w:rsidRDefault="00DE307D" w:rsidP="00DE307D">
      <w:r w:rsidRPr="00DE307D">
        <w:rPr>
          <w:rFonts w:hint="eastAsia"/>
        </w:rPr>
        <w:t>（以国投瑞银沪深</w:t>
      </w:r>
      <w:r w:rsidRPr="00DE307D">
        <w:rPr>
          <w:rFonts w:hint="eastAsia"/>
        </w:rPr>
        <w:t>300</w:t>
      </w:r>
      <w:r w:rsidRPr="00DE307D">
        <w:rPr>
          <w:rFonts w:hint="eastAsia"/>
        </w:rPr>
        <w:t>指数量化增强型证券投资基金基金合同为例）</w:t>
      </w:r>
    </w:p>
    <w:tbl>
      <w:tblPr>
        <w:tblW w:w="9837" w:type="dxa"/>
        <w:jc w:val="center"/>
        <w:tblBorders>
          <w:top w:val="single" w:sz="4" w:space="0" w:color="000000"/>
          <w:left w:val="single" w:sz="4" w:space="0" w:color="000000"/>
          <w:bottom w:val="single" w:sz="4" w:space="0" w:color="000000"/>
          <w:right w:val="single" w:sz="4" w:space="0" w:color="000000"/>
          <w:insideH w:val="single" w:sz="4" w:space="0" w:color="auto"/>
          <w:insideV w:val="single" w:sz="4" w:space="0" w:color="auto"/>
        </w:tblBorders>
        <w:tblLayout w:type="fixed"/>
        <w:tblLook w:val="0000"/>
      </w:tblPr>
      <w:tblGrid>
        <w:gridCol w:w="1129"/>
        <w:gridCol w:w="4079"/>
        <w:gridCol w:w="4629"/>
      </w:tblGrid>
      <w:tr w:rsidR="00DE307D" w:rsidTr="00004952">
        <w:trPr>
          <w:jc w:val="center"/>
        </w:trPr>
        <w:tc>
          <w:tcPr>
            <w:tcW w:w="1129" w:type="dxa"/>
            <w:vMerge w:val="restart"/>
            <w:tcBorders>
              <w:top w:val="single" w:sz="4" w:space="0" w:color="000000"/>
              <w:left w:val="single" w:sz="4" w:space="0" w:color="000000"/>
              <w:bottom w:val="single" w:sz="4" w:space="0" w:color="auto"/>
              <w:right w:val="single" w:sz="4" w:space="0" w:color="auto"/>
            </w:tcBorders>
            <w:vAlign w:val="center"/>
          </w:tcPr>
          <w:p w:rsidR="00DE307D" w:rsidRDefault="00DE307D" w:rsidP="000435AD">
            <w:pPr>
              <w:spacing w:before="100" w:beforeAutospacing="1" w:after="100" w:afterAutospacing="1"/>
              <w:jc w:val="center"/>
            </w:pPr>
            <w:r>
              <w:rPr>
                <w:b/>
                <w:bCs/>
              </w:rPr>
              <w:t>章节</w:t>
            </w:r>
          </w:p>
        </w:tc>
        <w:tc>
          <w:tcPr>
            <w:tcW w:w="4079" w:type="dxa"/>
            <w:tcBorders>
              <w:top w:val="single" w:sz="4" w:space="0" w:color="000000"/>
              <w:left w:val="single" w:sz="4" w:space="0" w:color="auto"/>
              <w:bottom w:val="single" w:sz="4" w:space="0" w:color="auto"/>
              <w:right w:val="single" w:sz="4" w:space="0" w:color="auto"/>
            </w:tcBorders>
            <w:vAlign w:val="center"/>
          </w:tcPr>
          <w:p w:rsidR="00DE307D" w:rsidRDefault="00DE307D" w:rsidP="000435AD">
            <w:pPr>
              <w:pStyle w:val="aa"/>
              <w:jc w:val="center"/>
            </w:pPr>
            <w:r>
              <w:rPr>
                <w:rFonts w:hint="eastAsia"/>
                <w:b/>
                <w:bCs/>
              </w:rPr>
              <w:t>原文条款</w:t>
            </w:r>
          </w:p>
        </w:tc>
        <w:tc>
          <w:tcPr>
            <w:tcW w:w="4629" w:type="dxa"/>
            <w:tcBorders>
              <w:top w:val="single" w:sz="4" w:space="0" w:color="000000"/>
              <w:left w:val="single" w:sz="4" w:space="0" w:color="auto"/>
              <w:bottom w:val="single" w:sz="4" w:space="0" w:color="auto"/>
              <w:right w:val="single" w:sz="4" w:space="0" w:color="auto"/>
            </w:tcBorders>
            <w:vAlign w:val="center"/>
          </w:tcPr>
          <w:p w:rsidR="00DE307D" w:rsidRDefault="00DE307D" w:rsidP="000435AD">
            <w:pPr>
              <w:spacing w:before="100" w:beforeAutospacing="1" w:after="100" w:afterAutospacing="1"/>
              <w:jc w:val="center"/>
            </w:pPr>
            <w:r>
              <w:rPr>
                <w:rFonts w:hint="eastAsia"/>
                <w:b/>
                <w:bCs/>
              </w:rPr>
              <w:t>修改后条款</w:t>
            </w:r>
          </w:p>
        </w:tc>
      </w:tr>
      <w:tr w:rsidR="00DE307D" w:rsidTr="00004952">
        <w:trPr>
          <w:jc w:val="center"/>
        </w:trPr>
        <w:tc>
          <w:tcPr>
            <w:tcW w:w="1129" w:type="dxa"/>
            <w:vMerge/>
            <w:tcBorders>
              <w:top w:val="single" w:sz="4" w:space="0" w:color="000000"/>
              <w:left w:val="single" w:sz="4" w:space="0" w:color="000000"/>
              <w:bottom w:val="single" w:sz="4" w:space="0" w:color="auto"/>
              <w:right w:val="single" w:sz="4" w:space="0" w:color="auto"/>
            </w:tcBorders>
            <w:vAlign w:val="center"/>
          </w:tcPr>
          <w:p w:rsidR="00DE307D" w:rsidRDefault="00DE307D" w:rsidP="000435AD">
            <w:pPr>
              <w:jc w:val="center"/>
            </w:pPr>
          </w:p>
        </w:tc>
        <w:tc>
          <w:tcPr>
            <w:tcW w:w="4079" w:type="dxa"/>
            <w:tcBorders>
              <w:top w:val="single" w:sz="4" w:space="0" w:color="auto"/>
              <w:left w:val="single" w:sz="4" w:space="0" w:color="auto"/>
              <w:bottom w:val="single" w:sz="4" w:space="0" w:color="auto"/>
              <w:right w:val="single" w:sz="4" w:space="0" w:color="auto"/>
            </w:tcBorders>
            <w:vAlign w:val="center"/>
          </w:tcPr>
          <w:p w:rsidR="00DE307D" w:rsidRDefault="00DE307D" w:rsidP="000435AD">
            <w:pPr>
              <w:spacing w:before="100" w:beforeAutospacing="1" w:after="100" w:afterAutospacing="1"/>
              <w:jc w:val="center"/>
            </w:pPr>
            <w:r>
              <w:rPr>
                <w:b/>
                <w:bCs/>
              </w:rPr>
              <w:t>内容</w:t>
            </w:r>
          </w:p>
        </w:tc>
        <w:tc>
          <w:tcPr>
            <w:tcW w:w="4629" w:type="dxa"/>
            <w:tcBorders>
              <w:top w:val="single" w:sz="4" w:space="0" w:color="auto"/>
              <w:left w:val="single" w:sz="4" w:space="0" w:color="auto"/>
              <w:bottom w:val="single" w:sz="4" w:space="0" w:color="auto"/>
              <w:right w:val="single" w:sz="4" w:space="0" w:color="auto"/>
            </w:tcBorders>
            <w:vAlign w:val="center"/>
          </w:tcPr>
          <w:p w:rsidR="00DE307D" w:rsidRDefault="00DE307D" w:rsidP="000435AD">
            <w:pPr>
              <w:spacing w:before="100" w:beforeAutospacing="1" w:after="100" w:afterAutospacing="1"/>
              <w:jc w:val="center"/>
            </w:pPr>
            <w:r>
              <w:rPr>
                <w:b/>
                <w:bCs/>
              </w:rPr>
              <w:t>内容</w:t>
            </w:r>
          </w:p>
        </w:tc>
      </w:tr>
      <w:tr w:rsidR="00DE307D" w:rsidRPr="00556D85" w:rsidTr="00004952">
        <w:trPr>
          <w:jc w:val="center"/>
        </w:trPr>
        <w:tc>
          <w:tcPr>
            <w:tcW w:w="1129" w:type="dxa"/>
            <w:vMerge w:val="restart"/>
            <w:tcBorders>
              <w:top w:val="single" w:sz="4" w:space="0" w:color="auto"/>
              <w:left w:val="single" w:sz="4" w:space="0" w:color="000000"/>
              <w:right w:val="single" w:sz="4" w:space="0" w:color="auto"/>
            </w:tcBorders>
          </w:tcPr>
          <w:p w:rsidR="00DE307D" w:rsidRDefault="00DE307D" w:rsidP="000435AD">
            <w:pPr>
              <w:pStyle w:val="aa"/>
            </w:pPr>
            <w:r>
              <w:rPr>
                <w:b/>
                <w:bCs/>
              </w:rPr>
              <w:t>第一部分</w:t>
            </w:r>
            <w:r>
              <w:rPr>
                <w:b/>
                <w:bCs/>
              </w:rPr>
              <w:t xml:space="preserve"> </w:t>
            </w:r>
            <w:r>
              <w:rPr>
                <w:b/>
                <w:bCs/>
              </w:rPr>
              <w:t>前言</w:t>
            </w:r>
          </w:p>
        </w:tc>
        <w:tc>
          <w:tcPr>
            <w:tcW w:w="4079" w:type="dxa"/>
            <w:tcBorders>
              <w:top w:val="single" w:sz="4" w:space="0" w:color="auto"/>
              <w:left w:val="single" w:sz="4" w:space="0" w:color="auto"/>
              <w:right w:val="single" w:sz="4" w:space="0" w:color="auto"/>
            </w:tcBorders>
          </w:tcPr>
          <w:p w:rsidR="00DE307D" w:rsidRDefault="00DE307D" w:rsidP="000435AD">
            <w:r w:rsidRPr="00AE2101">
              <w:rPr>
                <w:rFonts w:hint="eastAsia"/>
              </w:rPr>
              <w:t>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公开募集开放式证券投资基金流动性风险管理规定》（以下简称“《流动性风险规定》”）</w:t>
            </w:r>
            <w:r w:rsidRPr="00AE2101">
              <w:t>和其他有关</w:t>
            </w:r>
            <w:r w:rsidRPr="00AE2101">
              <w:rPr>
                <w:rFonts w:hint="eastAsia"/>
              </w:rPr>
              <w:t>法律法规。</w:t>
            </w:r>
          </w:p>
        </w:tc>
        <w:tc>
          <w:tcPr>
            <w:tcW w:w="4629" w:type="dxa"/>
            <w:tcBorders>
              <w:top w:val="single" w:sz="4" w:space="0" w:color="auto"/>
              <w:left w:val="single" w:sz="4" w:space="0" w:color="auto"/>
              <w:right w:val="single" w:sz="4" w:space="0" w:color="auto"/>
            </w:tcBorders>
          </w:tcPr>
          <w:p w:rsidR="00DE307D" w:rsidRDefault="00DE307D" w:rsidP="000435AD">
            <w:r w:rsidRPr="00AE2101">
              <w:rPr>
                <w:rFonts w:hint="eastAsia"/>
              </w:rPr>
              <w:t>订立本基金合同的依据是《中华人民共和国合同法》（以下简称“《合同法》”）、《中华人民共和国证券投资基金法》（以下简称“《基金法》”）、《公开募集证券投资基金运作管理办法》（以下简称“《运作办法》”）、《证券投资基金销售管理办法》（以下简称“《销售办法》”）、《公开募集证券投资基金信息披露管理办法》（以下简称“《信息披露办法》”）、《</w:t>
            </w:r>
            <w:bookmarkStart w:id="1" w:name="_GoBack"/>
            <w:bookmarkEnd w:id="1"/>
            <w:r w:rsidRPr="00AE2101">
              <w:rPr>
                <w:rFonts w:hint="eastAsia"/>
              </w:rPr>
              <w:t>公开募集开放式证券投资基金流动性风险管理规定》（以下简称“《流动性风险规定》”）</w:t>
            </w:r>
            <w:r w:rsidRPr="00255D9A">
              <w:rPr>
                <w:rFonts w:hint="eastAsia"/>
                <w:b/>
                <w:u w:val="single"/>
              </w:rPr>
              <w:t>、《公开募集证券投资基金运作指引第</w:t>
            </w:r>
            <w:r w:rsidRPr="00255D9A">
              <w:rPr>
                <w:b/>
                <w:u w:val="single"/>
              </w:rPr>
              <w:t>3</w:t>
            </w:r>
            <w:r w:rsidRPr="00255D9A">
              <w:rPr>
                <w:b/>
                <w:u w:val="single"/>
              </w:rPr>
              <w:t>号</w:t>
            </w:r>
            <w:r w:rsidRPr="00255D9A">
              <w:rPr>
                <w:b/>
                <w:u w:val="single"/>
              </w:rPr>
              <w:t>——</w:t>
            </w:r>
            <w:r w:rsidRPr="00255D9A">
              <w:rPr>
                <w:b/>
                <w:u w:val="single"/>
              </w:rPr>
              <w:t>指数基金指引》（以下简称</w:t>
            </w:r>
            <w:r w:rsidRPr="00255D9A">
              <w:rPr>
                <w:b/>
                <w:u w:val="single"/>
              </w:rPr>
              <w:t>“</w:t>
            </w:r>
            <w:r w:rsidRPr="00255D9A">
              <w:rPr>
                <w:b/>
                <w:u w:val="single"/>
              </w:rPr>
              <w:t>《指数基金指引》</w:t>
            </w:r>
            <w:r w:rsidRPr="00255D9A">
              <w:rPr>
                <w:b/>
                <w:u w:val="single"/>
              </w:rPr>
              <w:t>”</w:t>
            </w:r>
            <w:r w:rsidRPr="00255D9A">
              <w:rPr>
                <w:b/>
                <w:u w:val="single"/>
              </w:rPr>
              <w:t>）</w:t>
            </w:r>
            <w:r w:rsidRPr="00AE2101">
              <w:t>和其他有关</w:t>
            </w:r>
            <w:r w:rsidRPr="00AE2101">
              <w:rPr>
                <w:rFonts w:hint="eastAsia"/>
              </w:rPr>
              <w:t>法律法规。</w:t>
            </w:r>
          </w:p>
        </w:tc>
      </w:tr>
      <w:tr w:rsidR="00DE307D" w:rsidTr="00004952">
        <w:trPr>
          <w:jc w:val="center"/>
        </w:trPr>
        <w:tc>
          <w:tcPr>
            <w:tcW w:w="1129" w:type="dxa"/>
            <w:vMerge/>
            <w:tcBorders>
              <w:left w:val="single" w:sz="4" w:space="0" w:color="000000"/>
              <w:bottom w:val="single" w:sz="4" w:space="0" w:color="auto"/>
              <w:right w:val="single" w:sz="4" w:space="0" w:color="auto"/>
            </w:tcBorders>
          </w:tcPr>
          <w:p w:rsidR="00DE307D" w:rsidRDefault="00DE307D" w:rsidP="000435AD">
            <w:pPr>
              <w:pStyle w:val="aa"/>
              <w:rPr>
                <w:b/>
                <w:bCs/>
              </w:rPr>
            </w:pPr>
          </w:p>
        </w:tc>
        <w:tc>
          <w:tcPr>
            <w:tcW w:w="4079" w:type="dxa"/>
            <w:tcBorders>
              <w:top w:val="single" w:sz="4" w:space="0" w:color="auto"/>
              <w:left w:val="single" w:sz="4" w:space="0" w:color="auto"/>
              <w:right w:val="single" w:sz="4" w:space="0" w:color="auto"/>
            </w:tcBorders>
          </w:tcPr>
          <w:p w:rsidR="00DE307D" w:rsidRDefault="00DE307D" w:rsidP="000435AD">
            <w:r>
              <w:rPr>
                <w:rFonts w:hint="eastAsia"/>
              </w:rPr>
              <w:t>无</w:t>
            </w:r>
          </w:p>
        </w:tc>
        <w:tc>
          <w:tcPr>
            <w:tcW w:w="4629" w:type="dxa"/>
            <w:tcBorders>
              <w:top w:val="single" w:sz="4" w:space="0" w:color="auto"/>
              <w:left w:val="single" w:sz="4" w:space="0" w:color="auto"/>
              <w:right w:val="single" w:sz="4" w:space="0" w:color="auto"/>
            </w:tcBorders>
          </w:tcPr>
          <w:p w:rsidR="00DE307D" w:rsidRDefault="00DE307D" w:rsidP="000435AD">
            <w:pPr>
              <w:rPr>
                <w:b/>
                <w:bCs/>
                <w:u w:val="single"/>
              </w:rPr>
            </w:pPr>
            <w:r w:rsidRPr="00A92CC2">
              <w:rPr>
                <w:rFonts w:hint="eastAsia"/>
                <w:b/>
                <w:bCs/>
                <w:u w:val="single"/>
              </w:rPr>
              <w:t>本基金为指数增强型股票基金，投资者投资于本基金面临跟踪误差控制未达约定目标、指数编制机构停止服务、成份股停牌等潜在风险，详见本基金招募说明书。</w:t>
            </w:r>
          </w:p>
          <w:p w:rsidR="00DE307D" w:rsidRPr="00293DE9" w:rsidRDefault="00DE307D" w:rsidP="000435AD">
            <w:pPr>
              <w:rPr>
                <w:bCs/>
                <w:u w:val="single"/>
              </w:rPr>
            </w:pPr>
            <w:r w:rsidRPr="00413E49">
              <w:rPr>
                <w:rFonts w:hint="eastAsia"/>
                <w:bCs/>
                <w:szCs w:val="21"/>
              </w:rPr>
              <w:t>……</w:t>
            </w:r>
          </w:p>
          <w:p w:rsidR="00DE307D" w:rsidRDefault="00DE307D" w:rsidP="000435AD">
            <w:r>
              <w:rPr>
                <w:rFonts w:hint="eastAsia"/>
                <w:b/>
                <w:bCs/>
                <w:u w:val="single"/>
              </w:rPr>
              <w:t>六</w:t>
            </w:r>
            <w:r>
              <w:rPr>
                <w:b/>
                <w:bCs/>
                <w:u w:val="single"/>
              </w:rPr>
              <w:t>、当本基金持有特定资产且存在或潜在大额赎回申请时，基金管理人履行相应程序后，可以启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r>
              <w:t xml:space="preserve"> </w:t>
            </w:r>
          </w:p>
          <w:p w:rsidR="00DE307D" w:rsidRDefault="00DE307D" w:rsidP="000435AD">
            <w:r>
              <w:rPr>
                <w:rFonts w:hint="eastAsia"/>
                <w:b/>
                <w:bCs/>
                <w:u w:val="single"/>
              </w:rPr>
              <w:t>七</w:t>
            </w:r>
            <w:r>
              <w:rPr>
                <w:b/>
                <w:bCs/>
                <w:u w:val="single"/>
              </w:rPr>
              <w:t>、本基金的投资范围包括存托凭证，可能面临中国存托凭证价格大幅波动甚至出现较大亏损的风险，以及与中国存托凭证发行机制相关的风险。</w:t>
            </w:r>
          </w:p>
        </w:tc>
      </w:tr>
      <w:tr w:rsidR="00DE307D" w:rsidTr="00004952">
        <w:trPr>
          <w:jc w:val="center"/>
        </w:trPr>
        <w:tc>
          <w:tcPr>
            <w:tcW w:w="1129" w:type="dxa"/>
            <w:tcBorders>
              <w:top w:val="single" w:sz="4" w:space="0" w:color="auto"/>
              <w:left w:val="single" w:sz="4" w:space="0" w:color="000000"/>
              <w:bottom w:val="single" w:sz="4" w:space="0" w:color="auto"/>
              <w:right w:val="single" w:sz="4" w:space="0" w:color="auto"/>
            </w:tcBorders>
          </w:tcPr>
          <w:p w:rsidR="00DE307D" w:rsidRDefault="00DE307D" w:rsidP="000435AD">
            <w:pPr>
              <w:pStyle w:val="aa"/>
            </w:pPr>
            <w:r>
              <w:rPr>
                <w:b/>
                <w:bCs/>
              </w:rPr>
              <w:t>第二部分</w:t>
            </w:r>
            <w:r>
              <w:rPr>
                <w:b/>
                <w:bCs/>
              </w:rPr>
              <w:t xml:space="preserve"> </w:t>
            </w:r>
            <w:r>
              <w:rPr>
                <w:b/>
                <w:bCs/>
              </w:rPr>
              <w:t>释义</w:t>
            </w:r>
          </w:p>
        </w:tc>
        <w:tc>
          <w:tcPr>
            <w:tcW w:w="4079" w:type="dxa"/>
            <w:tcBorders>
              <w:top w:val="single" w:sz="4" w:space="0" w:color="auto"/>
              <w:left w:val="single" w:sz="4" w:space="0" w:color="auto"/>
              <w:right w:val="single" w:sz="4" w:space="0" w:color="auto"/>
            </w:tcBorders>
          </w:tcPr>
          <w:p w:rsidR="00DE307D" w:rsidRDefault="00DE307D" w:rsidP="000435AD">
            <w:r>
              <w:rPr>
                <w:rFonts w:hint="eastAsia"/>
              </w:rPr>
              <w:t>无</w:t>
            </w:r>
          </w:p>
        </w:tc>
        <w:tc>
          <w:tcPr>
            <w:tcW w:w="4629" w:type="dxa"/>
            <w:tcBorders>
              <w:top w:val="single" w:sz="4" w:space="0" w:color="auto"/>
              <w:left w:val="single" w:sz="4" w:space="0" w:color="auto"/>
              <w:right w:val="single" w:sz="4" w:space="0" w:color="auto"/>
            </w:tcBorders>
          </w:tcPr>
          <w:p w:rsidR="00DE307D" w:rsidRDefault="00DE307D" w:rsidP="000435AD">
            <w:pPr>
              <w:rPr>
                <w:b/>
                <w:bCs/>
                <w:u w:val="single"/>
              </w:rPr>
            </w:pPr>
            <w:r w:rsidRPr="00293DE9">
              <w:rPr>
                <w:b/>
                <w:bCs/>
                <w:u w:val="single"/>
              </w:rPr>
              <w:t>15</w:t>
            </w:r>
            <w:r w:rsidRPr="00293DE9">
              <w:rPr>
                <w:b/>
                <w:bCs/>
                <w:u w:val="single"/>
              </w:rPr>
              <w:t>、《指数基金指引》：指中国证监会</w:t>
            </w:r>
            <w:r w:rsidRPr="00293DE9">
              <w:rPr>
                <w:b/>
                <w:bCs/>
                <w:u w:val="single"/>
              </w:rPr>
              <w:t>2021</w:t>
            </w:r>
            <w:r w:rsidRPr="00293DE9">
              <w:rPr>
                <w:b/>
                <w:bCs/>
                <w:u w:val="single"/>
              </w:rPr>
              <w:t>年</w:t>
            </w:r>
            <w:r w:rsidRPr="00293DE9">
              <w:rPr>
                <w:b/>
                <w:bCs/>
                <w:u w:val="single"/>
              </w:rPr>
              <w:t>1</w:t>
            </w:r>
            <w:r w:rsidRPr="00293DE9">
              <w:rPr>
                <w:b/>
                <w:bCs/>
                <w:u w:val="single"/>
              </w:rPr>
              <w:t>月</w:t>
            </w:r>
            <w:r w:rsidRPr="00293DE9">
              <w:rPr>
                <w:b/>
                <w:bCs/>
                <w:u w:val="single"/>
              </w:rPr>
              <w:t>22</w:t>
            </w:r>
            <w:r w:rsidRPr="00293DE9">
              <w:rPr>
                <w:b/>
                <w:bCs/>
                <w:u w:val="single"/>
              </w:rPr>
              <w:t>日颁布、同年</w:t>
            </w:r>
            <w:r w:rsidRPr="00293DE9">
              <w:rPr>
                <w:b/>
                <w:bCs/>
                <w:u w:val="single"/>
              </w:rPr>
              <w:t>2</w:t>
            </w:r>
            <w:r w:rsidRPr="00293DE9">
              <w:rPr>
                <w:b/>
                <w:bCs/>
                <w:u w:val="single"/>
              </w:rPr>
              <w:t>月</w:t>
            </w:r>
            <w:r w:rsidRPr="00293DE9">
              <w:rPr>
                <w:b/>
                <w:bCs/>
                <w:u w:val="single"/>
              </w:rPr>
              <w:t>1</w:t>
            </w:r>
            <w:r w:rsidRPr="00293DE9">
              <w:rPr>
                <w:b/>
                <w:bCs/>
                <w:u w:val="single"/>
              </w:rPr>
              <w:t>日实施的《公开募集证券投资基金运作指引第</w:t>
            </w:r>
            <w:r w:rsidRPr="00293DE9">
              <w:rPr>
                <w:b/>
                <w:bCs/>
                <w:u w:val="single"/>
              </w:rPr>
              <w:t>3</w:t>
            </w:r>
            <w:r w:rsidRPr="00293DE9">
              <w:rPr>
                <w:b/>
                <w:bCs/>
                <w:u w:val="single"/>
              </w:rPr>
              <w:t>号</w:t>
            </w:r>
            <w:r w:rsidRPr="00293DE9">
              <w:rPr>
                <w:b/>
                <w:bCs/>
                <w:u w:val="single"/>
              </w:rPr>
              <w:t>——</w:t>
            </w:r>
            <w:r w:rsidRPr="00293DE9">
              <w:rPr>
                <w:b/>
                <w:bCs/>
                <w:u w:val="single"/>
              </w:rPr>
              <w:t>指数基金指引》及颁布机关对其不时做出的修订</w:t>
            </w:r>
          </w:p>
          <w:p w:rsidR="00DE307D" w:rsidRDefault="00DE307D" w:rsidP="000435AD">
            <w:pPr>
              <w:rPr>
                <w:b/>
                <w:bCs/>
                <w:u w:val="single"/>
              </w:rPr>
            </w:pPr>
            <w:r>
              <w:rPr>
                <w:b/>
                <w:bCs/>
                <w:u w:val="single"/>
              </w:rPr>
              <w:t>58</w:t>
            </w:r>
            <w:r>
              <w:rPr>
                <w:b/>
                <w:bCs/>
                <w:u w:val="single"/>
              </w:rPr>
              <w:t>、侧袋机制：指将基金投资组合中的特定资产从原有账户分离至专门账户进行处置清算，目的在于有效隔离并化解风险，确保投资者得到公平对待，属于流动性风险管理工具。侧袋机制实施期间，原有账户称为主袋账户，专门账户称为侧袋账户</w:t>
            </w:r>
          </w:p>
          <w:p w:rsidR="00DE307D" w:rsidRPr="00015DBA" w:rsidRDefault="00DE307D" w:rsidP="000435AD">
            <w:pPr>
              <w:rPr>
                <w:b/>
                <w:bCs/>
                <w:u w:val="single"/>
              </w:rPr>
            </w:pPr>
            <w:r>
              <w:rPr>
                <w:b/>
                <w:bCs/>
                <w:u w:val="single"/>
              </w:rPr>
              <w:t>59</w:t>
            </w:r>
            <w:r>
              <w:rPr>
                <w:b/>
                <w:bCs/>
                <w:u w:val="single"/>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tc>
      </w:tr>
      <w:tr w:rsidR="00DE307D" w:rsidTr="00004952">
        <w:trPr>
          <w:jc w:val="center"/>
        </w:trPr>
        <w:tc>
          <w:tcPr>
            <w:tcW w:w="1129" w:type="dxa"/>
            <w:vMerge w:val="restart"/>
            <w:tcBorders>
              <w:top w:val="single" w:sz="4" w:space="0" w:color="auto"/>
              <w:left w:val="single" w:sz="4" w:space="0" w:color="000000"/>
              <w:bottom w:val="single" w:sz="4" w:space="0" w:color="auto"/>
              <w:right w:val="single" w:sz="4" w:space="0" w:color="auto"/>
            </w:tcBorders>
          </w:tcPr>
          <w:p w:rsidR="00DE307D" w:rsidRDefault="00DE307D" w:rsidP="000435AD">
            <w:pPr>
              <w:pStyle w:val="aa"/>
            </w:pPr>
            <w:r>
              <w:rPr>
                <w:b/>
                <w:bCs/>
              </w:rPr>
              <w:t>第六部分</w:t>
            </w:r>
            <w:r>
              <w:rPr>
                <w:b/>
                <w:bCs/>
              </w:rPr>
              <w:t xml:space="preserve"> </w:t>
            </w:r>
            <w:r>
              <w:rPr>
                <w:b/>
                <w:bCs/>
              </w:rPr>
              <w:t>基金份额的申购与赎回</w:t>
            </w:r>
          </w:p>
        </w:tc>
        <w:tc>
          <w:tcPr>
            <w:tcW w:w="4079" w:type="dxa"/>
            <w:tcBorders>
              <w:top w:val="single" w:sz="4" w:space="0" w:color="auto"/>
              <w:left w:val="single" w:sz="4" w:space="0" w:color="auto"/>
              <w:right w:val="single" w:sz="4" w:space="0" w:color="auto"/>
            </w:tcBorders>
          </w:tcPr>
          <w:p w:rsidR="00DE307D" w:rsidRDefault="00DE307D" w:rsidP="000435AD">
            <w:r w:rsidRPr="00FF515F">
              <w:rPr>
                <w:rFonts w:hint="eastAsia"/>
                <w:bCs/>
              </w:rPr>
              <w:t>八</w:t>
            </w:r>
            <w:r>
              <w:t>、拒绝或暂停申购的情形</w:t>
            </w:r>
            <w:r>
              <w:t xml:space="preserve"> </w:t>
            </w:r>
          </w:p>
          <w:p w:rsidR="00DE307D" w:rsidRDefault="00DE307D" w:rsidP="000435AD">
            <w:r w:rsidRPr="00293DE9">
              <w:t>7</w:t>
            </w:r>
            <w:r>
              <w:rPr>
                <w:rFonts w:hint="eastAsia"/>
              </w:rPr>
              <w:t>、</w:t>
            </w:r>
            <w:r>
              <w:t>当前一估值日基金资产净值</w:t>
            </w:r>
            <w:r>
              <w:t>50%</w:t>
            </w:r>
            <w:r>
              <w:t>以上</w:t>
            </w:r>
            <w:r w:rsidRPr="00015DBA">
              <w:t>的</w:t>
            </w:r>
            <w:r>
              <w:rPr>
                <w:b/>
                <w:bCs/>
                <w:strike/>
              </w:rPr>
              <w:t>资产出现无可参考的活跃市场价格且采用估值技术仍导致公允价值存在重大不确定性时</w:t>
            </w:r>
            <w:r>
              <w:t>，经与基金托管人协商确认后，基金管理人应当暂停接受基金申购申请。</w:t>
            </w:r>
            <w:r>
              <w:t xml:space="preserve"> </w:t>
            </w:r>
          </w:p>
        </w:tc>
        <w:tc>
          <w:tcPr>
            <w:tcW w:w="4629" w:type="dxa"/>
            <w:tcBorders>
              <w:top w:val="single" w:sz="4" w:space="0" w:color="auto"/>
              <w:left w:val="single" w:sz="4" w:space="0" w:color="auto"/>
              <w:right w:val="single" w:sz="4" w:space="0" w:color="auto"/>
            </w:tcBorders>
          </w:tcPr>
          <w:p w:rsidR="00DE307D" w:rsidRDefault="00DE307D" w:rsidP="000435AD">
            <w:r w:rsidRPr="00FF515F">
              <w:rPr>
                <w:rFonts w:hint="eastAsia"/>
                <w:bCs/>
              </w:rPr>
              <w:t>八</w:t>
            </w:r>
            <w:r>
              <w:t>、拒绝或暂停申购的情形</w:t>
            </w:r>
            <w:r>
              <w:t xml:space="preserve"> </w:t>
            </w:r>
          </w:p>
          <w:p w:rsidR="00DE307D" w:rsidRDefault="00DE307D" w:rsidP="000435AD">
            <w:r>
              <w:t>7</w:t>
            </w:r>
            <w:r>
              <w:rPr>
                <w:rFonts w:hint="eastAsia"/>
              </w:rPr>
              <w:t>、</w:t>
            </w:r>
            <w:r>
              <w:t>当</w:t>
            </w:r>
            <w:r>
              <w:rPr>
                <w:b/>
                <w:bCs/>
                <w:u w:val="single"/>
              </w:rPr>
              <w:t>特定资产占</w:t>
            </w:r>
            <w:r>
              <w:t>前一估值日基金资产净值</w:t>
            </w:r>
            <w:r>
              <w:t>50%</w:t>
            </w:r>
            <w:r>
              <w:t>以上</w:t>
            </w:r>
            <w:r w:rsidRPr="00015DBA">
              <w:t>的</w:t>
            </w:r>
            <w:r>
              <w:t>，经与基金托管人协商确认后，基金管理人应当暂停接受基金申购申请。</w:t>
            </w:r>
            <w:r>
              <w:t xml:space="preserve"> </w:t>
            </w:r>
          </w:p>
        </w:tc>
      </w:tr>
      <w:tr w:rsidR="00DE307D" w:rsidTr="00004952">
        <w:trPr>
          <w:jc w:val="center"/>
        </w:trPr>
        <w:tc>
          <w:tcPr>
            <w:tcW w:w="1129" w:type="dxa"/>
            <w:vMerge/>
            <w:tcBorders>
              <w:top w:val="single" w:sz="4" w:space="0" w:color="auto"/>
              <w:left w:val="single" w:sz="4" w:space="0" w:color="000000"/>
              <w:bottom w:val="single" w:sz="4" w:space="0" w:color="auto"/>
              <w:right w:val="single" w:sz="4" w:space="0" w:color="auto"/>
            </w:tcBorders>
            <w:vAlign w:val="center"/>
          </w:tcPr>
          <w:p w:rsidR="00DE307D" w:rsidRDefault="00DE307D" w:rsidP="000435AD"/>
        </w:tc>
        <w:tc>
          <w:tcPr>
            <w:tcW w:w="4079" w:type="dxa"/>
            <w:tcBorders>
              <w:top w:val="single" w:sz="4" w:space="0" w:color="auto"/>
              <w:left w:val="single" w:sz="4" w:space="0" w:color="auto"/>
              <w:right w:val="single" w:sz="4" w:space="0" w:color="auto"/>
            </w:tcBorders>
          </w:tcPr>
          <w:p w:rsidR="00DE307D" w:rsidRDefault="00DE307D" w:rsidP="000435AD">
            <w:r>
              <w:rPr>
                <w:rFonts w:hint="eastAsia"/>
              </w:rPr>
              <w:t>九</w:t>
            </w:r>
            <w:r>
              <w:t>、暂停赎回或延缓支付赎回款项的情形</w:t>
            </w:r>
            <w:r>
              <w:t xml:space="preserve"> </w:t>
            </w:r>
          </w:p>
          <w:p w:rsidR="00DE307D" w:rsidRDefault="00DE307D" w:rsidP="000435AD">
            <w:r>
              <w:t>5</w:t>
            </w:r>
            <w:r>
              <w:t>、当前一估值日基金资产净值</w:t>
            </w:r>
            <w:r>
              <w:t>50%</w:t>
            </w:r>
            <w:r>
              <w:t>以上</w:t>
            </w:r>
            <w:r w:rsidRPr="00015DBA">
              <w:t>的</w:t>
            </w:r>
            <w:r>
              <w:rPr>
                <w:b/>
                <w:bCs/>
                <w:strike/>
              </w:rPr>
              <w:t>资产出现无可参考的活跃市场价格且采用估值技术仍导致公允价值存在重大不确定性时</w:t>
            </w:r>
            <w:r>
              <w:t>，经与基金托管人协商确认后，基金管理人应当延缓支付赎回款项或暂停接受基金赎回申请。</w:t>
            </w:r>
            <w:r>
              <w:t xml:space="preserve"> </w:t>
            </w:r>
          </w:p>
        </w:tc>
        <w:tc>
          <w:tcPr>
            <w:tcW w:w="4629" w:type="dxa"/>
            <w:tcBorders>
              <w:top w:val="single" w:sz="4" w:space="0" w:color="auto"/>
              <w:left w:val="single" w:sz="4" w:space="0" w:color="auto"/>
              <w:right w:val="single" w:sz="4" w:space="0" w:color="auto"/>
            </w:tcBorders>
          </w:tcPr>
          <w:p w:rsidR="00DE307D" w:rsidRDefault="00DE307D" w:rsidP="000435AD">
            <w:r>
              <w:rPr>
                <w:rFonts w:hint="eastAsia"/>
              </w:rPr>
              <w:t>九</w:t>
            </w:r>
            <w:r>
              <w:t>、暂停赎回或延缓支付赎回款项的情形</w:t>
            </w:r>
            <w:r>
              <w:t xml:space="preserve"> </w:t>
            </w:r>
          </w:p>
          <w:p w:rsidR="00DE307D" w:rsidRDefault="00DE307D" w:rsidP="000435AD">
            <w:r>
              <w:t>5</w:t>
            </w:r>
            <w:r>
              <w:t>、当</w:t>
            </w:r>
            <w:r>
              <w:rPr>
                <w:b/>
                <w:bCs/>
                <w:u w:val="single"/>
              </w:rPr>
              <w:t>特定资产占</w:t>
            </w:r>
            <w:r>
              <w:t>前一估值日基金资产净值</w:t>
            </w:r>
            <w:r>
              <w:t>50%</w:t>
            </w:r>
            <w:r>
              <w:t>以上</w:t>
            </w:r>
            <w:r w:rsidRPr="00015DBA">
              <w:t>的</w:t>
            </w:r>
            <w:r>
              <w:t>，经与基金托管人协商确认后，基金管理人应当延缓支付赎回款项或暂停接受基金赎回申请。</w:t>
            </w:r>
            <w:r>
              <w:t xml:space="preserve"> </w:t>
            </w:r>
          </w:p>
        </w:tc>
      </w:tr>
      <w:tr w:rsidR="00DE307D" w:rsidTr="00004952">
        <w:trPr>
          <w:jc w:val="center"/>
        </w:trPr>
        <w:tc>
          <w:tcPr>
            <w:tcW w:w="1129" w:type="dxa"/>
            <w:vMerge/>
            <w:tcBorders>
              <w:top w:val="single" w:sz="4" w:space="0" w:color="auto"/>
              <w:left w:val="single" w:sz="4" w:space="0" w:color="000000"/>
              <w:bottom w:val="single" w:sz="4" w:space="0" w:color="auto"/>
              <w:right w:val="single" w:sz="4" w:space="0" w:color="auto"/>
            </w:tcBorders>
            <w:vAlign w:val="center"/>
          </w:tcPr>
          <w:p w:rsidR="00DE307D" w:rsidRDefault="00DE307D" w:rsidP="000435AD"/>
        </w:tc>
        <w:tc>
          <w:tcPr>
            <w:tcW w:w="4079" w:type="dxa"/>
            <w:tcBorders>
              <w:top w:val="single" w:sz="4" w:space="0" w:color="auto"/>
              <w:left w:val="single" w:sz="4" w:space="0" w:color="auto"/>
              <w:right w:val="single" w:sz="4" w:space="0" w:color="auto"/>
            </w:tcBorders>
          </w:tcPr>
          <w:p w:rsidR="00DE307D" w:rsidRDefault="00DE307D" w:rsidP="000435AD">
            <w:pPr>
              <w:rPr>
                <w:rFonts w:cs="Times New Roman"/>
              </w:rPr>
            </w:pPr>
            <w:r>
              <w:rPr>
                <w:rFonts w:cs="Times New Roman" w:hint="eastAsia"/>
              </w:rPr>
              <w:t>无</w:t>
            </w:r>
          </w:p>
        </w:tc>
        <w:tc>
          <w:tcPr>
            <w:tcW w:w="4629" w:type="dxa"/>
            <w:tcBorders>
              <w:top w:val="single" w:sz="4" w:space="0" w:color="auto"/>
              <w:left w:val="single" w:sz="4" w:space="0" w:color="auto"/>
              <w:right w:val="single" w:sz="4" w:space="0" w:color="auto"/>
            </w:tcBorders>
          </w:tcPr>
          <w:p w:rsidR="00DE307D" w:rsidRDefault="00DE307D" w:rsidP="000435AD">
            <w:r>
              <w:rPr>
                <w:b/>
                <w:bCs/>
                <w:u w:val="single"/>
              </w:rPr>
              <w:t>十</w:t>
            </w:r>
            <w:r>
              <w:rPr>
                <w:rFonts w:hint="eastAsia"/>
                <w:b/>
                <w:bCs/>
                <w:u w:val="single"/>
              </w:rPr>
              <w:t>七</w:t>
            </w:r>
            <w:r>
              <w:rPr>
                <w:b/>
                <w:bCs/>
                <w:u w:val="single"/>
              </w:rPr>
              <w:t>、实施侧袋机制期间本基金的申购与赎回</w:t>
            </w:r>
            <w:r>
              <w:t xml:space="preserve"> </w:t>
            </w:r>
          </w:p>
          <w:p w:rsidR="00DE307D" w:rsidRDefault="00DE307D" w:rsidP="000435AD">
            <w:r>
              <w:rPr>
                <w:b/>
                <w:bCs/>
                <w:u w:val="single"/>
              </w:rPr>
              <w:t>本基金实施侧袋机制的，本基金的申购和赎回安排详见招募说明书或相关公告。</w:t>
            </w:r>
            <w:r>
              <w:t xml:space="preserve"> </w:t>
            </w:r>
          </w:p>
        </w:tc>
      </w:tr>
      <w:tr w:rsidR="00DE307D" w:rsidTr="00004952">
        <w:trPr>
          <w:jc w:val="center"/>
        </w:trPr>
        <w:tc>
          <w:tcPr>
            <w:tcW w:w="1129" w:type="dxa"/>
            <w:vMerge w:val="restart"/>
            <w:tcBorders>
              <w:top w:val="single" w:sz="4" w:space="0" w:color="auto"/>
              <w:left w:val="single" w:sz="4" w:space="0" w:color="000000"/>
              <w:bottom w:val="single" w:sz="4" w:space="0" w:color="auto"/>
              <w:right w:val="single" w:sz="4" w:space="0" w:color="auto"/>
            </w:tcBorders>
          </w:tcPr>
          <w:p w:rsidR="00DE307D" w:rsidRDefault="00DE307D" w:rsidP="000435AD">
            <w:pPr>
              <w:pStyle w:val="aa"/>
            </w:pPr>
            <w:r>
              <w:rPr>
                <w:b/>
                <w:bCs/>
              </w:rPr>
              <w:t>第七部分</w:t>
            </w:r>
            <w:r>
              <w:rPr>
                <w:b/>
                <w:bCs/>
              </w:rPr>
              <w:t xml:space="preserve"> </w:t>
            </w:r>
            <w:r>
              <w:rPr>
                <w:b/>
                <w:bCs/>
              </w:rPr>
              <w:t>基金合同当事人及权利义务</w:t>
            </w:r>
          </w:p>
        </w:tc>
        <w:tc>
          <w:tcPr>
            <w:tcW w:w="4079" w:type="dxa"/>
            <w:tcBorders>
              <w:top w:val="single" w:sz="4" w:space="0" w:color="auto"/>
              <w:left w:val="single" w:sz="4" w:space="0" w:color="auto"/>
              <w:right w:val="single" w:sz="4" w:space="0" w:color="auto"/>
            </w:tcBorders>
          </w:tcPr>
          <w:p w:rsidR="00DE307D" w:rsidRDefault="00DE307D" w:rsidP="000435AD">
            <w:r>
              <w:t>一、基金管理人</w:t>
            </w:r>
            <w:r>
              <w:t xml:space="preserve"> </w:t>
            </w:r>
          </w:p>
          <w:p w:rsidR="00DE307D" w:rsidRDefault="00DE307D" w:rsidP="000435AD">
            <w:r>
              <w:rPr>
                <w:rFonts w:hint="eastAsia"/>
              </w:rPr>
              <w:t>（一）</w:t>
            </w:r>
            <w:r>
              <w:tab/>
            </w:r>
            <w:r>
              <w:t>基金管理人简况</w:t>
            </w:r>
          </w:p>
          <w:p w:rsidR="00DE307D" w:rsidRDefault="00DE307D" w:rsidP="000435AD">
            <w:r>
              <w:rPr>
                <w:rFonts w:hint="eastAsia"/>
              </w:rPr>
              <w:t>……</w:t>
            </w:r>
          </w:p>
          <w:p w:rsidR="00DE307D" w:rsidRDefault="00DE307D" w:rsidP="000435AD">
            <w:r>
              <w:t>住所：上海市虹口区</w:t>
            </w:r>
            <w:r>
              <w:rPr>
                <w:b/>
                <w:bCs/>
                <w:strike/>
              </w:rPr>
              <w:t>东大名路</w:t>
            </w:r>
            <w:r>
              <w:rPr>
                <w:b/>
                <w:bCs/>
                <w:strike/>
              </w:rPr>
              <w:t>638</w:t>
            </w:r>
            <w:r>
              <w:rPr>
                <w:b/>
                <w:bCs/>
                <w:strike/>
              </w:rPr>
              <w:t>号</w:t>
            </w:r>
            <w:r>
              <w:rPr>
                <w:b/>
                <w:bCs/>
                <w:strike/>
              </w:rPr>
              <w:t>7</w:t>
            </w:r>
            <w:r>
              <w:rPr>
                <w:b/>
                <w:bCs/>
                <w:strike/>
              </w:rPr>
              <w:t>层</w:t>
            </w:r>
            <w:r>
              <w:rPr>
                <w:b/>
                <w:bCs/>
                <w:strike/>
              </w:rPr>
              <w:t xml:space="preserve"> </w:t>
            </w:r>
          </w:p>
        </w:tc>
        <w:tc>
          <w:tcPr>
            <w:tcW w:w="4629" w:type="dxa"/>
            <w:tcBorders>
              <w:top w:val="single" w:sz="4" w:space="0" w:color="auto"/>
              <w:left w:val="single" w:sz="4" w:space="0" w:color="auto"/>
              <w:right w:val="single" w:sz="4" w:space="0" w:color="auto"/>
            </w:tcBorders>
          </w:tcPr>
          <w:p w:rsidR="00DE307D" w:rsidRDefault="00DE307D" w:rsidP="000435AD">
            <w:r>
              <w:t>一、基金管理人</w:t>
            </w:r>
            <w:r>
              <w:t xml:space="preserve"> </w:t>
            </w:r>
          </w:p>
          <w:p w:rsidR="00DE307D" w:rsidRDefault="00DE307D" w:rsidP="000435AD">
            <w:r>
              <w:rPr>
                <w:rFonts w:hint="eastAsia"/>
              </w:rPr>
              <w:t>（一）</w:t>
            </w:r>
            <w:r>
              <w:tab/>
            </w:r>
            <w:r>
              <w:t>基金管理人简况</w:t>
            </w:r>
          </w:p>
          <w:p w:rsidR="00DE307D" w:rsidRDefault="00DE307D" w:rsidP="000435AD">
            <w:r>
              <w:rPr>
                <w:rFonts w:hint="eastAsia"/>
              </w:rPr>
              <w:t>……</w:t>
            </w:r>
          </w:p>
          <w:p w:rsidR="00DE307D" w:rsidRDefault="00DE307D" w:rsidP="000435AD">
            <w:r>
              <w:t>住所：上海市虹口区</w:t>
            </w:r>
            <w:r>
              <w:rPr>
                <w:b/>
                <w:bCs/>
                <w:u w:val="single"/>
              </w:rPr>
              <w:t>杨树浦路</w:t>
            </w:r>
            <w:r>
              <w:rPr>
                <w:b/>
                <w:bCs/>
                <w:u w:val="single"/>
              </w:rPr>
              <w:t>168</w:t>
            </w:r>
            <w:r>
              <w:rPr>
                <w:b/>
                <w:bCs/>
                <w:u w:val="single"/>
              </w:rPr>
              <w:t>号</w:t>
            </w:r>
            <w:r>
              <w:rPr>
                <w:b/>
                <w:bCs/>
                <w:u w:val="single"/>
              </w:rPr>
              <w:t>20</w:t>
            </w:r>
            <w:r>
              <w:rPr>
                <w:b/>
                <w:bCs/>
                <w:u w:val="single"/>
              </w:rPr>
              <w:t>层</w:t>
            </w:r>
            <w:r>
              <w:rPr>
                <w:b/>
                <w:bCs/>
                <w:u w:val="single"/>
              </w:rPr>
              <w:t xml:space="preserve"> </w:t>
            </w:r>
          </w:p>
        </w:tc>
      </w:tr>
      <w:tr w:rsidR="00DE307D" w:rsidTr="00004952">
        <w:trPr>
          <w:jc w:val="center"/>
        </w:trPr>
        <w:tc>
          <w:tcPr>
            <w:tcW w:w="1129" w:type="dxa"/>
            <w:vMerge/>
            <w:tcBorders>
              <w:top w:val="single" w:sz="4" w:space="0" w:color="auto"/>
              <w:left w:val="single" w:sz="4" w:space="0" w:color="000000"/>
              <w:bottom w:val="single" w:sz="4" w:space="0" w:color="auto"/>
              <w:right w:val="single" w:sz="4" w:space="0" w:color="auto"/>
            </w:tcBorders>
            <w:vAlign w:val="center"/>
          </w:tcPr>
          <w:p w:rsidR="00DE307D" w:rsidRDefault="00DE307D" w:rsidP="000435AD"/>
        </w:tc>
        <w:tc>
          <w:tcPr>
            <w:tcW w:w="4079" w:type="dxa"/>
            <w:tcBorders>
              <w:top w:val="single" w:sz="4" w:space="0" w:color="auto"/>
              <w:left w:val="single" w:sz="4" w:space="0" w:color="auto"/>
              <w:bottom w:val="single" w:sz="4" w:space="0" w:color="auto"/>
              <w:right w:val="single" w:sz="4" w:space="0" w:color="auto"/>
            </w:tcBorders>
          </w:tcPr>
          <w:p w:rsidR="00DE307D" w:rsidRDefault="00DE307D" w:rsidP="000435AD">
            <w:r>
              <w:rPr>
                <w:rFonts w:hint="eastAsia"/>
              </w:rPr>
              <w:t>（二）</w:t>
            </w:r>
            <w:r>
              <w:tab/>
            </w:r>
            <w:r>
              <w:t>基金管理人的权利与义务</w:t>
            </w:r>
          </w:p>
          <w:p w:rsidR="00DE307D" w:rsidRDefault="00DE307D" w:rsidP="000435AD">
            <w:r>
              <w:t>1</w:t>
            </w:r>
            <w:r>
              <w:t>、根据《基金法》、《运作办法》及其他有关规定，基金管理人的权利包括但不限于：</w:t>
            </w:r>
          </w:p>
          <w:p w:rsidR="00DE307D" w:rsidRDefault="00DE307D" w:rsidP="000435AD">
            <w:r>
              <w:t>（</w:t>
            </w:r>
            <w:r>
              <w:t>12</w:t>
            </w:r>
            <w:r>
              <w:t>）依照法律法规为基金的利益对被投资公司行使</w:t>
            </w:r>
            <w:r>
              <w:rPr>
                <w:b/>
                <w:bCs/>
                <w:strike/>
              </w:rPr>
              <w:t>股东</w:t>
            </w:r>
            <w:r>
              <w:t>权利，为基金的利益行使因基金财产投资于证券所产生的权利；</w:t>
            </w:r>
            <w:r>
              <w:t xml:space="preserve"> </w:t>
            </w:r>
          </w:p>
        </w:tc>
        <w:tc>
          <w:tcPr>
            <w:tcW w:w="4629" w:type="dxa"/>
            <w:tcBorders>
              <w:top w:val="single" w:sz="4" w:space="0" w:color="auto"/>
              <w:left w:val="single" w:sz="4" w:space="0" w:color="auto"/>
              <w:bottom w:val="single" w:sz="4" w:space="0" w:color="auto"/>
              <w:right w:val="single" w:sz="4" w:space="0" w:color="auto"/>
            </w:tcBorders>
          </w:tcPr>
          <w:p w:rsidR="00DE307D" w:rsidRDefault="00DE307D" w:rsidP="000435AD">
            <w:r>
              <w:rPr>
                <w:rFonts w:hint="eastAsia"/>
              </w:rPr>
              <w:t>（二）</w:t>
            </w:r>
            <w:r>
              <w:tab/>
            </w:r>
            <w:r>
              <w:t>基金管理人的权利与义务</w:t>
            </w:r>
          </w:p>
          <w:p w:rsidR="00DE307D" w:rsidRDefault="00DE307D" w:rsidP="000435AD">
            <w:r>
              <w:t>1</w:t>
            </w:r>
            <w:r>
              <w:t>、根据《基金法》、《运作办法》及其他有关规定，基金管理人的权利包括但不限于：</w:t>
            </w:r>
          </w:p>
          <w:p w:rsidR="00DE307D" w:rsidRDefault="00DE307D" w:rsidP="000435AD">
            <w:r>
              <w:t>（</w:t>
            </w:r>
            <w:r>
              <w:t>12</w:t>
            </w:r>
            <w:r>
              <w:t>）依照法律法规为基金的利益对被投资公司行使</w:t>
            </w:r>
            <w:r>
              <w:rPr>
                <w:b/>
                <w:bCs/>
                <w:u w:val="single"/>
              </w:rPr>
              <w:t>相关</w:t>
            </w:r>
            <w:r>
              <w:t>权利，为基金的利益行使因基金财产投资于证券所产生的权利；</w:t>
            </w:r>
            <w:r>
              <w:t xml:space="preserve"> </w:t>
            </w:r>
          </w:p>
        </w:tc>
      </w:tr>
      <w:tr w:rsidR="00DE307D" w:rsidTr="00004952">
        <w:trPr>
          <w:jc w:val="center"/>
        </w:trPr>
        <w:tc>
          <w:tcPr>
            <w:tcW w:w="1129" w:type="dxa"/>
            <w:vMerge/>
            <w:tcBorders>
              <w:top w:val="single" w:sz="4" w:space="0" w:color="auto"/>
              <w:left w:val="single" w:sz="4" w:space="0" w:color="000000"/>
              <w:bottom w:val="single" w:sz="4" w:space="0" w:color="auto"/>
              <w:right w:val="single" w:sz="4" w:space="0" w:color="auto"/>
            </w:tcBorders>
            <w:vAlign w:val="center"/>
          </w:tcPr>
          <w:p w:rsidR="00DE307D" w:rsidRDefault="00DE307D" w:rsidP="000435AD"/>
        </w:tc>
        <w:tc>
          <w:tcPr>
            <w:tcW w:w="4079" w:type="dxa"/>
            <w:tcBorders>
              <w:top w:val="single" w:sz="4" w:space="0" w:color="auto"/>
              <w:left w:val="single" w:sz="4" w:space="0" w:color="auto"/>
              <w:right w:val="single" w:sz="4" w:space="0" w:color="auto"/>
            </w:tcBorders>
          </w:tcPr>
          <w:p w:rsidR="00DE307D" w:rsidRDefault="00DE307D" w:rsidP="000435AD">
            <w:r>
              <w:t>二、基金托管人</w:t>
            </w:r>
            <w:r>
              <w:t xml:space="preserve"> </w:t>
            </w:r>
          </w:p>
          <w:p w:rsidR="00DE307D" w:rsidRDefault="00DE307D" w:rsidP="000435AD">
            <w:r>
              <w:rPr>
                <w:rFonts w:hint="eastAsia"/>
              </w:rPr>
              <w:t>（一）</w:t>
            </w:r>
            <w:r>
              <w:tab/>
            </w:r>
            <w:r>
              <w:t>基金托管人简况</w:t>
            </w:r>
          </w:p>
          <w:p w:rsidR="00DE307D" w:rsidRDefault="00DE307D" w:rsidP="000435AD">
            <w:r w:rsidRPr="00451C94">
              <w:rPr>
                <w:rFonts w:hint="eastAsia"/>
              </w:rPr>
              <w:t>法定代表人：</w:t>
            </w:r>
            <w:r w:rsidRPr="000435AD">
              <w:rPr>
                <w:rFonts w:hint="eastAsia"/>
                <w:b/>
                <w:strike/>
              </w:rPr>
              <w:t>周慕冰</w:t>
            </w:r>
          </w:p>
          <w:p w:rsidR="00DE307D" w:rsidRDefault="00DE307D" w:rsidP="000435AD">
            <w:r>
              <w:t>注册资本：</w:t>
            </w:r>
            <w:r>
              <w:rPr>
                <w:b/>
                <w:bCs/>
                <w:strike/>
              </w:rPr>
              <w:t>32,479,411.7</w:t>
            </w:r>
            <w:r>
              <w:t>万元人民币</w:t>
            </w:r>
            <w:r>
              <w:t xml:space="preserve"> </w:t>
            </w:r>
          </w:p>
        </w:tc>
        <w:tc>
          <w:tcPr>
            <w:tcW w:w="4629" w:type="dxa"/>
            <w:tcBorders>
              <w:top w:val="single" w:sz="4" w:space="0" w:color="auto"/>
              <w:left w:val="single" w:sz="4" w:space="0" w:color="auto"/>
              <w:right w:val="single" w:sz="4" w:space="0" w:color="auto"/>
            </w:tcBorders>
          </w:tcPr>
          <w:p w:rsidR="00DE307D" w:rsidRDefault="00DE307D" w:rsidP="000435AD">
            <w:r>
              <w:t>二、基金托管人</w:t>
            </w:r>
            <w:r>
              <w:t xml:space="preserve"> </w:t>
            </w:r>
          </w:p>
          <w:p w:rsidR="00DE307D" w:rsidRDefault="00DE307D" w:rsidP="000435AD">
            <w:r>
              <w:rPr>
                <w:rFonts w:hint="eastAsia"/>
              </w:rPr>
              <w:t>（一）</w:t>
            </w:r>
            <w:r>
              <w:tab/>
            </w:r>
            <w:r>
              <w:t>基金托管人简况</w:t>
            </w:r>
          </w:p>
          <w:p w:rsidR="00DE307D" w:rsidRDefault="00DE307D" w:rsidP="000435AD">
            <w:r w:rsidRPr="00451C94">
              <w:rPr>
                <w:rFonts w:hint="eastAsia"/>
              </w:rPr>
              <w:t>法定代表人：</w:t>
            </w:r>
            <w:r w:rsidRPr="000435AD">
              <w:rPr>
                <w:rFonts w:hint="eastAsia"/>
                <w:b/>
                <w:u w:val="single"/>
              </w:rPr>
              <w:t>谷澍</w:t>
            </w:r>
          </w:p>
          <w:p w:rsidR="00DE307D" w:rsidRDefault="00DE307D" w:rsidP="000435AD">
            <w:r>
              <w:t>注册资本：</w:t>
            </w:r>
            <w:r>
              <w:rPr>
                <w:b/>
                <w:bCs/>
                <w:u w:val="single"/>
              </w:rPr>
              <w:t>34,998,303.4</w:t>
            </w:r>
            <w:r>
              <w:t>万元人民币</w:t>
            </w:r>
            <w:r>
              <w:t xml:space="preserve"> </w:t>
            </w:r>
          </w:p>
        </w:tc>
      </w:tr>
      <w:tr w:rsidR="00DE307D" w:rsidTr="00004952">
        <w:trPr>
          <w:jc w:val="center"/>
        </w:trPr>
        <w:tc>
          <w:tcPr>
            <w:tcW w:w="1129" w:type="dxa"/>
            <w:vMerge/>
            <w:tcBorders>
              <w:top w:val="single" w:sz="4" w:space="0" w:color="auto"/>
              <w:left w:val="single" w:sz="4" w:space="0" w:color="000000"/>
              <w:bottom w:val="single" w:sz="4" w:space="0" w:color="auto"/>
              <w:right w:val="single" w:sz="4" w:space="0" w:color="auto"/>
            </w:tcBorders>
            <w:vAlign w:val="center"/>
          </w:tcPr>
          <w:p w:rsidR="00DE307D" w:rsidRDefault="00DE307D" w:rsidP="000435AD"/>
        </w:tc>
        <w:tc>
          <w:tcPr>
            <w:tcW w:w="4079" w:type="dxa"/>
            <w:tcBorders>
              <w:top w:val="single" w:sz="4" w:space="0" w:color="auto"/>
              <w:left w:val="single" w:sz="4" w:space="0" w:color="auto"/>
              <w:right w:val="single" w:sz="4" w:space="0" w:color="auto"/>
            </w:tcBorders>
          </w:tcPr>
          <w:p w:rsidR="00DE307D" w:rsidRDefault="00DE307D" w:rsidP="000435AD">
            <w:r>
              <w:t>三、基金份额持有人</w:t>
            </w:r>
            <w:r>
              <w:t xml:space="preserve"> </w:t>
            </w:r>
          </w:p>
          <w:p w:rsidR="00DE307D" w:rsidRDefault="00DE307D" w:rsidP="000435AD">
            <w:r>
              <w:rPr>
                <w:rFonts w:hint="eastAsia"/>
              </w:rPr>
              <w:t>……</w:t>
            </w:r>
          </w:p>
          <w:p w:rsidR="00DE307D" w:rsidRDefault="00DE307D" w:rsidP="000435AD">
            <w:r w:rsidRPr="00293DE9">
              <w:rPr>
                <w:rFonts w:hint="eastAsia"/>
              </w:rPr>
              <w:t>同一类别</w:t>
            </w:r>
            <w:r>
              <w:t>每份基金份额具有同等的合法权益。</w:t>
            </w:r>
            <w:r>
              <w:t xml:space="preserve"> </w:t>
            </w:r>
          </w:p>
        </w:tc>
        <w:tc>
          <w:tcPr>
            <w:tcW w:w="4629" w:type="dxa"/>
            <w:tcBorders>
              <w:top w:val="single" w:sz="4" w:space="0" w:color="auto"/>
              <w:left w:val="single" w:sz="4" w:space="0" w:color="auto"/>
              <w:right w:val="single" w:sz="4" w:space="0" w:color="auto"/>
            </w:tcBorders>
          </w:tcPr>
          <w:p w:rsidR="00DE307D" w:rsidRDefault="00DE307D" w:rsidP="000435AD">
            <w:r>
              <w:t>三、基金份额持有人</w:t>
            </w:r>
            <w:r>
              <w:t xml:space="preserve"> </w:t>
            </w:r>
          </w:p>
          <w:p w:rsidR="00DE307D" w:rsidRDefault="00DE307D" w:rsidP="000435AD">
            <w:r>
              <w:rPr>
                <w:rFonts w:hint="eastAsia"/>
              </w:rPr>
              <w:t>……</w:t>
            </w:r>
          </w:p>
          <w:p w:rsidR="00DE307D" w:rsidRDefault="00DE307D" w:rsidP="000435AD">
            <w:r>
              <w:rPr>
                <w:b/>
                <w:bCs/>
                <w:u w:val="single"/>
              </w:rPr>
              <w:t>除法律法规另有规定或基金合同另有约定外，</w:t>
            </w:r>
            <w:r w:rsidRPr="00293DE9">
              <w:rPr>
                <w:bCs/>
              </w:rPr>
              <w:t>同一类别</w:t>
            </w:r>
            <w:r>
              <w:t>每份基金份额具有同等的合法权益。</w:t>
            </w:r>
            <w:r>
              <w:t xml:space="preserve"> </w:t>
            </w:r>
          </w:p>
        </w:tc>
      </w:tr>
      <w:tr w:rsidR="00DE307D" w:rsidTr="00004952">
        <w:trPr>
          <w:jc w:val="center"/>
        </w:trPr>
        <w:tc>
          <w:tcPr>
            <w:tcW w:w="1129" w:type="dxa"/>
            <w:vMerge w:val="restart"/>
            <w:tcBorders>
              <w:top w:val="single" w:sz="4" w:space="0" w:color="auto"/>
              <w:left w:val="single" w:sz="4" w:space="0" w:color="000000"/>
              <w:bottom w:val="single" w:sz="4" w:space="0" w:color="auto"/>
              <w:right w:val="single" w:sz="4" w:space="0" w:color="auto"/>
            </w:tcBorders>
          </w:tcPr>
          <w:p w:rsidR="00DE307D" w:rsidRDefault="00DE307D" w:rsidP="000435AD">
            <w:pPr>
              <w:pStyle w:val="aa"/>
            </w:pPr>
            <w:r>
              <w:rPr>
                <w:b/>
                <w:bCs/>
              </w:rPr>
              <w:t>第八部分</w:t>
            </w:r>
            <w:r>
              <w:rPr>
                <w:b/>
                <w:bCs/>
              </w:rPr>
              <w:t xml:space="preserve"> </w:t>
            </w:r>
            <w:r>
              <w:rPr>
                <w:b/>
                <w:bCs/>
              </w:rPr>
              <w:t>基金份额持有人大会</w:t>
            </w:r>
          </w:p>
        </w:tc>
        <w:tc>
          <w:tcPr>
            <w:tcW w:w="4079" w:type="dxa"/>
            <w:tcBorders>
              <w:top w:val="single" w:sz="4" w:space="0" w:color="auto"/>
              <w:left w:val="single" w:sz="4" w:space="0" w:color="auto"/>
              <w:bottom w:val="single" w:sz="4" w:space="0" w:color="auto"/>
              <w:right w:val="single" w:sz="4" w:space="0" w:color="auto"/>
            </w:tcBorders>
          </w:tcPr>
          <w:p w:rsidR="00DE307D" w:rsidRDefault="00DE307D" w:rsidP="000435AD">
            <w:r w:rsidRPr="00932F57">
              <w:rPr>
                <w:rFonts w:hint="eastAsia"/>
              </w:rPr>
              <w:t>基金份额持有人大会由基金份额持有人组成，基金份额持有人的合法授权代表有权代表基金份额持有人出席会议并表决。基金份额持有人持有的每一基金份额拥有平等的投票权。本基金的基金份额持有人大会未设立日常机构。在本基金存续期内，根据本基金的运作需要，基金份额持有人大会可以设立日常机构，日常机构的设立与运作应当根据相关法律法规和中国证监会的规定进行。</w:t>
            </w:r>
          </w:p>
        </w:tc>
        <w:tc>
          <w:tcPr>
            <w:tcW w:w="4629" w:type="dxa"/>
            <w:tcBorders>
              <w:top w:val="single" w:sz="4" w:space="0" w:color="auto"/>
              <w:left w:val="single" w:sz="4" w:space="0" w:color="auto"/>
              <w:bottom w:val="single" w:sz="4" w:space="0" w:color="auto"/>
              <w:right w:val="single" w:sz="4" w:space="0" w:color="auto"/>
            </w:tcBorders>
          </w:tcPr>
          <w:p w:rsidR="00DE307D" w:rsidRDefault="00DE307D" w:rsidP="000435AD">
            <w:r w:rsidRPr="00932F57">
              <w:rPr>
                <w:rFonts w:hint="eastAsia"/>
              </w:rPr>
              <w:t>基金份额持有人大会由基金份额持有人组成，基金份额持有人的合法授权代表有权代表基金份额持有人出席会议并表决。</w:t>
            </w:r>
            <w:r w:rsidRPr="00932F57">
              <w:rPr>
                <w:rFonts w:hint="eastAsia"/>
                <w:b/>
                <w:u w:val="single"/>
              </w:rPr>
              <w:t>除法律法规另有规定或基金合同另有约定外，</w:t>
            </w:r>
            <w:r w:rsidRPr="00932F57">
              <w:rPr>
                <w:rFonts w:hint="eastAsia"/>
              </w:rPr>
              <w:t>基金份额持有人持有的每一基金份额拥有平等的投票权。本基金的基金份额持有人大会未设立日常机构。在本基金存续期内，根据本基金的运作需要，基金份额持有人大会可以设立日常机构，日常机构的设立与运作应当根据相关法律法规和中国证监会的规定进行。</w:t>
            </w:r>
            <w:r>
              <w:t xml:space="preserve"> </w:t>
            </w:r>
          </w:p>
        </w:tc>
      </w:tr>
      <w:tr w:rsidR="00DE307D" w:rsidTr="00004952">
        <w:trPr>
          <w:jc w:val="center"/>
        </w:trPr>
        <w:tc>
          <w:tcPr>
            <w:tcW w:w="1129" w:type="dxa"/>
            <w:vMerge/>
            <w:tcBorders>
              <w:top w:val="single" w:sz="4" w:space="0" w:color="auto"/>
              <w:left w:val="single" w:sz="4" w:space="0" w:color="000000"/>
              <w:bottom w:val="single" w:sz="4" w:space="0" w:color="auto"/>
              <w:right w:val="single" w:sz="4" w:space="0" w:color="auto"/>
            </w:tcBorders>
            <w:vAlign w:val="center"/>
          </w:tcPr>
          <w:p w:rsidR="00DE307D" w:rsidRDefault="00DE307D" w:rsidP="000435AD"/>
        </w:tc>
        <w:tc>
          <w:tcPr>
            <w:tcW w:w="4079" w:type="dxa"/>
            <w:tcBorders>
              <w:top w:val="single" w:sz="4" w:space="0" w:color="auto"/>
              <w:left w:val="single" w:sz="4" w:space="0" w:color="auto"/>
              <w:right w:val="single" w:sz="4" w:space="0" w:color="auto"/>
            </w:tcBorders>
          </w:tcPr>
          <w:p w:rsidR="00DE307D" w:rsidRDefault="00DE307D" w:rsidP="000435AD">
            <w:pPr>
              <w:rPr>
                <w:rFonts w:cs="Times New Roman"/>
              </w:rPr>
            </w:pPr>
            <w:r>
              <w:rPr>
                <w:rFonts w:cs="Times New Roman" w:hint="eastAsia"/>
              </w:rPr>
              <w:t>无</w:t>
            </w:r>
          </w:p>
        </w:tc>
        <w:tc>
          <w:tcPr>
            <w:tcW w:w="4629" w:type="dxa"/>
            <w:tcBorders>
              <w:top w:val="single" w:sz="4" w:space="0" w:color="auto"/>
              <w:left w:val="single" w:sz="4" w:space="0" w:color="auto"/>
              <w:right w:val="single" w:sz="4" w:space="0" w:color="auto"/>
            </w:tcBorders>
          </w:tcPr>
          <w:p w:rsidR="00DE307D" w:rsidRDefault="00DE307D" w:rsidP="000435AD">
            <w:r>
              <w:rPr>
                <w:rFonts w:hint="eastAsia"/>
                <w:b/>
                <w:bCs/>
                <w:u w:val="single"/>
              </w:rPr>
              <w:t>九</w:t>
            </w:r>
            <w:r>
              <w:rPr>
                <w:b/>
                <w:bCs/>
                <w:u w:val="single"/>
              </w:rPr>
              <w:t>、实施侧袋机制期间基金份额持有人大会的特殊约定</w:t>
            </w:r>
            <w:r>
              <w:t xml:space="preserve"> </w:t>
            </w:r>
          </w:p>
          <w:p w:rsidR="00DE307D" w:rsidRDefault="00DE307D" w:rsidP="000435AD">
            <w:r>
              <w:rPr>
                <w:b/>
                <w:bCs/>
                <w:u w:val="single"/>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r>
              <w:t xml:space="preserve"> </w:t>
            </w:r>
          </w:p>
          <w:p w:rsidR="00DE307D" w:rsidRDefault="00DE307D" w:rsidP="000435AD">
            <w:r>
              <w:rPr>
                <w:b/>
                <w:bCs/>
                <w:u w:val="single"/>
              </w:rPr>
              <w:t>1</w:t>
            </w:r>
            <w:r>
              <w:rPr>
                <w:b/>
                <w:bCs/>
                <w:u w:val="single"/>
              </w:rPr>
              <w:t>、基金份额持有人行使提议权、召集权、提名权所需单独或合计代表相关基金份额</w:t>
            </w:r>
            <w:r>
              <w:rPr>
                <w:b/>
                <w:bCs/>
                <w:u w:val="single"/>
              </w:rPr>
              <w:t>10%</w:t>
            </w:r>
            <w:r>
              <w:rPr>
                <w:b/>
                <w:bCs/>
                <w:u w:val="single"/>
              </w:rPr>
              <w:t>以上（含</w:t>
            </w:r>
            <w:r>
              <w:rPr>
                <w:b/>
                <w:bCs/>
                <w:u w:val="single"/>
              </w:rPr>
              <w:t>10%</w:t>
            </w:r>
            <w:r>
              <w:rPr>
                <w:b/>
                <w:bCs/>
                <w:u w:val="single"/>
              </w:rPr>
              <w:t>）；</w:t>
            </w:r>
            <w:r>
              <w:t xml:space="preserve"> </w:t>
            </w:r>
          </w:p>
          <w:p w:rsidR="00DE307D" w:rsidRDefault="00DE307D" w:rsidP="000435AD">
            <w:r>
              <w:rPr>
                <w:b/>
                <w:bCs/>
                <w:u w:val="single"/>
              </w:rPr>
              <w:t>2</w:t>
            </w:r>
            <w:r>
              <w:rPr>
                <w:b/>
                <w:bCs/>
                <w:u w:val="single"/>
              </w:rPr>
              <w:t>、现场开会的到会者在权益登记日代表的基金份额不少于本基金在权益登记日相关基金份额的二分之一（含二分之一）；</w:t>
            </w:r>
            <w:r>
              <w:t xml:space="preserve"> </w:t>
            </w:r>
          </w:p>
          <w:p w:rsidR="00DE307D" w:rsidRDefault="00DE307D" w:rsidP="000435AD">
            <w:r>
              <w:rPr>
                <w:b/>
                <w:bCs/>
                <w:u w:val="single"/>
              </w:rPr>
              <w:t>3</w:t>
            </w:r>
            <w:r>
              <w:rPr>
                <w:b/>
                <w:bCs/>
                <w:u w:val="single"/>
              </w:rPr>
              <w:t>、通讯开会的直接出具表决意见或授权他人代表出具表决意见的基金份额持有人所持有的基金份额不小于在权益登记日相关基金份额的二分之一（含二分之一）；</w:t>
            </w:r>
            <w:r>
              <w:t xml:space="preserve"> </w:t>
            </w:r>
          </w:p>
          <w:p w:rsidR="00DE307D" w:rsidRDefault="00DE307D" w:rsidP="000435AD">
            <w:r>
              <w:rPr>
                <w:b/>
                <w:bCs/>
                <w:u w:val="single"/>
              </w:rPr>
              <w:t>4</w:t>
            </w:r>
            <w:r>
              <w:rPr>
                <w:b/>
                <w:bCs/>
                <w:u w:val="single"/>
              </w:rPr>
              <w:t>、当参与基金份额持有人大会投票的基金份额持有人所持有的基金份额小于在权益登记日相关基金份额的二分之一，召集人在原公告的基金份额持有人大会召开时间的</w:t>
            </w:r>
            <w:r>
              <w:rPr>
                <w:b/>
                <w:bCs/>
                <w:u w:val="single"/>
              </w:rPr>
              <w:t>3</w:t>
            </w:r>
            <w:r>
              <w:rPr>
                <w:b/>
                <w:bCs/>
                <w:u w:val="single"/>
              </w:rPr>
              <w:t>个月以后、</w:t>
            </w:r>
            <w:r>
              <w:rPr>
                <w:b/>
                <w:bCs/>
                <w:u w:val="single"/>
              </w:rPr>
              <w:t>6</w:t>
            </w:r>
            <w:r>
              <w:rPr>
                <w:b/>
                <w:bCs/>
                <w:u w:val="single"/>
              </w:rPr>
              <w:t>个月以内就原定审议事项重新召集的基金份额持有人大会应当有代表三分之一以上（含三分之一）相关基金份额的持有人参与或授权他人参与基金份额持有人大会投票；</w:t>
            </w:r>
            <w:r>
              <w:t xml:space="preserve"> </w:t>
            </w:r>
          </w:p>
          <w:p w:rsidR="00DE307D" w:rsidRDefault="00DE307D" w:rsidP="000435AD">
            <w:r>
              <w:rPr>
                <w:b/>
                <w:bCs/>
                <w:u w:val="single"/>
              </w:rPr>
              <w:t>5</w:t>
            </w:r>
            <w:r>
              <w:rPr>
                <w:b/>
                <w:bCs/>
                <w:u w:val="single"/>
              </w:rPr>
              <w:t>、现场开会由出席大会的基金份额持有人和代理人所持表决权的</w:t>
            </w:r>
            <w:r>
              <w:rPr>
                <w:b/>
                <w:bCs/>
                <w:u w:val="single"/>
              </w:rPr>
              <w:t>50%</w:t>
            </w:r>
            <w:r>
              <w:rPr>
                <w:b/>
                <w:bCs/>
                <w:u w:val="single"/>
              </w:rPr>
              <w:t>以上（含</w:t>
            </w:r>
            <w:r>
              <w:rPr>
                <w:b/>
                <w:bCs/>
                <w:u w:val="single"/>
              </w:rPr>
              <w:t>50%</w:t>
            </w:r>
            <w:r>
              <w:rPr>
                <w:b/>
                <w:bCs/>
                <w:u w:val="single"/>
              </w:rPr>
              <w:t>）选举产生一名基金份额持有人作为该次基金份额持有人大会的主持人；</w:t>
            </w:r>
            <w:r>
              <w:t xml:space="preserve"> </w:t>
            </w:r>
          </w:p>
          <w:p w:rsidR="00DE307D" w:rsidRDefault="00DE307D" w:rsidP="000435AD">
            <w:r>
              <w:rPr>
                <w:b/>
                <w:bCs/>
                <w:u w:val="single"/>
              </w:rPr>
              <w:t>6</w:t>
            </w:r>
            <w:r>
              <w:rPr>
                <w:b/>
                <w:bCs/>
                <w:u w:val="single"/>
              </w:rPr>
              <w:t>、一般决议须经参加大会的基金份额持有人或其代理人所持表决权的二分之一以上（含二分之一）通过；</w:t>
            </w:r>
            <w:r>
              <w:t xml:space="preserve"> </w:t>
            </w:r>
          </w:p>
          <w:p w:rsidR="00DE307D" w:rsidRDefault="00DE307D" w:rsidP="000435AD">
            <w:r>
              <w:rPr>
                <w:b/>
                <w:bCs/>
                <w:u w:val="single"/>
              </w:rPr>
              <w:t>7</w:t>
            </w:r>
            <w:r>
              <w:rPr>
                <w:b/>
                <w:bCs/>
                <w:u w:val="single"/>
              </w:rPr>
              <w:t>、特别决议应当经参加大会的基金份额持有人或其代理人所持表决权的三分之二以上（含三分之二）通过。</w:t>
            </w:r>
            <w:r>
              <w:t xml:space="preserve"> </w:t>
            </w:r>
          </w:p>
          <w:p w:rsidR="00DE307D" w:rsidRDefault="00DE307D" w:rsidP="000435AD">
            <w:r>
              <w:rPr>
                <w:b/>
                <w:bCs/>
                <w:u w:val="single"/>
              </w:rPr>
              <w:t>侧袋机制实施期间，基金份额持有人大会审议事项涉及主袋账户和侧袋账户的，应分别由主袋账户、侧袋账户的基金份额持有人进行表决，同一类别账户内的每份基金份额具有平等的表决权。表决事项未涉及侧袋账户的，侧袋账户份额无表决权。</w:t>
            </w:r>
            <w:r>
              <w:t xml:space="preserve"> </w:t>
            </w:r>
          </w:p>
          <w:p w:rsidR="00DE307D" w:rsidRDefault="00DE307D" w:rsidP="000435AD">
            <w:r>
              <w:rPr>
                <w:b/>
                <w:bCs/>
                <w:u w:val="single"/>
              </w:rPr>
              <w:t>侧袋机制实施期间，关于基金份额持有人大会的相关规定以本节特殊约定内容为准，本节没有规定的适用上文相关约定。</w:t>
            </w:r>
            <w:r>
              <w:t xml:space="preserve"> </w:t>
            </w:r>
          </w:p>
        </w:tc>
      </w:tr>
      <w:tr w:rsidR="00DE307D" w:rsidTr="00004952">
        <w:trPr>
          <w:jc w:val="center"/>
        </w:trPr>
        <w:tc>
          <w:tcPr>
            <w:tcW w:w="1129" w:type="dxa"/>
            <w:vMerge w:val="restart"/>
            <w:tcBorders>
              <w:top w:val="single" w:sz="4" w:space="0" w:color="auto"/>
              <w:left w:val="single" w:sz="4" w:space="0" w:color="000000"/>
              <w:bottom w:val="single" w:sz="4" w:space="0" w:color="auto"/>
              <w:right w:val="single" w:sz="4" w:space="0" w:color="auto"/>
            </w:tcBorders>
          </w:tcPr>
          <w:p w:rsidR="00DE307D" w:rsidRDefault="00DE307D" w:rsidP="000435AD">
            <w:pPr>
              <w:pStyle w:val="aa"/>
            </w:pPr>
            <w:r>
              <w:rPr>
                <w:b/>
                <w:bCs/>
              </w:rPr>
              <w:t>第十二部分</w:t>
            </w:r>
            <w:r>
              <w:rPr>
                <w:b/>
                <w:bCs/>
              </w:rPr>
              <w:t xml:space="preserve"> </w:t>
            </w:r>
            <w:r>
              <w:rPr>
                <w:b/>
                <w:bCs/>
              </w:rPr>
              <w:t>基金的投资</w:t>
            </w:r>
          </w:p>
        </w:tc>
        <w:tc>
          <w:tcPr>
            <w:tcW w:w="4079" w:type="dxa"/>
            <w:tcBorders>
              <w:top w:val="single" w:sz="4" w:space="0" w:color="auto"/>
              <w:left w:val="single" w:sz="4" w:space="0" w:color="auto"/>
              <w:right w:val="single" w:sz="4" w:space="0" w:color="auto"/>
            </w:tcBorders>
          </w:tcPr>
          <w:p w:rsidR="00DE307D" w:rsidRDefault="00DE307D" w:rsidP="000435AD">
            <w:r>
              <w:t>二、投资范围</w:t>
            </w:r>
            <w:r>
              <w:t xml:space="preserve"> </w:t>
            </w:r>
          </w:p>
          <w:p w:rsidR="00DE307D" w:rsidRPr="00DE307D" w:rsidRDefault="00DE307D" w:rsidP="000435AD">
            <w:r w:rsidRPr="00932F57">
              <w:rPr>
                <w:rFonts w:hint="eastAsia"/>
              </w:rPr>
              <w:t>本基金的投资范围为具有良好流动性的金融工具，包括国内依法上市的股票（包括主板、中小板、创业板及其他经中国证监会核准发行上市的股票）、债券（包括国债、央行票据、金融债、企业债、公司债、可转换债券（含可分离交易可转换债券）、可交换债券、次级债、短期融资券、超短期融资券、中期票据等）、资产支持证券、债券回购、银行存款、同业存单、货币市场工具、权证、股指期货以及法律法规或中国证监会允许基金投资的其它金融工具（但须符合中国证监会的相关规定）。</w:t>
            </w:r>
            <w:r>
              <w:t xml:space="preserve"> </w:t>
            </w:r>
          </w:p>
        </w:tc>
        <w:tc>
          <w:tcPr>
            <w:tcW w:w="4629" w:type="dxa"/>
            <w:tcBorders>
              <w:top w:val="single" w:sz="4" w:space="0" w:color="auto"/>
              <w:left w:val="single" w:sz="4" w:space="0" w:color="auto"/>
              <w:right w:val="single" w:sz="4" w:space="0" w:color="auto"/>
            </w:tcBorders>
          </w:tcPr>
          <w:p w:rsidR="00DE307D" w:rsidRDefault="00DE307D" w:rsidP="000435AD">
            <w:r>
              <w:t>二、投资范围</w:t>
            </w:r>
            <w:r>
              <w:t xml:space="preserve"> </w:t>
            </w:r>
          </w:p>
          <w:p w:rsidR="00DE307D" w:rsidRDefault="00DE307D">
            <w:r w:rsidRPr="00932F57">
              <w:rPr>
                <w:rFonts w:hint="eastAsia"/>
              </w:rPr>
              <w:t>本基金的投资范围为具有良好流动性的金融工具，包括国内依法上市的股票（包括主板、中小板、创业板及其他经中国证监会核准发行上市的股票</w:t>
            </w:r>
            <w:r w:rsidRPr="00932F57">
              <w:rPr>
                <w:rFonts w:hint="eastAsia"/>
                <w:b/>
                <w:u w:val="single"/>
              </w:rPr>
              <w:t>、存托凭证</w:t>
            </w:r>
            <w:r w:rsidRPr="00E20172">
              <w:rPr>
                <w:rFonts w:hint="eastAsia"/>
                <w:b/>
                <w:u w:val="single"/>
              </w:rPr>
              <w:t>，下同</w:t>
            </w:r>
            <w:r w:rsidRPr="00932F57">
              <w:rPr>
                <w:rFonts w:hint="eastAsia"/>
              </w:rPr>
              <w:t>）、债券（包括国债、央行票据、金融债、企业债、公司债、可转换债券（含可分离交易可转换债券）、可交换债券、次级债、短期融资券、超短期融资券、中期票据等）、资产支持证券、债券回购、银行存款、同业存单、货币市场工具、权证、股指期货以及法律法规或中国证监会允许基金投资的其它金融工具（但须符合中国证监会的相关规定）。</w:t>
            </w:r>
          </w:p>
        </w:tc>
      </w:tr>
      <w:tr w:rsidR="00DE307D" w:rsidTr="00004952">
        <w:trPr>
          <w:jc w:val="center"/>
        </w:trPr>
        <w:tc>
          <w:tcPr>
            <w:tcW w:w="1129" w:type="dxa"/>
            <w:vMerge/>
            <w:tcBorders>
              <w:top w:val="single" w:sz="4" w:space="0" w:color="auto"/>
              <w:left w:val="single" w:sz="4" w:space="0" w:color="000000"/>
              <w:bottom w:val="single" w:sz="4" w:space="0" w:color="auto"/>
              <w:right w:val="single" w:sz="4" w:space="0" w:color="auto"/>
            </w:tcBorders>
            <w:vAlign w:val="center"/>
          </w:tcPr>
          <w:p w:rsidR="00DE307D" w:rsidRDefault="00DE307D" w:rsidP="000435AD"/>
        </w:tc>
        <w:tc>
          <w:tcPr>
            <w:tcW w:w="4079" w:type="dxa"/>
            <w:tcBorders>
              <w:top w:val="single" w:sz="4" w:space="0" w:color="auto"/>
              <w:left w:val="single" w:sz="4" w:space="0" w:color="auto"/>
              <w:right w:val="single" w:sz="4" w:space="0" w:color="auto"/>
            </w:tcBorders>
          </w:tcPr>
          <w:p w:rsidR="00DE307D" w:rsidRDefault="00DE307D" w:rsidP="000435AD">
            <w:r>
              <w:t>三、投资策略</w:t>
            </w:r>
            <w:r>
              <w:t xml:space="preserve"> </w:t>
            </w:r>
          </w:p>
          <w:p w:rsidR="00DE307D" w:rsidRDefault="00DE307D" w:rsidP="000435AD">
            <w:r>
              <w:rPr>
                <w:rFonts w:hint="eastAsia"/>
              </w:rPr>
              <w:t>无</w:t>
            </w:r>
          </w:p>
        </w:tc>
        <w:tc>
          <w:tcPr>
            <w:tcW w:w="4629" w:type="dxa"/>
            <w:tcBorders>
              <w:top w:val="single" w:sz="4" w:space="0" w:color="auto"/>
              <w:left w:val="single" w:sz="4" w:space="0" w:color="auto"/>
              <w:right w:val="single" w:sz="4" w:space="0" w:color="auto"/>
            </w:tcBorders>
          </w:tcPr>
          <w:p w:rsidR="00DE307D" w:rsidRDefault="00DE307D" w:rsidP="000435AD">
            <w:r>
              <w:t>三、投资策略</w:t>
            </w:r>
            <w:r>
              <w:t xml:space="preserve"> </w:t>
            </w:r>
          </w:p>
          <w:p w:rsidR="00DE307D" w:rsidRDefault="00DE307D" w:rsidP="000435AD">
            <w:r>
              <w:rPr>
                <w:b/>
                <w:bCs/>
                <w:u w:val="single"/>
              </w:rPr>
              <w:t>4</w:t>
            </w:r>
            <w:r>
              <w:rPr>
                <w:b/>
                <w:bCs/>
                <w:u w:val="single"/>
              </w:rPr>
              <w:t>、存托凭证投资策略</w:t>
            </w:r>
            <w:r>
              <w:t xml:space="preserve"> </w:t>
            </w:r>
          </w:p>
          <w:p w:rsidR="00DE307D" w:rsidRDefault="00DE307D" w:rsidP="00034B6B">
            <w:r>
              <w:rPr>
                <w:b/>
                <w:bCs/>
                <w:u w:val="single"/>
              </w:rPr>
              <w:t>本基金将根据本基金的投资目标和投资策略，基于对基础证券投资价值的深入研究判断，进行存托凭证的投资。</w:t>
            </w:r>
            <w:r>
              <w:t xml:space="preserve"> </w:t>
            </w:r>
          </w:p>
        </w:tc>
      </w:tr>
      <w:tr w:rsidR="00DE307D" w:rsidTr="00004952">
        <w:trPr>
          <w:jc w:val="center"/>
        </w:trPr>
        <w:tc>
          <w:tcPr>
            <w:tcW w:w="1129" w:type="dxa"/>
            <w:vMerge/>
            <w:tcBorders>
              <w:top w:val="single" w:sz="4" w:space="0" w:color="auto"/>
              <w:left w:val="single" w:sz="4" w:space="0" w:color="000000"/>
              <w:bottom w:val="single" w:sz="4" w:space="0" w:color="auto"/>
              <w:right w:val="single" w:sz="4" w:space="0" w:color="auto"/>
            </w:tcBorders>
            <w:vAlign w:val="center"/>
          </w:tcPr>
          <w:p w:rsidR="00DE307D" w:rsidRDefault="00DE307D" w:rsidP="000435AD"/>
        </w:tc>
        <w:tc>
          <w:tcPr>
            <w:tcW w:w="4079" w:type="dxa"/>
            <w:tcBorders>
              <w:top w:val="single" w:sz="4" w:space="0" w:color="auto"/>
              <w:left w:val="single" w:sz="4" w:space="0" w:color="auto"/>
              <w:right w:val="single" w:sz="4" w:space="0" w:color="auto"/>
            </w:tcBorders>
          </w:tcPr>
          <w:p w:rsidR="00DE307D" w:rsidRDefault="00DE307D" w:rsidP="000435AD">
            <w:r>
              <w:t>四、投资限制</w:t>
            </w:r>
            <w:r>
              <w:t xml:space="preserve"> </w:t>
            </w:r>
          </w:p>
          <w:p w:rsidR="00DE307D" w:rsidRDefault="00DE307D" w:rsidP="000435AD">
            <w:r>
              <w:t>1</w:t>
            </w:r>
            <w:r>
              <w:t>、组合限制</w:t>
            </w:r>
          </w:p>
          <w:p w:rsidR="00DE307D" w:rsidRDefault="00DE307D" w:rsidP="000435AD">
            <w:r>
              <w:t>无</w:t>
            </w:r>
            <w:r>
              <w:t xml:space="preserve"> </w:t>
            </w:r>
          </w:p>
        </w:tc>
        <w:tc>
          <w:tcPr>
            <w:tcW w:w="4629" w:type="dxa"/>
            <w:tcBorders>
              <w:top w:val="single" w:sz="4" w:space="0" w:color="auto"/>
              <w:left w:val="single" w:sz="4" w:space="0" w:color="auto"/>
              <w:right w:val="single" w:sz="4" w:space="0" w:color="auto"/>
            </w:tcBorders>
          </w:tcPr>
          <w:p w:rsidR="00DE307D" w:rsidRDefault="00DE307D" w:rsidP="000435AD">
            <w:r>
              <w:t>四、投资限制</w:t>
            </w:r>
            <w:r>
              <w:t xml:space="preserve"> </w:t>
            </w:r>
          </w:p>
          <w:p w:rsidR="00DE307D" w:rsidRDefault="00DE307D" w:rsidP="000435AD">
            <w:r>
              <w:t>1</w:t>
            </w:r>
            <w:r>
              <w:t>、组合限制</w:t>
            </w:r>
          </w:p>
          <w:p w:rsidR="00DE307D" w:rsidRDefault="00DE307D" w:rsidP="000435AD">
            <w:r w:rsidRPr="00932F57">
              <w:rPr>
                <w:rFonts w:hint="eastAsia"/>
                <w:b/>
                <w:bCs/>
                <w:u w:val="single"/>
              </w:rPr>
              <w:t>（</w:t>
            </w:r>
            <w:r w:rsidRPr="00932F57">
              <w:rPr>
                <w:b/>
                <w:bCs/>
                <w:u w:val="single"/>
              </w:rPr>
              <w:t>19</w:t>
            </w:r>
            <w:r w:rsidRPr="00932F57">
              <w:rPr>
                <w:b/>
                <w:bCs/>
                <w:u w:val="single"/>
              </w:rPr>
              <w:t>）本基金投资存托凭证的比例限制依照境内上市交易的股票执行，与境内上市交易的股票合并计算；</w:t>
            </w:r>
          </w:p>
        </w:tc>
      </w:tr>
      <w:tr w:rsidR="00DE307D" w:rsidTr="00004952">
        <w:trPr>
          <w:jc w:val="center"/>
        </w:trPr>
        <w:tc>
          <w:tcPr>
            <w:tcW w:w="1129" w:type="dxa"/>
            <w:vMerge/>
            <w:tcBorders>
              <w:top w:val="single" w:sz="4" w:space="0" w:color="auto"/>
              <w:left w:val="single" w:sz="4" w:space="0" w:color="000000"/>
              <w:bottom w:val="single" w:sz="4" w:space="0" w:color="auto"/>
              <w:right w:val="single" w:sz="4" w:space="0" w:color="auto"/>
            </w:tcBorders>
            <w:vAlign w:val="center"/>
          </w:tcPr>
          <w:p w:rsidR="00DE307D" w:rsidRDefault="00DE307D" w:rsidP="000435AD"/>
        </w:tc>
        <w:tc>
          <w:tcPr>
            <w:tcW w:w="4079" w:type="dxa"/>
            <w:tcBorders>
              <w:top w:val="single" w:sz="4" w:space="0" w:color="auto"/>
              <w:left w:val="single" w:sz="4" w:space="0" w:color="auto"/>
              <w:right w:val="single" w:sz="4" w:space="0" w:color="auto"/>
            </w:tcBorders>
          </w:tcPr>
          <w:p w:rsidR="00DE307D" w:rsidRDefault="00DE307D" w:rsidP="000435AD">
            <w:r w:rsidRPr="00932F57">
              <w:rPr>
                <w:rFonts w:hint="eastAsia"/>
              </w:rPr>
              <w:t>五、业绩比较基准</w:t>
            </w:r>
          </w:p>
          <w:p w:rsidR="00DE307D" w:rsidRPr="00932F57" w:rsidRDefault="00DE307D" w:rsidP="000435AD">
            <w:pPr>
              <w:rPr>
                <w:b/>
                <w:strike/>
              </w:rPr>
            </w:pPr>
            <w:r w:rsidRPr="00932F57">
              <w:rPr>
                <w:rFonts w:hint="eastAsia"/>
                <w:b/>
                <w:strike/>
              </w:rPr>
              <w:t>如果指数发布机构变更或者停止上述标的指数编制及发布，或者上述标的指数由其他指数代替，或由于指数编制方法等重大变更导致上述指数不宜继续作为标的指数，或证券市场有其他代表性更强、更适合投资的指数推出时，本基金管理人可以依据维护基金份额持有人合法权益的原则，在与基金托管人协商一致</w:t>
            </w:r>
            <w:r w:rsidRPr="00932F57">
              <w:rPr>
                <w:b/>
                <w:strike/>
              </w:rPr>
              <w:t>,</w:t>
            </w:r>
            <w:r w:rsidRPr="00932F57">
              <w:rPr>
                <w:b/>
                <w:strike/>
              </w:rPr>
              <w:t>并按照监管部门要求履行适当程序后</w:t>
            </w:r>
            <w:r w:rsidRPr="00932F57">
              <w:rPr>
                <w:b/>
                <w:strike/>
              </w:rPr>
              <w:t>,</w:t>
            </w:r>
            <w:r w:rsidRPr="00932F57">
              <w:rPr>
                <w:b/>
                <w:strike/>
              </w:rPr>
              <w:t>调整标的指数和业绩比较基准并及时公告，无需召开基金份额持有人大会。</w:t>
            </w:r>
          </w:p>
        </w:tc>
        <w:tc>
          <w:tcPr>
            <w:tcW w:w="4629" w:type="dxa"/>
            <w:tcBorders>
              <w:top w:val="single" w:sz="4" w:space="0" w:color="auto"/>
              <w:left w:val="single" w:sz="4" w:space="0" w:color="auto"/>
              <w:right w:val="single" w:sz="4" w:space="0" w:color="auto"/>
            </w:tcBorders>
          </w:tcPr>
          <w:p w:rsidR="00DE307D" w:rsidRDefault="00DE307D" w:rsidP="000435AD">
            <w:r w:rsidRPr="00932F57">
              <w:rPr>
                <w:rFonts w:hint="eastAsia"/>
              </w:rPr>
              <w:t>五、业绩比较基准</w:t>
            </w:r>
          </w:p>
          <w:p w:rsidR="00DE307D" w:rsidRPr="00E20172" w:rsidRDefault="00DE307D" w:rsidP="000435AD">
            <w:pPr>
              <w:rPr>
                <w:b/>
                <w:u w:val="single"/>
              </w:rPr>
            </w:pPr>
            <w:r w:rsidRPr="00E20172">
              <w:rPr>
                <w:rFonts w:hint="eastAsia"/>
                <w:b/>
                <w:u w:val="single"/>
              </w:rPr>
              <w:t>未来若出现标的指数不符合《指数基金指引》要求（因成份股价格波动等指数编制方法变动之外的因素致使标的指数不符合要求的及法律法规、监管机构另有规定的情形除外）、指数编制机构退出等情形，基金管理人应当自该情形发生之日起十个工作日向中国证监会报告并提出解决方案，如更换基金标的指数、转换运作方式，与其他基金合并、或者终止基金合同等，并在</w:t>
            </w:r>
            <w:r w:rsidRPr="00E20172">
              <w:rPr>
                <w:b/>
                <w:u w:val="single"/>
              </w:rPr>
              <w:t>6</w:t>
            </w:r>
            <w:r w:rsidRPr="00E20172">
              <w:rPr>
                <w:b/>
                <w:u w:val="single"/>
              </w:rPr>
              <w:t>个月内召集基金份额持有人大会进行表决，基金份额持有人大会未成功召开或就上述事项表决未通过的，本基金合同终止。</w:t>
            </w:r>
          </w:p>
          <w:p w:rsidR="00DE307D" w:rsidRDefault="00DE307D" w:rsidP="000435AD">
            <w:r w:rsidRPr="00E20172">
              <w:rPr>
                <w:rFonts w:hint="eastAsia"/>
                <w:b/>
                <w:u w:val="single"/>
              </w:rPr>
              <w:t>自指数编制机构停止标的指数的编制及发布至解决方案确定期间，基金管理人应按照指数编制机构提供的最近一个交易日的指数信息遵循基金份额持有人利益优先原则维持基金投资运作。</w:t>
            </w:r>
          </w:p>
        </w:tc>
      </w:tr>
      <w:tr w:rsidR="00DE307D" w:rsidTr="00004952">
        <w:trPr>
          <w:jc w:val="center"/>
        </w:trPr>
        <w:tc>
          <w:tcPr>
            <w:tcW w:w="1129" w:type="dxa"/>
            <w:vMerge/>
            <w:tcBorders>
              <w:top w:val="single" w:sz="4" w:space="0" w:color="auto"/>
              <w:left w:val="single" w:sz="4" w:space="0" w:color="000000"/>
              <w:bottom w:val="single" w:sz="4" w:space="0" w:color="auto"/>
              <w:right w:val="single" w:sz="4" w:space="0" w:color="auto"/>
            </w:tcBorders>
            <w:vAlign w:val="center"/>
          </w:tcPr>
          <w:p w:rsidR="00DE307D" w:rsidRDefault="00DE307D" w:rsidP="000435AD"/>
        </w:tc>
        <w:tc>
          <w:tcPr>
            <w:tcW w:w="4079" w:type="dxa"/>
            <w:tcBorders>
              <w:top w:val="single" w:sz="4" w:space="0" w:color="auto"/>
              <w:left w:val="single" w:sz="4" w:space="0" w:color="auto"/>
              <w:right w:val="single" w:sz="4" w:space="0" w:color="auto"/>
            </w:tcBorders>
          </w:tcPr>
          <w:p w:rsidR="00DE307D" w:rsidRDefault="00DE307D" w:rsidP="000435AD">
            <w:pPr>
              <w:rPr>
                <w:rFonts w:cs="Times New Roman"/>
              </w:rPr>
            </w:pPr>
            <w:r>
              <w:rPr>
                <w:rFonts w:cs="Times New Roman" w:hint="eastAsia"/>
              </w:rPr>
              <w:t>无</w:t>
            </w:r>
          </w:p>
        </w:tc>
        <w:tc>
          <w:tcPr>
            <w:tcW w:w="4629" w:type="dxa"/>
            <w:tcBorders>
              <w:top w:val="single" w:sz="4" w:space="0" w:color="auto"/>
              <w:left w:val="single" w:sz="4" w:space="0" w:color="auto"/>
              <w:right w:val="single" w:sz="4" w:space="0" w:color="auto"/>
            </w:tcBorders>
          </w:tcPr>
          <w:p w:rsidR="00DE307D" w:rsidRDefault="00DE307D" w:rsidP="000435AD">
            <w:r>
              <w:rPr>
                <w:b/>
                <w:bCs/>
                <w:u w:val="single"/>
              </w:rPr>
              <w:t>八、侧袋机制的实施和投资运作安排</w:t>
            </w:r>
            <w:r>
              <w:t xml:space="preserve"> </w:t>
            </w:r>
          </w:p>
          <w:p w:rsidR="00DE307D" w:rsidRDefault="00DE307D" w:rsidP="000435AD">
            <w:r>
              <w:rPr>
                <w:b/>
                <w:bCs/>
                <w:u w:val="single"/>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审议。</w:t>
            </w:r>
            <w:r>
              <w:t xml:space="preserve"> </w:t>
            </w:r>
          </w:p>
          <w:p w:rsidR="00DE307D" w:rsidRDefault="00DE307D" w:rsidP="000435AD">
            <w:r>
              <w:rPr>
                <w:b/>
                <w:bCs/>
                <w:u w:val="single"/>
              </w:rPr>
              <w:t>侧袋机制实施期间，本部分约定的投资组合比例、投资策略、组合限制、业绩比较基准、风险收益特征等约定仅适用于主袋账户。</w:t>
            </w:r>
            <w:r>
              <w:t xml:space="preserve"> </w:t>
            </w:r>
          </w:p>
          <w:p w:rsidR="00DE307D" w:rsidRDefault="00DE307D" w:rsidP="000435AD">
            <w:r>
              <w:rPr>
                <w:b/>
                <w:bCs/>
                <w:u w:val="single"/>
              </w:rPr>
              <w:t>侧袋账户的实施条件、实施程序、运作安排、投资安排、特定资产的处置变现和支付等对投资者权益有重大影响的事项详见招募说明书的规定。</w:t>
            </w:r>
            <w:r>
              <w:t xml:space="preserve"> </w:t>
            </w:r>
          </w:p>
        </w:tc>
      </w:tr>
      <w:tr w:rsidR="00DE307D" w:rsidTr="00004952">
        <w:trPr>
          <w:jc w:val="center"/>
        </w:trPr>
        <w:tc>
          <w:tcPr>
            <w:tcW w:w="1129" w:type="dxa"/>
            <w:vMerge w:val="restart"/>
            <w:tcBorders>
              <w:top w:val="single" w:sz="4" w:space="0" w:color="auto"/>
              <w:left w:val="single" w:sz="4" w:space="0" w:color="000000"/>
              <w:bottom w:val="single" w:sz="4" w:space="0" w:color="auto"/>
              <w:right w:val="single" w:sz="4" w:space="0" w:color="auto"/>
            </w:tcBorders>
          </w:tcPr>
          <w:p w:rsidR="00DE307D" w:rsidRDefault="00DE307D" w:rsidP="000435AD">
            <w:pPr>
              <w:pStyle w:val="aa"/>
            </w:pPr>
            <w:r>
              <w:rPr>
                <w:b/>
                <w:bCs/>
              </w:rPr>
              <w:t>第十四部分</w:t>
            </w:r>
            <w:r>
              <w:rPr>
                <w:b/>
                <w:bCs/>
              </w:rPr>
              <w:t xml:space="preserve"> </w:t>
            </w:r>
            <w:r>
              <w:rPr>
                <w:b/>
                <w:bCs/>
              </w:rPr>
              <w:t>基金资产估值</w:t>
            </w:r>
          </w:p>
        </w:tc>
        <w:tc>
          <w:tcPr>
            <w:tcW w:w="4079" w:type="dxa"/>
            <w:tcBorders>
              <w:top w:val="single" w:sz="4" w:space="0" w:color="auto"/>
              <w:left w:val="single" w:sz="4" w:space="0" w:color="auto"/>
              <w:right w:val="single" w:sz="4" w:space="0" w:color="auto"/>
            </w:tcBorders>
          </w:tcPr>
          <w:p w:rsidR="00DE307D" w:rsidRDefault="00DE307D" w:rsidP="000435AD">
            <w:r>
              <w:t>二、估值对象</w:t>
            </w:r>
            <w:r>
              <w:t xml:space="preserve"> </w:t>
            </w:r>
          </w:p>
          <w:p w:rsidR="00DE307D" w:rsidRDefault="00DE307D" w:rsidP="000435AD">
            <w:r w:rsidRPr="00932F57">
              <w:rPr>
                <w:rFonts w:hint="eastAsia"/>
              </w:rPr>
              <w:t>基金所拥有的股票、权证、债券和银行存款本息、应收款项、股指期货合约、其它投资等资产及负债。</w:t>
            </w:r>
          </w:p>
        </w:tc>
        <w:tc>
          <w:tcPr>
            <w:tcW w:w="4629" w:type="dxa"/>
            <w:tcBorders>
              <w:top w:val="single" w:sz="4" w:space="0" w:color="auto"/>
              <w:left w:val="single" w:sz="4" w:space="0" w:color="auto"/>
              <w:right w:val="single" w:sz="4" w:space="0" w:color="auto"/>
            </w:tcBorders>
          </w:tcPr>
          <w:p w:rsidR="00DE307D" w:rsidRDefault="00DE307D" w:rsidP="000435AD">
            <w:r>
              <w:t>二、估值对象</w:t>
            </w:r>
            <w:r>
              <w:t xml:space="preserve"> </w:t>
            </w:r>
          </w:p>
          <w:p w:rsidR="00DE307D" w:rsidRDefault="00DE307D" w:rsidP="000435AD">
            <w:r w:rsidRPr="00932F57">
              <w:rPr>
                <w:rFonts w:hint="eastAsia"/>
              </w:rPr>
              <w:t>基金所拥有的股票</w:t>
            </w:r>
            <w:r w:rsidRPr="00932F57">
              <w:rPr>
                <w:rFonts w:hint="eastAsia"/>
                <w:b/>
                <w:u w:val="single"/>
              </w:rPr>
              <w:t>（含存托凭证）</w:t>
            </w:r>
            <w:r w:rsidRPr="00932F57">
              <w:rPr>
                <w:rFonts w:hint="eastAsia"/>
              </w:rPr>
              <w:t>、权证、债券和银行存款本息、应收款项、股指期货合约、其它投资等资产及负债。</w:t>
            </w:r>
          </w:p>
        </w:tc>
      </w:tr>
      <w:tr w:rsidR="00DE307D" w:rsidTr="00004952">
        <w:trPr>
          <w:jc w:val="center"/>
        </w:trPr>
        <w:tc>
          <w:tcPr>
            <w:tcW w:w="1129" w:type="dxa"/>
            <w:vMerge/>
            <w:tcBorders>
              <w:top w:val="single" w:sz="4" w:space="0" w:color="auto"/>
              <w:left w:val="single" w:sz="4" w:space="0" w:color="000000"/>
              <w:bottom w:val="single" w:sz="4" w:space="0" w:color="auto"/>
              <w:right w:val="single" w:sz="4" w:space="0" w:color="auto"/>
            </w:tcBorders>
            <w:vAlign w:val="center"/>
          </w:tcPr>
          <w:p w:rsidR="00DE307D" w:rsidRDefault="00DE307D" w:rsidP="000435AD"/>
        </w:tc>
        <w:tc>
          <w:tcPr>
            <w:tcW w:w="4079" w:type="dxa"/>
            <w:tcBorders>
              <w:top w:val="single" w:sz="4" w:space="0" w:color="auto"/>
              <w:left w:val="single" w:sz="4" w:space="0" w:color="auto"/>
              <w:right w:val="single" w:sz="4" w:space="0" w:color="auto"/>
            </w:tcBorders>
          </w:tcPr>
          <w:p w:rsidR="00DE307D" w:rsidRDefault="00DE307D" w:rsidP="000435AD">
            <w:r>
              <w:t>三、估值方法</w:t>
            </w:r>
            <w:r>
              <w:t xml:space="preserve"> </w:t>
            </w:r>
          </w:p>
          <w:p w:rsidR="00DE307D" w:rsidRDefault="00DE307D" w:rsidP="000435AD">
            <w:r>
              <w:rPr>
                <w:rFonts w:hint="eastAsia"/>
              </w:rPr>
              <w:t>无</w:t>
            </w:r>
          </w:p>
        </w:tc>
        <w:tc>
          <w:tcPr>
            <w:tcW w:w="4629" w:type="dxa"/>
            <w:tcBorders>
              <w:top w:val="single" w:sz="4" w:space="0" w:color="auto"/>
              <w:left w:val="single" w:sz="4" w:space="0" w:color="auto"/>
              <w:right w:val="single" w:sz="4" w:space="0" w:color="auto"/>
            </w:tcBorders>
          </w:tcPr>
          <w:p w:rsidR="00DE307D" w:rsidRDefault="00DE307D" w:rsidP="000435AD">
            <w:r>
              <w:t>三、估值方法</w:t>
            </w:r>
            <w:r>
              <w:t xml:space="preserve"> </w:t>
            </w:r>
          </w:p>
          <w:p w:rsidR="00DE307D" w:rsidRDefault="00DE307D" w:rsidP="000435AD">
            <w:r>
              <w:rPr>
                <w:b/>
                <w:bCs/>
                <w:u w:val="single"/>
              </w:rPr>
              <w:t>9</w:t>
            </w:r>
            <w:r>
              <w:rPr>
                <w:b/>
                <w:bCs/>
                <w:u w:val="single"/>
              </w:rPr>
              <w:t>、本基金投资存托凭证的估值核算依照境内上市交易的股票执行。</w:t>
            </w:r>
            <w:r>
              <w:t xml:space="preserve"> </w:t>
            </w:r>
          </w:p>
        </w:tc>
      </w:tr>
      <w:tr w:rsidR="00DE307D" w:rsidTr="00004952">
        <w:trPr>
          <w:jc w:val="center"/>
        </w:trPr>
        <w:tc>
          <w:tcPr>
            <w:tcW w:w="1129" w:type="dxa"/>
            <w:vMerge/>
            <w:tcBorders>
              <w:top w:val="single" w:sz="4" w:space="0" w:color="auto"/>
              <w:left w:val="single" w:sz="4" w:space="0" w:color="000000"/>
              <w:bottom w:val="single" w:sz="4" w:space="0" w:color="auto"/>
              <w:right w:val="single" w:sz="4" w:space="0" w:color="auto"/>
            </w:tcBorders>
            <w:vAlign w:val="center"/>
          </w:tcPr>
          <w:p w:rsidR="00DE307D" w:rsidRDefault="00DE307D" w:rsidP="000435AD"/>
        </w:tc>
        <w:tc>
          <w:tcPr>
            <w:tcW w:w="4079" w:type="dxa"/>
            <w:tcBorders>
              <w:top w:val="single" w:sz="4" w:space="0" w:color="auto"/>
              <w:left w:val="single" w:sz="4" w:space="0" w:color="auto"/>
              <w:right w:val="single" w:sz="4" w:space="0" w:color="auto"/>
            </w:tcBorders>
          </w:tcPr>
          <w:p w:rsidR="00DE307D" w:rsidRDefault="00DE307D" w:rsidP="000435AD">
            <w:r>
              <w:t>六、暂停估值的情形</w:t>
            </w:r>
            <w:r>
              <w:t xml:space="preserve"> </w:t>
            </w:r>
          </w:p>
          <w:p w:rsidR="00DE307D" w:rsidRDefault="00DE307D" w:rsidP="000435AD">
            <w:r>
              <w:t>3</w:t>
            </w:r>
            <w:r>
              <w:t>、当前一估值日基金资产净值</w:t>
            </w:r>
            <w:r>
              <w:t>50%</w:t>
            </w:r>
            <w:r>
              <w:t>以上</w:t>
            </w:r>
            <w:r w:rsidRPr="00015DBA">
              <w:t>的</w:t>
            </w:r>
            <w:r>
              <w:rPr>
                <w:b/>
                <w:bCs/>
                <w:strike/>
              </w:rPr>
              <w:t>资产出现无可参考的活跃市场价格且采用估值技术仍导致公允价值存在重大不确定性时</w:t>
            </w:r>
            <w:r>
              <w:t>，经与基金托管人协商确认后，应当暂停基金估值；</w:t>
            </w:r>
            <w:r>
              <w:t xml:space="preserve"> </w:t>
            </w:r>
          </w:p>
        </w:tc>
        <w:tc>
          <w:tcPr>
            <w:tcW w:w="4629" w:type="dxa"/>
            <w:tcBorders>
              <w:top w:val="single" w:sz="4" w:space="0" w:color="auto"/>
              <w:left w:val="single" w:sz="4" w:space="0" w:color="auto"/>
              <w:right w:val="single" w:sz="4" w:space="0" w:color="auto"/>
            </w:tcBorders>
          </w:tcPr>
          <w:p w:rsidR="00DE307D" w:rsidRDefault="00DE307D" w:rsidP="000435AD">
            <w:r>
              <w:t>六、暂停估值的情形</w:t>
            </w:r>
            <w:r>
              <w:t xml:space="preserve"> </w:t>
            </w:r>
          </w:p>
          <w:p w:rsidR="00DE307D" w:rsidRDefault="00034B6B" w:rsidP="000435AD">
            <w:r>
              <w:t>3</w:t>
            </w:r>
            <w:r w:rsidR="00DE307D">
              <w:t>、当</w:t>
            </w:r>
            <w:r w:rsidR="00DE307D">
              <w:rPr>
                <w:b/>
                <w:bCs/>
                <w:u w:val="single"/>
              </w:rPr>
              <w:t>特定资产占</w:t>
            </w:r>
            <w:r w:rsidR="00DE307D">
              <w:t>前一估值日基金资产净值</w:t>
            </w:r>
            <w:r w:rsidR="00DE307D">
              <w:t>50%</w:t>
            </w:r>
            <w:r w:rsidR="00DE307D">
              <w:t>以上</w:t>
            </w:r>
            <w:r w:rsidR="00DE307D" w:rsidRPr="00015DBA">
              <w:t>的</w:t>
            </w:r>
            <w:r w:rsidR="00DE307D">
              <w:t>，经与基金托管人协商确认后，应当暂停基金估值；</w:t>
            </w:r>
            <w:r w:rsidR="00DE307D">
              <w:t xml:space="preserve"> </w:t>
            </w:r>
          </w:p>
        </w:tc>
      </w:tr>
      <w:tr w:rsidR="00DE307D" w:rsidTr="00004952">
        <w:trPr>
          <w:jc w:val="center"/>
        </w:trPr>
        <w:tc>
          <w:tcPr>
            <w:tcW w:w="1129" w:type="dxa"/>
            <w:vMerge/>
            <w:tcBorders>
              <w:top w:val="single" w:sz="4" w:space="0" w:color="auto"/>
              <w:left w:val="single" w:sz="4" w:space="0" w:color="000000"/>
              <w:bottom w:val="single" w:sz="4" w:space="0" w:color="auto"/>
              <w:right w:val="single" w:sz="4" w:space="0" w:color="auto"/>
            </w:tcBorders>
            <w:vAlign w:val="center"/>
          </w:tcPr>
          <w:p w:rsidR="00DE307D" w:rsidRDefault="00DE307D" w:rsidP="000435AD"/>
        </w:tc>
        <w:tc>
          <w:tcPr>
            <w:tcW w:w="4079" w:type="dxa"/>
            <w:tcBorders>
              <w:top w:val="single" w:sz="4" w:space="0" w:color="auto"/>
              <w:left w:val="single" w:sz="4" w:space="0" w:color="auto"/>
              <w:right w:val="single" w:sz="4" w:space="0" w:color="auto"/>
            </w:tcBorders>
          </w:tcPr>
          <w:p w:rsidR="00DE307D" w:rsidRDefault="00DE307D" w:rsidP="000435AD">
            <w:r>
              <w:rPr>
                <w:rFonts w:hint="eastAsia"/>
              </w:rPr>
              <w:t>八、特殊情况的处理</w:t>
            </w:r>
          </w:p>
          <w:p w:rsidR="00DE307D" w:rsidRDefault="00DE307D" w:rsidP="000435AD">
            <w:r>
              <w:t>1</w:t>
            </w:r>
            <w:r>
              <w:t>、基金管理人或基金托管人按估值方法的第</w:t>
            </w:r>
            <w:r w:rsidRPr="00255D9A">
              <w:rPr>
                <w:b/>
                <w:bCs/>
                <w:strike/>
              </w:rPr>
              <w:t>9</w:t>
            </w:r>
            <w:r>
              <w:t>项进行估值时，所造成的误差不作为基金资产估值错误处理。</w:t>
            </w:r>
          </w:p>
        </w:tc>
        <w:tc>
          <w:tcPr>
            <w:tcW w:w="4629" w:type="dxa"/>
            <w:tcBorders>
              <w:top w:val="single" w:sz="4" w:space="0" w:color="auto"/>
              <w:left w:val="single" w:sz="4" w:space="0" w:color="auto"/>
              <w:right w:val="single" w:sz="4" w:space="0" w:color="auto"/>
            </w:tcBorders>
          </w:tcPr>
          <w:p w:rsidR="00DE307D" w:rsidRDefault="00DE307D" w:rsidP="000435AD">
            <w:r>
              <w:rPr>
                <w:rFonts w:hint="eastAsia"/>
              </w:rPr>
              <w:t>八、特殊情况的处理</w:t>
            </w:r>
          </w:p>
          <w:p w:rsidR="00DE307D" w:rsidRPr="00411D62" w:rsidRDefault="00DE307D" w:rsidP="000435AD">
            <w:r>
              <w:t>1</w:t>
            </w:r>
            <w:r>
              <w:t>、基金管理人或基金托管人按估值方法的第</w:t>
            </w:r>
            <w:r w:rsidRPr="00255D9A">
              <w:rPr>
                <w:b/>
                <w:bCs/>
                <w:u w:val="single"/>
              </w:rPr>
              <w:t>10</w:t>
            </w:r>
            <w:r>
              <w:t>项进行估值时，所造成的误差不作为基金资产估值错误处理。</w:t>
            </w:r>
          </w:p>
        </w:tc>
      </w:tr>
      <w:tr w:rsidR="00DE307D" w:rsidTr="00004952">
        <w:trPr>
          <w:jc w:val="center"/>
        </w:trPr>
        <w:tc>
          <w:tcPr>
            <w:tcW w:w="1129" w:type="dxa"/>
            <w:vMerge/>
            <w:tcBorders>
              <w:top w:val="single" w:sz="4" w:space="0" w:color="auto"/>
              <w:left w:val="single" w:sz="4" w:space="0" w:color="000000"/>
              <w:bottom w:val="single" w:sz="4" w:space="0" w:color="auto"/>
              <w:right w:val="single" w:sz="4" w:space="0" w:color="auto"/>
            </w:tcBorders>
            <w:vAlign w:val="center"/>
          </w:tcPr>
          <w:p w:rsidR="00DE307D" w:rsidRDefault="00DE307D" w:rsidP="000435AD"/>
        </w:tc>
        <w:tc>
          <w:tcPr>
            <w:tcW w:w="4079" w:type="dxa"/>
            <w:tcBorders>
              <w:top w:val="single" w:sz="4" w:space="0" w:color="auto"/>
              <w:left w:val="single" w:sz="4" w:space="0" w:color="auto"/>
              <w:right w:val="single" w:sz="4" w:space="0" w:color="auto"/>
            </w:tcBorders>
          </w:tcPr>
          <w:p w:rsidR="00DE307D" w:rsidRDefault="00DE307D" w:rsidP="000435AD">
            <w:pPr>
              <w:rPr>
                <w:rFonts w:cs="Times New Roman"/>
              </w:rPr>
            </w:pPr>
            <w:r>
              <w:rPr>
                <w:rFonts w:cs="Times New Roman" w:hint="eastAsia"/>
              </w:rPr>
              <w:t>无</w:t>
            </w:r>
          </w:p>
        </w:tc>
        <w:tc>
          <w:tcPr>
            <w:tcW w:w="4629" w:type="dxa"/>
            <w:tcBorders>
              <w:top w:val="single" w:sz="4" w:space="0" w:color="auto"/>
              <w:left w:val="single" w:sz="4" w:space="0" w:color="auto"/>
              <w:right w:val="single" w:sz="4" w:space="0" w:color="auto"/>
            </w:tcBorders>
          </w:tcPr>
          <w:p w:rsidR="00DE307D" w:rsidRDefault="00DE307D" w:rsidP="000435AD">
            <w:r>
              <w:rPr>
                <w:b/>
                <w:bCs/>
                <w:u w:val="single"/>
              </w:rPr>
              <w:t>九、实施侧袋机制期间的基金资产估值</w:t>
            </w:r>
            <w:r>
              <w:t xml:space="preserve"> </w:t>
            </w:r>
          </w:p>
          <w:p w:rsidR="00DE307D" w:rsidRDefault="00DE307D" w:rsidP="000435AD">
            <w:r>
              <w:rPr>
                <w:b/>
                <w:bCs/>
                <w:u w:val="single"/>
              </w:rPr>
              <w:t>本基金实施侧袋机制的，应根据本部分的约定对主袋账户资产进行估值并披露主袋账户的基金份额净值和基金份额累计净值，暂停披露侧袋账户的基金净值信息。</w:t>
            </w:r>
            <w:r>
              <w:t xml:space="preserve"> </w:t>
            </w:r>
          </w:p>
        </w:tc>
      </w:tr>
      <w:tr w:rsidR="00DE307D" w:rsidTr="00004952">
        <w:trPr>
          <w:jc w:val="center"/>
        </w:trPr>
        <w:tc>
          <w:tcPr>
            <w:tcW w:w="1129" w:type="dxa"/>
            <w:tcBorders>
              <w:top w:val="single" w:sz="4" w:space="0" w:color="auto"/>
              <w:left w:val="single" w:sz="4" w:space="0" w:color="000000"/>
              <w:bottom w:val="single" w:sz="4" w:space="0" w:color="auto"/>
              <w:right w:val="single" w:sz="4" w:space="0" w:color="auto"/>
            </w:tcBorders>
          </w:tcPr>
          <w:p w:rsidR="00DE307D" w:rsidRDefault="00DE307D" w:rsidP="000435AD">
            <w:pPr>
              <w:pStyle w:val="aa"/>
            </w:pPr>
            <w:r>
              <w:rPr>
                <w:b/>
                <w:bCs/>
              </w:rPr>
              <w:t>第十五部分</w:t>
            </w:r>
            <w:r>
              <w:rPr>
                <w:b/>
                <w:bCs/>
              </w:rPr>
              <w:t xml:space="preserve"> </w:t>
            </w:r>
            <w:r>
              <w:rPr>
                <w:b/>
                <w:bCs/>
              </w:rPr>
              <w:t>基金费用与税收</w:t>
            </w:r>
          </w:p>
        </w:tc>
        <w:tc>
          <w:tcPr>
            <w:tcW w:w="4079" w:type="dxa"/>
            <w:tcBorders>
              <w:top w:val="single" w:sz="4" w:space="0" w:color="auto"/>
              <w:left w:val="single" w:sz="4" w:space="0" w:color="auto"/>
              <w:right w:val="single" w:sz="4" w:space="0" w:color="auto"/>
            </w:tcBorders>
          </w:tcPr>
          <w:p w:rsidR="00DE307D" w:rsidRDefault="00DE307D" w:rsidP="000435AD">
            <w:pPr>
              <w:rPr>
                <w:rFonts w:cs="Times New Roman"/>
              </w:rPr>
            </w:pPr>
            <w:r>
              <w:rPr>
                <w:rFonts w:cs="Times New Roman" w:hint="eastAsia"/>
              </w:rPr>
              <w:t>无</w:t>
            </w:r>
          </w:p>
        </w:tc>
        <w:tc>
          <w:tcPr>
            <w:tcW w:w="4629" w:type="dxa"/>
            <w:tcBorders>
              <w:top w:val="single" w:sz="4" w:space="0" w:color="auto"/>
              <w:left w:val="single" w:sz="4" w:space="0" w:color="auto"/>
              <w:right w:val="single" w:sz="4" w:space="0" w:color="auto"/>
            </w:tcBorders>
          </w:tcPr>
          <w:p w:rsidR="00DE307D" w:rsidRDefault="00DE307D" w:rsidP="000435AD">
            <w:r>
              <w:rPr>
                <w:rFonts w:hint="eastAsia"/>
                <w:b/>
                <w:bCs/>
                <w:u w:val="single"/>
              </w:rPr>
              <w:t>四</w:t>
            </w:r>
            <w:r>
              <w:rPr>
                <w:b/>
                <w:bCs/>
                <w:u w:val="single"/>
              </w:rPr>
              <w:t>、实施侧袋机制期间的基金费用</w:t>
            </w:r>
            <w:r>
              <w:t xml:space="preserve"> </w:t>
            </w:r>
          </w:p>
          <w:p w:rsidR="00DE307D" w:rsidRDefault="00DE307D" w:rsidP="000435AD">
            <w:r>
              <w:rPr>
                <w:b/>
                <w:bCs/>
                <w:u w:val="single"/>
              </w:rPr>
              <w:t>本基金实施侧袋机制的，与侧袋账户有关的费用可以从侧袋账户中列支，但应待侧袋账户资产变现后方可列支，有关费用可酌情收取或减免，但不得收取管理费，其他费用详见招募说明书的规定或相关公告。</w:t>
            </w:r>
            <w:r>
              <w:t xml:space="preserve"> </w:t>
            </w:r>
          </w:p>
        </w:tc>
      </w:tr>
      <w:tr w:rsidR="00DE307D" w:rsidTr="00004952">
        <w:trPr>
          <w:jc w:val="center"/>
        </w:trPr>
        <w:tc>
          <w:tcPr>
            <w:tcW w:w="1129" w:type="dxa"/>
            <w:tcBorders>
              <w:top w:val="single" w:sz="4" w:space="0" w:color="auto"/>
              <w:left w:val="single" w:sz="4" w:space="0" w:color="000000"/>
              <w:bottom w:val="single" w:sz="4" w:space="0" w:color="auto"/>
              <w:right w:val="single" w:sz="4" w:space="0" w:color="auto"/>
            </w:tcBorders>
          </w:tcPr>
          <w:p w:rsidR="00DE307D" w:rsidRDefault="00DE307D" w:rsidP="000435AD">
            <w:pPr>
              <w:pStyle w:val="aa"/>
            </w:pPr>
            <w:r>
              <w:rPr>
                <w:b/>
                <w:bCs/>
              </w:rPr>
              <w:t>第十六部分</w:t>
            </w:r>
            <w:r>
              <w:rPr>
                <w:b/>
                <w:bCs/>
              </w:rPr>
              <w:t xml:space="preserve"> </w:t>
            </w:r>
            <w:r>
              <w:rPr>
                <w:b/>
                <w:bCs/>
              </w:rPr>
              <w:t>基金的收益与分配</w:t>
            </w:r>
          </w:p>
        </w:tc>
        <w:tc>
          <w:tcPr>
            <w:tcW w:w="4079" w:type="dxa"/>
            <w:tcBorders>
              <w:top w:val="single" w:sz="4" w:space="0" w:color="auto"/>
              <w:left w:val="single" w:sz="4" w:space="0" w:color="auto"/>
              <w:right w:val="single" w:sz="4" w:space="0" w:color="auto"/>
            </w:tcBorders>
          </w:tcPr>
          <w:p w:rsidR="00DE307D" w:rsidRDefault="00DE307D" w:rsidP="000435AD">
            <w:pPr>
              <w:rPr>
                <w:rFonts w:cs="Times New Roman"/>
              </w:rPr>
            </w:pPr>
            <w:r>
              <w:rPr>
                <w:rFonts w:cs="Times New Roman" w:hint="eastAsia"/>
              </w:rPr>
              <w:t>无</w:t>
            </w:r>
          </w:p>
          <w:p w:rsidR="00DE307D" w:rsidRDefault="00DE307D" w:rsidP="000435AD">
            <w:pPr>
              <w:rPr>
                <w:rFonts w:cs="Times New Roman"/>
              </w:rPr>
            </w:pPr>
          </w:p>
        </w:tc>
        <w:tc>
          <w:tcPr>
            <w:tcW w:w="4629" w:type="dxa"/>
            <w:tcBorders>
              <w:top w:val="single" w:sz="4" w:space="0" w:color="auto"/>
              <w:left w:val="single" w:sz="4" w:space="0" w:color="auto"/>
              <w:right w:val="single" w:sz="4" w:space="0" w:color="auto"/>
            </w:tcBorders>
          </w:tcPr>
          <w:p w:rsidR="00DE307D" w:rsidRDefault="00DE307D" w:rsidP="000435AD">
            <w:r>
              <w:rPr>
                <w:b/>
                <w:bCs/>
                <w:u w:val="single"/>
              </w:rPr>
              <w:t>七、实施侧袋机制期间的收益分配</w:t>
            </w:r>
            <w:r>
              <w:t xml:space="preserve"> </w:t>
            </w:r>
          </w:p>
          <w:p w:rsidR="00DE307D" w:rsidRDefault="00DE307D" w:rsidP="000435AD">
            <w:r>
              <w:rPr>
                <w:b/>
                <w:bCs/>
                <w:u w:val="single"/>
              </w:rPr>
              <w:t>本基金实施侧袋机制的，侧袋账户不进行收益分配，详见招募说明书的规定。</w:t>
            </w:r>
            <w:r>
              <w:t xml:space="preserve"> </w:t>
            </w:r>
          </w:p>
        </w:tc>
      </w:tr>
      <w:tr w:rsidR="00DE307D" w:rsidTr="00004952">
        <w:trPr>
          <w:jc w:val="center"/>
        </w:trPr>
        <w:tc>
          <w:tcPr>
            <w:tcW w:w="1129" w:type="dxa"/>
            <w:tcBorders>
              <w:top w:val="single" w:sz="4" w:space="0" w:color="auto"/>
              <w:left w:val="single" w:sz="4" w:space="0" w:color="000000"/>
              <w:bottom w:val="single" w:sz="4" w:space="0" w:color="auto"/>
              <w:right w:val="single" w:sz="4" w:space="0" w:color="auto"/>
            </w:tcBorders>
          </w:tcPr>
          <w:p w:rsidR="00DE307D" w:rsidRDefault="00DE307D" w:rsidP="000435AD">
            <w:pPr>
              <w:pStyle w:val="aa"/>
            </w:pPr>
            <w:r>
              <w:rPr>
                <w:b/>
                <w:bCs/>
              </w:rPr>
              <w:t>第十八部分</w:t>
            </w:r>
            <w:r>
              <w:rPr>
                <w:b/>
                <w:bCs/>
              </w:rPr>
              <w:t xml:space="preserve"> </w:t>
            </w:r>
            <w:r>
              <w:rPr>
                <w:b/>
                <w:bCs/>
              </w:rPr>
              <w:t>基金的信息披露</w:t>
            </w:r>
          </w:p>
        </w:tc>
        <w:tc>
          <w:tcPr>
            <w:tcW w:w="4079" w:type="dxa"/>
            <w:tcBorders>
              <w:top w:val="single" w:sz="4" w:space="0" w:color="auto"/>
              <w:left w:val="single" w:sz="4" w:space="0" w:color="auto"/>
              <w:bottom w:val="single" w:sz="4" w:space="0" w:color="auto"/>
              <w:right w:val="single" w:sz="4" w:space="0" w:color="auto"/>
            </w:tcBorders>
          </w:tcPr>
          <w:p w:rsidR="00DE307D" w:rsidRDefault="00DE307D" w:rsidP="000435AD">
            <w:pPr>
              <w:rPr>
                <w:rFonts w:cs="Times New Roman"/>
              </w:rPr>
            </w:pPr>
            <w:r>
              <w:rPr>
                <w:rFonts w:hint="eastAsia"/>
              </w:rPr>
              <w:t>无</w:t>
            </w:r>
          </w:p>
        </w:tc>
        <w:tc>
          <w:tcPr>
            <w:tcW w:w="4629" w:type="dxa"/>
            <w:tcBorders>
              <w:top w:val="single" w:sz="4" w:space="0" w:color="auto"/>
              <w:left w:val="single" w:sz="4" w:space="0" w:color="auto"/>
              <w:bottom w:val="single" w:sz="4" w:space="0" w:color="auto"/>
              <w:right w:val="single" w:sz="4" w:space="0" w:color="auto"/>
            </w:tcBorders>
          </w:tcPr>
          <w:p w:rsidR="00DE307D" w:rsidRDefault="00DE307D" w:rsidP="000435AD">
            <w:r>
              <w:rPr>
                <w:b/>
                <w:bCs/>
                <w:u w:val="single"/>
              </w:rPr>
              <w:t>（十三）实施侧袋机制期间的信息披露</w:t>
            </w:r>
            <w:r>
              <w:t xml:space="preserve"> </w:t>
            </w:r>
          </w:p>
          <w:p w:rsidR="00DE307D" w:rsidRDefault="00DE307D" w:rsidP="000435AD">
            <w:r>
              <w:rPr>
                <w:b/>
                <w:bCs/>
                <w:u w:val="single"/>
              </w:rPr>
              <w:t>本基金实施侧袋机制的，相关信息披露义务人应当根据法律法规、基金合同和招募说明书的规定进行信息披露，详见招募说明书的规定。</w:t>
            </w:r>
            <w:r>
              <w:t xml:space="preserve"> </w:t>
            </w:r>
          </w:p>
        </w:tc>
      </w:tr>
      <w:tr w:rsidR="00DE307D" w:rsidTr="00004952">
        <w:trPr>
          <w:jc w:val="center"/>
        </w:trPr>
        <w:tc>
          <w:tcPr>
            <w:tcW w:w="1129" w:type="dxa"/>
            <w:tcBorders>
              <w:top w:val="single" w:sz="4" w:space="0" w:color="auto"/>
              <w:left w:val="single" w:sz="4" w:space="0" w:color="000000"/>
              <w:bottom w:val="single" w:sz="4" w:space="0" w:color="auto"/>
              <w:right w:val="single" w:sz="4" w:space="0" w:color="auto"/>
            </w:tcBorders>
          </w:tcPr>
          <w:p w:rsidR="00DE307D" w:rsidRDefault="00DE307D" w:rsidP="000435AD">
            <w:pPr>
              <w:pStyle w:val="aa"/>
              <w:rPr>
                <w:b/>
                <w:bCs/>
              </w:rPr>
            </w:pPr>
            <w:r w:rsidRPr="00932F57">
              <w:rPr>
                <w:rFonts w:hint="eastAsia"/>
                <w:b/>
                <w:bCs/>
              </w:rPr>
              <w:t>第十九部分</w:t>
            </w:r>
            <w:r w:rsidRPr="00932F57">
              <w:rPr>
                <w:b/>
                <w:bCs/>
              </w:rPr>
              <w:t xml:space="preserve">  </w:t>
            </w:r>
            <w:r w:rsidRPr="00932F57">
              <w:rPr>
                <w:b/>
                <w:bCs/>
              </w:rPr>
              <w:t>基金合同的变更、终止与基金财产的清算</w:t>
            </w:r>
          </w:p>
        </w:tc>
        <w:tc>
          <w:tcPr>
            <w:tcW w:w="4079" w:type="dxa"/>
            <w:tcBorders>
              <w:top w:val="single" w:sz="4" w:space="0" w:color="auto"/>
              <w:left w:val="single" w:sz="4" w:space="0" w:color="auto"/>
              <w:right w:val="single" w:sz="4" w:space="0" w:color="auto"/>
            </w:tcBorders>
          </w:tcPr>
          <w:p w:rsidR="00DE307D" w:rsidRDefault="00DE307D" w:rsidP="000435AD">
            <w:r>
              <w:rPr>
                <w:rFonts w:hint="eastAsia"/>
              </w:rPr>
              <w:t>二、《基金合同》的终止事由</w:t>
            </w:r>
          </w:p>
          <w:p w:rsidR="00DE307D" w:rsidRDefault="00DE307D" w:rsidP="000435AD">
            <w:r>
              <w:rPr>
                <w:rFonts w:hint="eastAsia"/>
              </w:rPr>
              <w:t>有下列情形之一的，《基金合同》应当终止：</w:t>
            </w:r>
          </w:p>
          <w:p w:rsidR="00DE307D" w:rsidRDefault="00DE307D" w:rsidP="000435AD">
            <w:r>
              <w:t>无</w:t>
            </w:r>
          </w:p>
        </w:tc>
        <w:tc>
          <w:tcPr>
            <w:tcW w:w="4629" w:type="dxa"/>
            <w:tcBorders>
              <w:top w:val="single" w:sz="4" w:space="0" w:color="auto"/>
              <w:left w:val="single" w:sz="4" w:space="0" w:color="auto"/>
              <w:right w:val="single" w:sz="4" w:space="0" w:color="auto"/>
            </w:tcBorders>
          </w:tcPr>
          <w:p w:rsidR="00DE307D" w:rsidRDefault="00DE307D" w:rsidP="000435AD">
            <w:r>
              <w:rPr>
                <w:rFonts w:hint="eastAsia"/>
              </w:rPr>
              <w:t>二、《基金合同》的终止事由</w:t>
            </w:r>
          </w:p>
          <w:p w:rsidR="00DE307D" w:rsidRPr="00276DF1" w:rsidRDefault="00DE307D" w:rsidP="000435AD">
            <w:r>
              <w:rPr>
                <w:rFonts w:hint="eastAsia"/>
              </w:rPr>
              <w:t>有下列情形之一的，《基金合同》应当终止：</w:t>
            </w:r>
          </w:p>
          <w:p w:rsidR="00DE307D" w:rsidRDefault="00DE307D" w:rsidP="000435AD">
            <w:pPr>
              <w:rPr>
                <w:b/>
                <w:bCs/>
                <w:u w:val="single"/>
              </w:rPr>
            </w:pPr>
            <w:r w:rsidRPr="00276DF1">
              <w:rPr>
                <w:b/>
                <w:bCs/>
                <w:u w:val="single"/>
              </w:rPr>
              <w:t>4</w:t>
            </w:r>
            <w:r w:rsidRPr="00276DF1">
              <w:rPr>
                <w:b/>
                <w:bCs/>
                <w:u w:val="single"/>
              </w:rPr>
              <w:t>、</w:t>
            </w:r>
            <w:r w:rsidRPr="00E20172">
              <w:rPr>
                <w:rFonts w:hint="eastAsia"/>
                <w:b/>
                <w:bCs/>
                <w:u w:val="single"/>
              </w:rPr>
              <w:t>出现标的指数不符合《指数基金指引》要求（因成份股价格波动等指数编制方法变动之外的因素致使标的指数不符合要求的及法律法规、监管机构另有规定的情形除外）、指数编制机构退出等情形，基金管理人召集基金份额持有人大会对解决方案进行表决，基金份额持有人大会未成功召开或就上述事项表决未通过的；</w:t>
            </w:r>
          </w:p>
        </w:tc>
      </w:tr>
    </w:tbl>
    <w:p w:rsidR="00DE307D" w:rsidRPr="00DE307D" w:rsidRDefault="00DE307D" w:rsidP="00DE307D"/>
    <w:sectPr w:rsidR="00DE307D" w:rsidRPr="00DE307D" w:rsidSect="00F3006F">
      <w:footerReference w:type="default" r:id="rId8"/>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C46869" w16cid:durableId="232ED26C"/>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9B9" w:rsidRDefault="009049B9">
      <w:r>
        <w:separator/>
      </w:r>
    </w:p>
  </w:endnote>
  <w:endnote w:type="continuationSeparator" w:id="0">
    <w:p w:rsidR="009049B9" w:rsidRDefault="00904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424037"/>
      <w:docPartObj>
        <w:docPartGallery w:val="AutoText"/>
      </w:docPartObj>
    </w:sdtPr>
    <w:sdtContent>
      <w:p w:rsidR="00384BDC" w:rsidRDefault="0083163C">
        <w:pPr>
          <w:pStyle w:val="a5"/>
          <w:jc w:val="center"/>
        </w:pPr>
        <w:r>
          <w:fldChar w:fldCharType="begin"/>
        </w:r>
        <w:r w:rsidR="001C2D77">
          <w:instrText>PAGE   \* MERGEFORMAT</w:instrText>
        </w:r>
        <w:r>
          <w:fldChar w:fldCharType="separate"/>
        </w:r>
        <w:r w:rsidR="006C3909" w:rsidRPr="006C3909">
          <w:rPr>
            <w:noProof/>
            <w:lang w:val="zh-CN"/>
          </w:rPr>
          <w:t>1</w:t>
        </w:r>
        <w:r>
          <w:fldChar w:fldCharType="end"/>
        </w:r>
      </w:p>
    </w:sdtContent>
  </w:sdt>
  <w:p w:rsidR="00384BDC" w:rsidRDefault="00384BD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9B9" w:rsidRDefault="009049B9">
      <w:r>
        <w:separator/>
      </w:r>
    </w:p>
  </w:footnote>
  <w:footnote w:type="continuationSeparator" w:id="0">
    <w:p w:rsidR="009049B9" w:rsidRDefault="009049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0324F"/>
    <w:multiLevelType w:val="hybridMultilevel"/>
    <w:tmpl w:val="5C964AD2"/>
    <w:lvl w:ilvl="0" w:tplc="97563FC2">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09CA"/>
    <w:rsid w:val="00004952"/>
    <w:rsid w:val="00006E94"/>
    <w:rsid w:val="00015041"/>
    <w:rsid w:val="00022FF0"/>
    <w:rsid w:val="00034B6B"/>
    <w:rsid w:val="00042A2D"/>
    <w:rsid w:val="000574B8"/>
    <w:rsid w:val="0009268B"/>
    <w:rsid w:val="000936A8"/>
    <w:rsid w:val="000B51AA"/>
    <w:rsid w:val="000C09CA"/>
    <w:rsid w:val="000C382C"/>
    <w:rsid w:val="000C5CC2"/>
    <w:rsid w:val="001016D9"/>
    <w:rsid w:val="001053D3"/>
    <w:rsid w:val="00106435"/>
    <w:rsid w:val="00106B19"/>
    <w:rsid w:val="00134731"/>
    <w:rsid w:val="00134A1D"/>
    <w:rsid w:val="00136E20"/>
    <w:rsid w:val="00151EBB"/>
    <w:rsid w:val="001530F9"/>
    <w:rsid w:val="001553B1"/>
    <w:rsid w:val="00182D28"/>
    <w:rsid w:val="00193266"/>
    <w:rsid w:val="001A20A2"/>
    <w:rsid w:val="001C2D77"/>
    <w:rsid w:val="001D69EF"/>
    <w:rsid w:val="00211533"/>
    <w:rsid w:val="00211EBB"/>
    <w:rsid w:val="00247090"/>
    <w:rsid w:val="002534AC"/>
    <w:rsid w:val="00267E1C"/>
    <w:rsid w:val="00275B9D"/>
    <w:rsid w:val="00295E8A"/>
    <w:rsid w:val="002A77B1"/>
    <w:rsid w:val="002C5A67"/>
    <w:rsid w:val="002F6248"/>
    <w:rsid w:val="00315788"/>
    <w:rsid w:val="00327031"/>
    <w:rsid w:val="003420BC"/>
    <w:rsid w:val="00347900"/>
    <w:rsid w:val="00382F5A"/>
    <w:rsid w:val="00384BDC"/>
    <w:rsid w:val="00391360"/>
    <w:rsid w:val="003A244F"/>
    <w:rsid w:val="003B121C"/>
    <w:rsid w:val="003C2E89"/>
    <w:rsid w:val="003D2B5A"/>
    <w:rsid w:val="003D72B7"/>
    <w:rsid w:val="003E0B90"/>
    <w:rsid w:val="00423819"/>
    <w:rsid w:val="00425112"/>
    <w:rsid w:val="00427C7B"/>
    <w:rsid w:val="00433113"/>
    <w:rsid w:val="004657BE"/>
    <w:rsid w:val="00476C21"/>
    <w:rsid w:val="004829FE"/>
    <w:rsid w:val="0049317E"/>
    <w:rsid w:val="00495603"/>
    <w:rsid w:val="004977F4"/>
    <w:rsid w:val="004A70FC"/>
    <w:rsid w:val="004B015D"/>
    <w:rsid w:val="004C01F1"/>
    <w:rsid w:val="004C5A8B"/>
    <w:rsid w:val="004D0C26"/>
    <w:rsid w:val="004D10E3"/>
    <w:rsid w:val="00503161"/>
    <w:rsid w:val="00530571"/>
    <w:rsid w:val="00563D20"/>
    <w:rsid w:val="00573590"/>
    <w:rsid w:val="00594B47"/>
    <w:rsid w:val="00596A99"/>
    <w:rsid w:val="00596F4E"/>
    <w:rsid w:val="005A786D"/>
    <w:rsid w:val="005B1EB6"/>
    <w:rsid w:val="005B43E7"/>
    <w:rsid w:val="00603E9C"/>
    <w:rsid w:val="00614B1C"/>
    <w:rsid w:val="00627D0A"/>
    <w:rsid w:val="00636018"/>
    <w:rsid w:val="006906D4"/>
    <w:rsid w:val="006950E8"/>
    <w:rsid w:val="006C2057"/>
    <w:rsid w:val="006C3909"/>
    <w:rsid w:val="00703887"/>
    <w:rsid w:val="00710121"/>
    <w:rsid w:val="007137DD"/>
    <w:rsid w:val="00714FDC"/>
    <w:rsid w:val="00721A47"/>
    <w:rsid w:val="007679C3"/>
    <w:rsid w:val="00780767"/>
    <w:rsid w:val="00783D16"/>
    <w:rsid w:val="007A6B2A"/>
    <w:rsid w:val="007C4D3B"/>
    <w:rsid w:val="007E6F40"/>
    <w:rsid w:val="00803495"/>
    <w:rsid w:val="0083163C"/>
    <w:rsid w:val="008335EA"/>
    <w:rsid w:val="00851715"/>
    <w:rsid w:val="00852833"/>
    <w:rsid w:val="00856DCC"/>
    <w:rsid w:val="0089045E"/>
    <w:rsid w:val="008A51B1"/>
    <w:rsid w:val="008A5D38"/>
    <w:rsid w:val="008B1D6D"/>
    <w:rsid w:val="008D39D3"/>
    <w:rsid w:val="008F6508"/>
    <w:rsid w:val="009049B9"/>
    <w:rsid w:val="0091652D"/>
    <w:rsid w:val="00920CDB"/>
    <w:rsid w:val="00941977"/>
    <w:rsid w:val="00945103"/>
    <w:rsid w:val="00950AFA"/>
    <w:rsid w:val="00962D7C"/>
    <w:rsid w:val="0097230D"/>
    <w:rsid w:val="00985C4C"/>
    <w:rsid w:val="009860D7"/>
    <w:rsid w:val="00987733"/>
    <w:rsid w:val="00990CB6"/>
    <w:rsid w:val="009965CF"/>
    <w:rsid w:val="009B4FC8"/>
    <w:rsid w:val="009B7389"/>
    <w:rsid w:val="009D6F22"/>
    <w:rsid w:val="009F59A0"/>
    <w:rsid w:val="009F7689"/>
    <w:rsid w:val="00A04F64"/>
    <w:rsid w:val="00A073F0"/>
    <w:rsid w:val="00A15BE5"/>
    <w:rsid w:val="00A21A4A"/>
    <w:rsid w:val="00A27DF7"/>
    <w:rsid w:val="00A47F2E"/>
    <w:rsid w:val="00A508F2"/>
    <w:rsid w:val="00A53AC8"/>
    <w:rsid w:val="00A725BB"/>
    <w:rsid w:val="00A94858"/>
    <w:rsid w:val="00A960C8"/>
    <w:rsid w:val="00AA0697"/>
    <w:rsid w:val="00AA6651"/>
    <w:rsid w:val="00AB6AD2"/>
    <w:rsid w:val="00AD5860"/>
    <w:rsid w:val="00AD600B"/>
    <w:rsid w:val="00AF31D9"/>
    <w:rsid w:val="00B10850"/>
    <w:rsid w:val="00B27BF9"/>
    <w:rsid w:val="00B50C8E"/>
    <w:rsid w:val="00B54529"/>
    <w:rsid w:val="00B647E5"/>
    <w:rsid w:val="00B71AAA"/>
    <w:rsid w:val="00B85540"/>
    <w:rsid w:val="00BC3F9C"/>
    <w:rsid w:val="00BC4D7F"/>
    <w:rsid w:val="00BD1826"/>
    <w:rsid w:val="00C111B4"/>
    <w:rsid w:val="00C11661"/>
    <w:rsid w:val="00C14358"/>
    <w:rsid w:val="00C15185"/>
    <w:rsid w:val="00C15B99"/>
    <w:rsid w:val="00C1664B"/>
    <w:rsid w:val="00C47948"/>
    <w:rsid w:val="00C53172"/>
    <w:rsid w:val="00C54BB7"/>
    <w:rsid w:val="00C626BE"/>
    <w:rsid w:val="00C7596A"/>
    <w:rsid w:val="00C76A6F"/>
    <w:rsid w:val="00C85BD4"/>
    <w:rsid w:val="00CD4873"/>
    <w:rsid w:val="00CD67B0"/>
    <w:rsid w:val="00CE7732"/>
    <w:rsid w:val="00CF4F69"/>
    <w:rsid w:val="00D019D0"/>
    <w:rsid w:val="00D0710D"/>
    <w:rsid w:val="00D729F2"/>
    <w:rsid w:val="00D8377B"/>
    <w:rsid w:val="00DA240F"/>
    <w:rsid w:val="00DA3244"/>
    <w:rsid w:val="00DB4AD6"/>
    <w:rsid w:val="00DB7D29"/>
    <w:rsid w:val="00DC38CA"/>
    <w:rsid w:val="00DE307D"/>
    <w:rsid w:val="00DE555A"/>
    <w:rsid w:val="00DF4881"/>
    <w:rsid w:val="00E00719"/>
    <w:rsid w:val="00E348E2"/>
    <w:rsid w:val="00E412DB"/>
    <w:rsid w:val="00E531EF"/>
    <w:rsid w:val="00EC29D1"/>
    <w:rsid w:val="00ED2B2E"/>
    <w:rsid w:val="00EF4183"/>
    <w:rsid w:val="00F013C6"/>
    <w:rsid w:val="00F02B62"/>
    <w:rsid w:val="00F047EB"/>
    <w:rsid w:val="00F27156"/>
    <w:rsid w:val="00F3006F"/>
    <w:rsid w:val="00F32541"/>
    <w:rsid w:val="00F42507"/>
    <w:rsid w:val="00F465FB"/>
    <w:rsid w:val="00F532C0"/>
    <w:rsid w:val="00F57975"/>
    <w:rsid w:val="00F8241E"/>
    <w:rsid w:val="00F83494"/>
    <w:rsid w:val="00FA1EA6"/>
    <w:rsid w:val="00FD619C"/>
    <w:rsid w:val="00FD7B82"/>
    <w:rsid w:val="00FF5431"/>
    <w:rsid w:val="0FFD3F3D"/>
    <w:rsid w:val="1A8C248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63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rsid w:val="0083163C"/>
    <w:pPr>
      <w:jc w:val="left"/>
    </w:pPr>
  </w:style>
  <w:style w:type="paragraph" w:styleId="a4">
    <w:name w:val="Balloon Text"/>
    <w:basedOn w:val="a"/>
    <w:link w:val="Char0"/>
    <w:uiPriority w:val="99"/>
    <w:semiHidden/>
    <w:unhideWhenUsed/>
    <w:rsid w:val="0083163C"/>
    <w:rPr>
      <w:sz w:val="18"/>
      <w:szCs w:val="18"/>
    </w:rPr>
  </w:style>
  <w:style w:type="paragraph" w:styleId="a5">
    <w:name w:val="footer"/>
    <w:basedOn w:val="a"/>
    <w:link w:val="Char1"/>
    <w:uiPriority w:val="99"/>
    <w:unhideWhenUsed/>
    <w:rsid w:val="0083163C"/>
    <w:pPr>
      <w:tabs>
        <w:tab w:val="center" w:pos="4153"/>
        <w:tab w:val="right" w:pos="8306"/>
      </w:tabs>
      <w:snapToGrid w:val="0"/>
      <w:jc w:val="left"/>
    </w:pPr>
    <w:rPr>
      <w:sz w:val="18"/>
      <w:szCs w:val="18"/>
    </w:rPr>
  </w:style>
  <w:style w:type="paragraph" w:styleId="a6">
    <w:name w:val="header"/>
    <w:basedOn w:val="a"/>
    <w:link w:val="Char2"/>
    <w:uiPriority w:val="99"/>
    <w:unhideWhenUsed/>
    <w:rsid w:val="0083163C"/>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sid w:val="0083163C"/>
    <w:rPr>
      <w:b/>
      <w:bCs/>
    </w:rPr>
  </w:style>
  <w:style w:type="character" w:styleId="a8">
    <w:name w:val="annotation reference"/>
    <w:basedOn w:val="a0"/>
    <w:uiPriority w:val="99"/>
    <w:semiHidden/>
    <w:unhideWhenUsed/>
    <w:qFormat/>
    <w:rsid w:val="0083163C"/>
    <w:rPr>
      <w:sz w:val="21"/>
      <w:szCs w:val="21"/>
    </w:rPr>
  </w:style>
  <w:style w:type="character" w:customStyle="1" w:styleId="Char2">
    <w:name w:val="页眉 Char"/>
    <w:basedOn w:val="a0"/>
    <w:link w:val="a6"/>
    <w:uiPriority w:val="99"/>
    <w:rsid w:val="0083163C"/>
    <w:rPr>
      <w:sz w:val="18"/>
      <w:szCs w:val="18"/>
    </w:rPr>
  </w:style>
  <w:style w:type="character" w:customStyle="1" w:styleId="Char1">
    <w:name w:val="页脚 Char"/>
    <w:basedOn w:val="a0"/>
    <w:link w:val="a5"/>
    <w:uiPriority w:val="99"/>
    <w:rsid w:val="0083163C"/>
    <w:rPr>
      <w:sz w:val="18"/>
      <w:szCs w:val="18"/>
    </w:rPr>
  </w:style>
  <w:style w:type="character" w:customStyle="1" w:styleId="Char0">
    <w:name w:val="批注框文本 Char"/>
    <w:basedOn w:val="a0"/>
    <w:link w:val="a4"/>
    <w:uiPriority w:val="99"/>
    <w:semiHidden/>
    <w:qFormat/>
    <w:rsid w:val="0083163C"/>
    <w:rPr>
      <w:sz w:val="18"/>
      <w:szCs w:val="18"/>
    </w:rPr>
  </w:style>
  <w:style w:type="character" w:customStyle="1" w:styleId="Char">
    <w:name w:val="批注文字 Char"/>
    <w:basedOn w:val="a0"/>
    <w:link w:val="a3"/>
    <w:uiPriority w:val="99"/>
    <w:semiHidden/>
    <w:rsid w:val="0083163C"/>
  </w:style>
  <w:style w:type="character" w:customStyle="1" w:styleId="Char3">
    <w:name w:val="批注主题 Char"/>
    <w:basedOn w:val="Char"/>
    <w:link w:val="a7"/>
    <w:uiPriority w:val="99"/>
    <w:semiHidden/>
    <w:rsid w:val="0083163C"/>
    <w:rPr>
      <w:b/>
      <w:bCs/>
    </w:rPr>
  </w:style>
  <w:style w:type="paragraph" w:styleId="a9">
    <w:name w:val="Revision"/>
    <w:hidden/>
    <w:uiPriority w:val="99"/>
    <w:semiHidden/>
    <w:rsid w:val="006C2057"/>
    <w:rPr>
      <w:kern w:val="2"/>
      <w:sz w:val="21"/>
      <w:szCs w:val="22"/>
    </w:rPr>
  </w:style>
  <w:style w:type="paragraph" w:styleId="aa">
    <w:name w:val="Normal (Web)"/>
    <w:basedOn w:val="a"/>
    <w:uiPriority w:val="99"/>
    <w:unhideWhenUsed/>
    <w:rsid w:val="009860D7"/>
    <w:rPr>
      <w:rFonts w:ascii="Times New Roman" w:hAnsi="Times New Roman" w:cs="Times New Roman"/>
      <w:sz w:val="24"/>
      <w:szCs w:val="24"/>
    </w:rPr>
  </w:style>
  <w:style w:type="paragraph" w:styleId="ab">
    <w:name w:val="List Paragraph"/>
    <w:basedOn w:val="a"/>
    <w:uiPriority w:val="99"/>
    <w:rsid w:val="00B27BF9"/>
    <w:pPr>
      <w:ind w:firstLineChars="200" w:firstLine="420"/>
    </w:pPr>
  </w:style>
</w:styles>
</file>

<file path=word/webSettings.xml><?xml version="1.0" encoding="utf-8"?>
<w:webSettings xmlns:r="http://schemas.openxmlformats.org/officeDocument/2006/relationships" xmlns:w="http://schemas.openxmlformats.org/wordprocessingml/2006/main">
  <w:divs>
    <w:div w:id="333458523">
      <w:bodyDiv w:val="1"/>
      <w:marLeft w:val="0"/>
      <w:marRight w:val="0"/>
      <w:marTop w:val="0"/>
      <w:marBottom w:val="0"/>
      <w:divBdr>
        <w:top w:val="none" w:sz="0" w:space="0" w:color="auto"/>
        <w:left w:val="none" w:sz="0" w:space="0" w:color="auto"/>
        <w:bottom w:val="none" w:sz="0" w:space="0" w:color="auto"/>
        <w:right w:val="none" w:sz="0" w:space="0" w:color="auto"/>
      </w:divBdr>
    </w:div>
    <w:div w:id="600991805">
      <w:bodyDiv w:val="1"/>
      <w:marLeft w:val="0"/>
      <w:marRight w:val="0"/>
      <w:marTop w:val="0"/>
      <w:marBottom w:val="0"/>
      <w:divBdr>
        <w:top w:val="none" w:sz="0" w:space="0" w:color="auto"/>
        <w:left w:val="none" w:sz="0" w:space="0" w:color="auto"/>
        <w:bottom w:val="none" w:sz="0" w:space="0" w:color="auto"/>
        <w:right w:val="none" w:sz="0" w:space="0" w:color="auto"/>
      </w:divBdr>
    </w:div>
    <w:div w:id="746999436">
      <w:bodyDiv w:val="1"/>
      <w:marLeft w:val="0"/>
      <w:marRight w:val="0"/>
      <w:marTop w:val="0"/>
      <w:marBottom w:val="0"/>
      <w:divBdr>
        <w:top w:val="none" w:sz="0" w:space="0" w:color="auto"/>
        <w:left w:val="none" w:sz="0" w:space="0" w:color="auto"/>
        <w:bottom w:val="none" w:sz="0" w:space="0" w:color="auto"/>
        <w:right w:val="none" w:sz="0" w:space="0" w:color="auto"/>
      </w:divBdr>
    </w:div>
    <w:div w:id="778449467">
      <w:bodyDiv w:val="1"/>
      <w:marLeft w:val="0"/>
      <w:marRight w:val="0"/>
      <w:marTop w:val="0"/>
      <w:marBottom w:val="0"/>
      <w:divBdr>
        <w:top w:val="none" w:sz="0" w:space="0" w:color="auto"/>
        <w:left w:val="none" w:sz="0" w:space="0" w:color="auto"/>
        <w:bottom w:val="none" w:sz="0" w:space="0" w:color="auto"/>
        <w:right w:val="none" w:sz="0" w:space="0" w:color="auto"/>
      </w:divBdr>
    </w:div>
    <w:div w:id="830221105">
      <w:bodyDiv w:val="1"/>
      <w:marLeft w:val="0"/>
      <w:marRight w:val="0"/>
      <w:marTop w:val="0"/>
      <w:marBottom w:val="0"/>
      <w:divBdr>
        <w:top w:val="none" w:sz="0" w:space="0" w:color="auto"/>
        <w:left w:val="none" w:sz="0" w:space="0" w:color="auto"/>
        <w:bottom w:val="none" w:sz="0" w:space="0" w:color="auto"/>
        <w:right w:val="none" w:sz="0" w:space="0" w:color="auto"/>
      </w:divBdr>
    </w:div>
    <w:div w:id="892884991">
      <w:bodyDiv w:val="1"/>
      <w:marLeft w:val="0"/>
      <w:marRight w:val="0"/>
      <w:marTop w:val="0"/>
      <w:marBottom w:val="0"/>
      <w:divBdr>
        <w:top w:val="none" w:sz="0" w:space="0" w:color="auto"/>
        <w:left w:val="none" w:sz="0" w:space="0" w:color="auto"/>
        <w:bottom w:val="none" w:sz="0" w:space="0" w:color="auto"/>
        <w:right w:val="none" w:sz="0" w:space="0" w:color="auto"/>
      </w:divBdr>
      <w:divsChild>
        <w:div w:id="332530082">
          <w:marLeft w:val="0"/>
          <w:marRight w:val="0"/>
          <w:marTop w:val="0"/>
          <w:marBottom w:val="0"/>
          <w:divBdr>
            <w:top w:val="none" w:sz="0" w:space="0" w:color="auto"/>
            <w:left w:val="none" w:sz="0" w:space="0" w:color="auto"/>
            <w:bottom w:val="none" w:sz="0" w:space="0" w:color="auto"/>
            <w:right w:val="none" w:sz="0" w:space="0" w:color="auto"/>
          </w:divBdr>
        </w:div>
      </w:divsChild>
    </w:div>
    <w:div w:id="1578444675">
      <w:bodyDiv w:val="1"/>
      <w:marLeft w:val="0"/>
      <w:marRight w:val="0"/>
      <w:marTop w:val="0"/>
      <w:marBottom w:val="0"/>
      <w:divBdr>
        <w:top w:val="none" w:sz="0" w:space="0" w:color="auto"/>
        <w:left w:val="none" w:sz="0" w:space="0" w:color="auto"/>
        <w:bottom w:val="none" w:sz="0" w:space="0" w:color="auto"/>
        <w:right w:val="none" w:sz="0" w:space="0" w:color="auto"/>
      </w:divBdr>
    </w:div>
    <w:div w:id="2035115017">
      <w:bodyDiv w:val="1"/>
      <w:marLeft w:val="0"/>
      <w:marRight w:val="0"/>
      <w:marTop w:val="0"/>
      <w:marBottom w:val="0"/>
      <w:divBdr>
        <w:top w:val="none" w:sz="0" w:space="0" w:color="auto"/>
        <w:left w:val="none" w:sz="0" w:space="0" w:color="auto"/>
        <w:bottom w:val="none" w:sz="0" w:space="0" w:color="auto"/>
        <w:right w:val="none" w:sz="0" w:space="0" w:color="auto"/>
      </w:divBdr>
      <w:divsChild>
        <w:div w:id="700784315">
          <w:marLeft w:val="0"/>
          <w:marRight w:val="0"/>
          <w:marTop w:val="0"/>
          <w:marBottom w:val="0"/>
          <w:divBdr>
            <w:top w:val="none" w:sz="0" w:space="0" w:color="auto"/>
            <w:left w:val="none" w:sz="0" w:space="0" w:color="auto"/>
            <w:bottom w:val="none" w:sz="0" w:space="0" w:color="auto"/>
            <w:right w:val="none" w:sz="0" w:space="0" w:color="auto"/>
          </w:divBdr>
        </w:div>
      </w:divsChild>
    </w:div>
    <w:div w:id="2055887233">
      <w:bodyDiv w:val="1"/>
      <w:marLeft w:val="0"/>
      <w:marRight w:val="0"/>
      <w:marTop w:val="0"/>
      <w:marBottom w:val="0"/>
      <w:divBdr>
        <w:top w:val="none" w:sz="0" w:space="0" w:color="auto"/>
        <w:left w:val="none" w:sz="0" w:space="0" w:color="auto"/>
        <w:bottom w:val="none" w:sz="0" w:space="0" w:color="auto"/>
        <w:right w:val="none" w:sz="0" w:space="0" w:color="auto"/>
      </w:divBdr>
      <w:divsChild>
        <w:div w:id="167086158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1691</Words>
  <Characters>9644</Characters>
  <Application>Microsoft Office Word</Application>
  <DocSecurity>4</DocSecurity>
  <Lines>80</Lines>
  <Paragraphs>22</Paragraphs>
  <ScaleCrop>false</ScaleCrop>
  <Company>Microsoft</Company>
  <LinksUpToDate>false</LinksUpToDate>
  <CharactersWithSpaces>11313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汤玲</dc:creator>
  <cp:lastModifiedBy>ZHONGM</cp:lastModifiedBy>
  <cp:revision>2</cp:revision>
  <dcterms:created xsi:type="dcterms:W3CDTF">2021-03-29T16:00:00Z</dcterms:created>
  <dcterms:modified xsi:type="dcterms:W3CDTF">2021-03-29T16:00:00Z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