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E7" w:rsidRPr="00A03A09" w:rsidRDefault="00423C30" w:rsidP="00A03A09">
      <w:pPr>
        <w:snapToGrid w:val="0"/>
        <w:ind w:firstLineChars="0" w:firstLine="0"/>
        <w:jc w:val="center"/>
        <w:rPr>
          <w:b/>
          <w:sz w:val="24"/>
          <w:szCs w:val="32"/>
        </w:rPr>
      </w:pPr>
      <w:r w:rsidRPr="00A03A09">
        <w:rPr>
          <w:rFonts w:hint="eastAsia"/>
          <w:b/>
          <w:sz w:val="24"/>
          <w:szCs w:val="32"/>
        </w:rPr>
        <w:t xml:space="preserve">   </w:t>
      </w:r>
      <w:r w:rsidR="00BF6BE7" w:rsidRPr="00A03A09">
        <w:rPr>
          <w:rFonts w:hint="eastAsia"/>
          <w:b/>
          <w:sz w:val="24"/>
          <w:szCs w:val="32"/>
        </w:rPr>
        <w:t>大成基金管理有限公司关于公司旗下</w:t>
      </w:r>
      <w:r w:rsidR="00D02494" w:rsidRPr="00A03A09">
        <w:rPr>
          <w:rFonts w:hint="eastAsia"/>
          <w:b/>
          <w:sz w:val="24"/>
          <w:szCs w:val="32"/>
        </w:rPr>
        <w:t>指数</w:t>
      </w:r>
      <w:r w:rsidR="00BF6BE7" w:rsidRPr="00A03A09">
        <w:rPr>
          <w:rFonts w:hint="eastAsia"/>
          <w:b/>
          <w:sz w:val="24"/>
          <w:szCs w:val="32"/>
        </w:rPr>
        <w:t>基金根据《公开募集证券投资基金运作指引第</w:t>
      </w:r>
      <w:r w:rsidR="00BF6BE7" w:rsidRPr="00A03A09">
        <w:rPr>
          <w:rFonts w:hint="eastAsia"/>
          <w:b/>
          <w:sz w:val="24"/>
          <w:szCs w:val="32"/>
        </w:rPr>
        <w:t>3</w:t>
      </w:r>
      <w:r w:rsidRPr="00A03A09">
        <w:rPr>
          <w:rFonts w:hint="eastAsia"/>
          <w:b/>
          <w:sz w:val="24"/>
          <w:szCs w:val="32"/>
        </w:rPr>
        <w:t>号——指数基金指</w:t>
      </w:r>
      <w:r w:rsidR="00BF6BE7" w:rsidRPr="00A03A09">
        <w:rPr>
          <w:rFonts w:hint="eastAsia"/>
          <w:b/>
          <w:sz w:val="24"/>
          <w:szCs w:val="32"/>
        </w:rPr>
        <w:t>引》修改基金合同部分条款的公告</w:t>
      </w:r>
    </w:p>
    <w:p w:rsidR="009F7098" w:rsidRPr="006A67DD" w:rsidRDefault="009F7098" w:rsidP="00A03A09">
      <w:pPr>
        <w:snapToGrid w:val="0"/>
        <w:ind w:firstLineChars="0" w:firstLine="0"/>
      </w:pPr>
    </w:p>
    <w:p w:rsidR="0025704B" w:rsidRPr="00A03A09" w:rsidRDefault="00150BC3" w:rsidP="00A03A09">
      <w:pPr>
        <w:snapToGrid w:val="0"/>
        <w:ind w:firstLineChars="202" w:firstLine="424"/>
        <w:rPr>
          <w:rFonts w:asciiTheme="minorEastAsia" w:hAnsiTheme="minorEastAsia" w:cs="宋体"/>
          <w:kern w:val="0"/>
          <w:szCs w:val="21"/>
        </w:rPr>
      </w:pPr>
      <w:r w:rsidRPr="00A03A09">
        <w:rPr>
          <w:rFonts w:asciiTheme="minorEastAsia" w:hAnsiTheme="minorEastAsia" w:cs="宋体" w:hint="eastAsia"/>
          <w:kern w:val="0"/>
          <w:szCs w:val="21"/>
        </w:rPr>
        <w:t>根据</w:t>
      </w:r>
      <w:r w:rsidR="00D362D6" w:rsidRPr="00A03A09">
        <w:rPr>
          <w:rFonts w:asciiTheme="minorEastAsia" w:hAnsiTheme="minorEastAsia" w:cs="宋体" w:hint="eastAsia"/>
          <w:kern w:val="0"/>
          <w:szCs w:val="21"/>
        </w:rPr>
        <w:t>《公开募集证券投资基金运作指引第3号——指数基金指引》</w:t>
      </w:r>
      <w:r w:rsidR="00C16E1B" w:rsidRPr="00A03A09">
        <w:rPr>
          <w:rFonts w:asciiTheme="minorEastAsia" w:hAnsiTheme="minorEastAsia" w:cs="宋体" w:hint="eastAsia"/>
          <w:kern w:val="0"/>
          <w:szCs w:val="21"/>
        </w:rPr>
        <w:t>（以下简称“《指数基金指引》”）</w:t>
      </w:r>
      <w:r w:rsidRPr="00A03A09">
        <w:rPr>
          <w:rFonts w:asciiTheme="minorEastAsia" w:hAnsiTheme="minorEastAsia" w:cs="宋体" w:hint="eastAsia"/>
          <w:kern w:val="0"/>
          <w:szCs w:val="21"/>
        </w:rPr>
        <w:t>和</w:t>
      </w:r>
      <w:r w:rsidR="00D362D6" w:rsidRPr="00A03A09">
        <w:rPr>
          <w:rFonts w:asciiTheme="minorEastAsia" w:hAnsiTheme="minorEastAsia" w:cs="宋体" w:hint="eastAsia"/>
          <w:kern w:val="0"/>
          <w:szCs w:val="21"/>
        </w:rPr>
        <w:t>相关基金</w:t>
      </w:r>
      <w:r w:rsidRPr="00A03A09">
        <w:rPr>
          <w:rFonts w:asciiTheme="minorEastAsia" w:hAnsiTheme="minorEastAsia" w:cs="宋体" w:hint="eastAsia"/>
          <w:kern w:val="0"/>
          <w:szCs w:val="21"/>
        </w:rPr>
        <w:t>基金合同的</w:t>
      </w:r>
      <w:r w:rsidR="00C16E1B" w:rsidRPr="00A03A09">
        <w:rPr>
          <w:rFonts w:asciiTheme="minorEastAsia" w:hAnsiTheme="minorEastAsia" w:cs="宋体" w:hint="eastAsia"/>
          <w:kern w:val="0"/>
          <w:szCs w:val="21"/>
        </w:rPr>
        <w:t>约</w:t>
      </w:r>
      <w:r w:rsidRPr="00A03A09">
        <w:rPr>
          <w:rFonts w:asciiTheme="minorEastAsia" w:hAnsiTheme="minorEastAsia" w:cs="宋体" w:hint="eastAsia"/>
          <w:kern w:val="0"/>
          <w:szCs w:val="21"/>
        </w:rPr>
        <w:t>定，经与</w:t>
      </w:r>
      <w:r w:rsidR="00A03A09">
        <w:rPr>
          <w:rFonts w:asciiTheme="minorEastAsia" w:hAnsiTheme="minorEastAsia" w:cs="宋体" w:hint="eastAsia"/>
          <w:kern w:val="0"/>
          <w:szCs w:val="21"/>
        </w:rPr>
        <w:t>各</w:t>
      </w:r>
      <w:r w:rsidRPr="00A03A09">
        <w:rPr>
          <w:rFonts w:asciiTheme="minorEastAsia" w:hAnsiTheme="minorEastAsia" w:cs="宋体" w:hint="eastAsia"/>
          <w:kern w:val="0"/>
          <w:szCs w:val="21"/>
        </w:rPr>
        <w:t>基金托管</w:t>
      </w:r>
      <w:r w:rsidR="00567B33" w:rsidRPr="00A03A09">
        <w:rPr>
          <w:rFonts w:asciiTheme="minorEastAsia" w:hAnsiTheme="minorEastAsia" w:cs="宋体" w:hint="eastAsia"/>
          <w:kern w:val="0"/>
          <w:szCs w:val="21"/>
        </w:rPr>
        <w:t>人协商一致，</w:t>
      </w:r>
      <w:r w:rsidR="00D362D6" w:rsidRPr="00A03A09">
        <w:rPr>
          <w:rFonts w:asciiTheme="minorEastAsia" w:hAnsiTheme="minorEastAsia" w:cs="宋体" w:hint="eastAsia"/>
          <w:kern w:val="0"/>
          <w:szCs w:val="21"/>
        </w:rPr>
        <w:t>并报中国证券监督管理委员会备案，</w:t>
      </w:r>
      <w:r w:rsidR="00567B33" w:rsidRPr="00A03A09">
        <w:rPr>
          <w:rFonts w:asciiTheme="minorEastAsia" w:hAnsiTheme="minorEastAsia" w:cs="宋体" w:hint="eastAsia"/>
          <w:kern w:val="0"/>
          <w:szCs w:val="21"/>
        </w:rPr>
        <w:t>大成基金管理有限公司（以下简称“本公司”）</w:t>
      </w:r>
      <w:r w:rsidR="00C16E1B" w:rsidRPr="00A03A09">
        <w:rPr>
          <w:rFonts w:asciiTheme="minorEastAsia" w:hAnsiTheme="minorEastAsia" w:cs="宋体" w:hint="eastAsia"/>
          <w:kern w:val="0"/>
          <w:szCs w:val="21"/>
        </w:rPr>
        <w:t>拟</w:t>
      </w:r>
      <w:r w:rsidR="00567B33" w:rsidRPr="00A03A09">
        <w:rPr>
          <w:rFonts w:asciiTheme="minorEastAsia" w:hAnsiTheme="minorEastAsia" w:cs="宋体" w:hint="eastAsia"/>
          <w:kern w:val="0"/>
          <w:szCs w:val="21"/>
        </w:rPr>
        <w:t>对旗下</w:t>
      </w:r>
      <w:r w:rsidR="001C0F4A">
        <w:rPr>
          <w:rFonts w:asciiTheme="minorEastAsia" w:hAnsiTheme="minorEastAsia" w:cs="宋体" w:hint="eastAsia"/>
          <w:kern w:val="0"/>
          <w:szCs w:val="21"/>
        </w:rPr>
        <w:t>19</w:t>
      </w:r>
      <w:r w:rsidR="00A03A09">
        <w:rPr>
          <w:rFonts w:asciiTheme="minorEastAsia" w:hAnsiTheme="minorEastAsia" w:cs="宋体" w:hint="eastAsia"/>
          <w:kern w:val="0"/>
          <w:szCs w:val="21"/>
        </w:rPr>
        <w:t>只</w:t>
      </w:r>
      <w:r w:rsidR="00567B33" w:rsidRPr="00A03A09">
        <w:rPr>
          <w:rFonts w:asciiTheme="minorEastAsia" w:hAnsiTheme="minorEastAsia" w:cs="宋体" w:hint="eastAsia"/>
          <w:kern w:val="0"/>
          <w:szCs w:val="21"/>
        </w:rPr>
        <w:t>指数</w:t>
      </w:r>
      <w:r w:rsidRPr="00A03A09">
        <w:rPr>
          <w:rFonts w:asciiTheme="minorEastAsia" w:hAnsiTheme="minorEastAsia" w:cs="宋体" w:hint="eastAsia"/>
          <w:kern w:val="0"/>
          <w:szCs w:val="21"/>
        </w:rPr>
        <w:t>基金的基金合同有关条款进行修订</w:t>
      </w:r>
      <w:r w:rsidR="00C16E1B" w:rsidRPr="00A03A09">
        <w:rPr>
          <w:rFonts w:asciiTheme="minorEastAsia" w:hAnsiTheme="minorEastAsia" w:cs="宋体" w:hint="eastAsia"/>
          <w:kern w:val="0"/>
          <w:szCs w:val="21"/>
        </w:rPr>
        <w:t>，</w:t>
      </w:r>
      <w:r w:rsidR="0025704B" w:rsidRPr="00A03A09">
        <w:rPr>
          <w:rFonts w:asciiTheme="minorEastAsia" w:hAnsiTheme="minorEastAsia" w:cs="宋体" w:hint="eastAsia"/>
          <w:kern w:val="0"/>
          <w:szCs w:val="21"/>
        </w:rPr>
        <w:t>相关事项公告如下：</w:t>
      </w:r>
    </w:p>
    <w:p w:rsidR="00150BC3" w:rsidRPr="00A03A09" w:rsidRDefault="00150BC3" w:rsidP="00A03A09">
      <w:pPr>
        <w:snapToGrid w:val="0"/>
        <w:ind w:firstLineChars="202" w:firstLine="424"/>
      </w:pPr>
      <w:r w:rsidRPr="00A03A09">
        <w:t>1</w:t>
      </w:r>
      <w:r w:rsidRPr="00A03A09">
        <w:rPr>
          <w:rFonts w:hint="eastAsia"/>
        </w:rPr>
        <w:t>、根据</w:t>
      </w:r>
      <w:r w:rsidR="00303169" w:rsidRPr="00A03A09">
        <w:rPr>
          <w:rFonts w:ascii="宋体" w:hAnsi="宋体" w:hint="eastAsia"/>
          <w:szCs w:val="21"/>
        </w:rPr>
        <w:t>《指数基金指引》</w:t>
      </w:r>
      <w:r w:rsidR="00C16E1B" w:rsidRPr="00A03A09">
        <w:rPr>
          <w:rFonts w:ascii="宋体" w:hAnsi="宋体" w:hint="eastAsia"/>
          <w:szCs w:val="21"/>
        </w:rPr>
        <w:t>及相关基金基金合同的</w:t>
      </w:r>
      <w:r w:rsidR="00C16E1B" w:rsidRPr="00A03A09">
        <w:rPr>
          <w:rFonts w:hint="eastAsia"/>
        </w:rPr>
        <w:t>约定</w:t>
      </w:r>
      <w:r w:rsidR="008D6DD7" w:rsidRPr="00A03A09">
        <w:rPr>
          <w:rFonts w:hint="eastAsia"/>
        </w:rPr>
        <w:t>，对</w:t>
      </w:r>
      <w:r w:rsidR="00A03A09">
        <w:rPr>
          <w:rFonts w:hint="eastAsia"/>
        </w:rPr>
        <w:t>各</w:t>
      </w:r>
      <w:r w:rsidR="00C16E1B" w:rsidRPr="00A03A09">
        <w:rPr>
          <w:rFonts w:hint="eastAsia"/>
        </w:rPr>
        <w:t>基金</w:t>
      </w:r>
      <w:r w:rsidR="00A03A09">
        <w:rPr>
          <w:rFonts w:hint="eastAsia"/>
        </w:rPr>
        <w:t>的</w:t>
      </w:r>
      <w:r w:rsidR="00C16E1B" w:rsidRPr="00A03A09">
        <w:rPr>
          <w:rFonts w:hint="eastAsia"/>
        </w:rPr>
        <w:t>基金合同</w:t>
      </w:r>
      <w:r w:rsidR="00A03A09">
        <w:rPr>
          <w:rFonts w:hint="eastAsia"/>
        </w:rPr>
        <w:t>中</w:t>
      </w:r>
      <w:r w:rsidR="00C16E1B" w:rsidRPr="00A03A09">
        <w:rPr>
          <w:rFonts w:hint="eastAsia"/>
        </w:rPr>
        <w:t>“</w:t>
      </w:r>
      <w:r w:rsidRPr="00A03A09">
        <w:rPr>
          <w:rFonts w:hint="eastAsia"/>
        </w:rPr>
        <w:t>前言</w:t>
      </w:r>
      <w:r w:rsidR="00C16E1B" w:rsidRPr="00A03A09">
        <w:rPr>
          <w:rFonts w:hint="eastAsia"/>
        </w:rPr>
        <w:t>”</w:t>
      </w:r>
      <w:r w:rsidRPr="00A03A09">
        <w:rPr>
          <w:rFonts w:hint="eastAsia"/>
        </w:rPr>
        <w:t>、</w:t>
      </w:r>
      <w:r w:rsidR="00C16E1B" w:rsidRPr="00A03A09">
        <w:rPr>
          <w:rFonts w:hint="eastAsia"/>
        </w:rPr>
        <w:t>“</w:t>
      </w:r>
      <w:r w:rsidRPr="00A03A09">
        <w:rPr>
          <w:rFonts w:hint="eastAsia"/>
        </w:rPr>
        <w:t>释义</w:t>
      </w:r>
      <w:r w:rsidR="00C16E1B" w:rsidRPr="00A03A09">
        <w:rPr>
          <w:rFonts w:hint="eastAsia"/>
        </w:rPr>
        <w:t>”</w:t>
      </w:r>
      <w:r w:rsidRPr="00A03A09">
        <w:rPr>
          <w:rFonts w:hint="eastAsia"/>
        </w:rPr>
        <w:t>、</w:t>
      </w:r>
      <w:r w:rsidR="00C16E1B" w:rsidRPr="00A03A09">
        <w:rPr>
          <w:rFonts w:hint="eastAsia"/>
        </w:rPr>
        <w:t>“</w:t>
      </w:r>
      <w:r w:rsidR="00621CF6" w:rsidRPr="00A03A09">
        <w:rPr>
          <w:rFonts w:hint="eastAsia"/>
        </w:rPr>
        <w:t>基金的投资</w:t>
      </w:r>
      <w:r w:rsidR="00C16E1B" w:rsidRPr="00A03A09">
        <w:rPr>
          <w:rFonts w:hint="eastAsia"/>
        </w:rPr>
        <w:t>”</w:t>
      </w:r>
      <w:r w:rsidRPr="00A03A09">
        <w:rPr>
          <w:rFonts w:hint="eastAsia"/>
        </w:rPr>
        <w:t>等条款进行修订；相关</w:t>
      </w:r>
      <w:r w:rsidR="00C16E1B" w:rsidRPr="00A03A09">
        <w:rPr>
          <w:rFonts w:hint="eastAsia"/>
        </w:rPr>
        <w:t>基金</w:t>
      </w:r>
      <w:r w:rsidRPr="00A03A09">
        <w:rPr>
          <w:rFonts w:hint="eastAsia"/>
        </w:rPr>
        <w:t>名单及基金合同具体修订条目和内容</w:t>
      </w:r>
      <w:r w:rsidR="00C16E1B" w:rsidRPr="00A03A09">
        <w:rPr>
          <w:rFonts w:hint="eastAsia"/>
        </w:rPr>
        <w:t>详</w:t>
      </w:r>
      <w:r w:rsidRPr="00A03A09">
        <w:rPr>
          <w:rFonts w:hint="eastAsia"/>
        </w:rPr>
        <w:t>见附</w:t>
      </w:r>
      <w:r w:rsidR="0005455A">
        <w:rPr>
          <w:rFonts w:hint="eastAsia"/>
        </w:rPr>
        <w:t>表</w:t>
      </w:r>
      <w:r w:rsidR="00CE5BDC">
        <w:rPr>
          <w:rFonts w:hint="eastAsia"/>
        </w:rPr>
        <w:t>及各基金更新公告的基金合同</w:t>
      </w:r>
      <w:r w:rsidRPr="00A03A09">
        <w:rPr>
          <w:rFonts w:hint="eastAsia"/>
        </w:rPr>
        <w:t>。</w:t>
      </w:r>
    </w:p>
    <w:p w:rsidR="00150BC3" w:rsidRPr="00A03A09" w:rsidRDefault="00150BC3" w:rsidP="00A03A09">
      <w:pPr>
        <w:snapToGrid w:val="0"/>
        <w:ind w:firstLineChars="202" w:firstLine="424"/>
      </w:pPr>
      <w:r w:rsidRPr="00A03A09">
        <w:t>2</w:t>
      </w:r>
      <w:r w:rsidRPr="00A03A09">
        <w:rPr>
          <w:rFonts w:hint="eastAsia"/>
        </w:rPr>
        <w:t>、本次基金合同修订的内容和程序符合有关法律法规和基金合同的规定</w:t>
      </w:r>
      <w:r w:rsidR="0005455A">
        <w:rPr>
          <w:rFonts w:hint="eastAsia"/>
        </w:rPr>
        <w:t>，</w:t>
      </w:r>
      <w:r w:rsidR="0005455A" w:rsidRPr="0005455A">
        <w:rPr>
          <w:rFonts w:hint="eastAsia"/>
        </w:rPr>
        <w:t>修改后的</w:t>
      </w:r>
      <w:r w:rsidR="0005455A">
        <w:rPr>
          <w:rFonts w:hint="eastAsia"/>
        </w:rPr>
        <w:t>各</w:t>
      </w:r>
      <w:r w:rsidR="0005455A" w:rsidRPr="0005455A">
        <w:rPr>
          <w:rFonts w:hint="eastAsia"/>
        </w:rPr>
        <w:t>基金基金合同全文将与本公告同日登载于基金管理人网站（</w:t>
      </w:r>
      <w:r w:rsidR="0005455A" w:rsidRPr="00A03A09">
        <w:rPr>
          <w:rFonts w:ascii="Times New Roman" w:hAnsi="Times New Roman" w:cs="Times New Roman"/>
        </w:rPr>
        <w:t>www.dcfund.com.cn</w:t>
      </w:r>
      <w:r w:rsidR="0005455A" w:rsidRPr="0005455A">
        <w:rPr>
          <w:rFonts w:hint="eastAsia"/>
        </w:rPr>
        <w:t>）及中国证监会基金电子披露网站（</w:t>
      </w:r>
      <w:r w:rsidR="0005455A" w:rsidRPr="0005455A">
        <w:rPr>
          <w:rFonts w:hint="eastAsia"/>
        </w:rPr>
        <w:t>http://eid.csrc.gov.cn/fund</w:t>
      </w:r>
      <w:r w:rsidR="0005455A" w:rsidRPr="0005455A">
        <w:rPr>
          <w:rFonts w:hint="eastAsia"/>
        </w:rPr>
        <w:t>）。</w:t>
      </w:r>
      <w:r w:rsidRPr="00A03A09">
        <w:rPr>
          <w:rFonts w:hint="eastAsia"/>
        </w:rPr>
        <w:t>本次修订后的基金合同自本公告</w:t>
      </w:r>
      <w:r w:rsidRPr="00A03A09">
        <w:t>发布之日</w:t>
      </w:r>
      <w:r w:rsidRPr="00A03A09">
        <w:rPr>
          <w:rFonts w:hint="eastAsia"/>
        </w:rPr>
        <w:t>起生效。</w:t>
      </w:r>
    </w:p>
    <w:p w:rsidR="00150BC3" w:rsidRPr="00A03A09" w:rsidRDefault="00150BC3" w:rsidP="00A03A09">
      <w:pPr>
        <w:snapToGrid w:val="0"/>
        <w:ind w:firstLineChars="202" w:firstLine="424"/>
      </w:pPr>
      <w:r w:rsidRPr="00A03A09">
        <w:t>3</w:t>
      </w:r>
      <w:r w:rsidR="00C16E1B" w:rsidRPr="00A03A09">
        <w:rPr>
          <w:rFonts w:hint="eastAsia"/>
        </w:rPr>
        <w:t>、</w:t>
      </w:r>
      <w:r w:rsidRPr="00A03A09">
        <w:rPr>
          <w:rFonts w:hint="eastAsia"/>
        </w:rPr>
        <w:t>经与</w:t>
      </w:r>
      <w:r w:rsidR="00C16E1B" w:rsidRPr="00A03A09">
        <w:rPr>
          <w:rFonts w:hint="eastAsia"/>
        </w:rPr>
        <w:t>各基金的</w:t>
      </w:r>
      <w:r w:rsidRPr="00A03A09">
        <w:rPr>
          <w:rFonts w:hint="eastAsia"/>
        </w:rPr>
        <w:t>基金托管人协商一致，在对相关基金的基金合同进行修订后，</w:t>
      </w:r>
      <w:r w:rsidR="00C16E1B" w:rsidRPr="00A03A09">
        <w:rPr>
          <w:rFonts w:hint="eastAsia"/>
        </w:rPr>
        <w:t>本公司也</w:t>
      </w:r>
      <w:r w:rsidR="00CE5BDC">
        <w:rPr>
          <w:rFonts w:hint="eastAsia"/>
        </w:rPr>
        <w:t>将</w:t>
      </w:r>
      <w:r w:rsidR="00C16E1B" w:rsidRPr="00A03A09">
        <w:rPr>
          <w:rFonts w:hint="eastAsia"/>
        </w:rPr>
        <w:t>对相关基金</w:t>
      </w:r>
      <w:r w:rsidR="00CE5BDC">
        <w:rPr>
          <w:rFonts w:hint="eastAsia"/>
        </w:rPr>
        <w:t>的</w:t>
      </w:r>
      <w:r w:rsidR="00C16E1B" w:rsidRPr="00A03A09">
        <w:rPr>
          <w:rFonts w:hint="eastAsia"/>
        </w:rPr>
        <w:t>招募说明书</w:t>
      </w:r>
      <w:r w:rsidR="00CE5BDC">
        <w:rPr>
          <w:rFonts w:hint="eastAsia"/>
        </w:rPr>
        <w:t>和产品资料概要</w:t>
      </w:r>
      <w:r w:rsidRPr="00A03A09">
        <w:rPr>
          <w:rFonts w:hint="eastAsia"/>
        </w:rPr>
        <w:t>作</w:t>
      </w:r>
      <w:r w:rsidR="00C16E1B" w:rsidRPr="00A03A09">
        <w:rPr>
          <w:rFonts w:hint="eastAsia"/>
        </w:rPr>
        <w:t>出</w:t>
      </w:r>
      <w:r w:rsidRPr="00A03A09">
        <w:rPr>
          <w:rFonts w:hint="eastAsia"/>
        </w:rPr>
        <w:t>相应</w:t>
      </w:r>
      <w:r w:rsidR="00CE5BDC">
        <w:rPr>
          <w:rFonts w:hint="eastAsia"/>
        </w:rPr>
        <w:t>更新并及时公告</w:t>
      </w:r>
      <w:r w:rsidRPr="00A03A09">
        <w:rPr>
          <w:rFonts w:hint="eastAsia"/>
        </w:rPr>
        <w:t>。投资人办理基金交易等相关业务前，应仔细阅读各基金的基金合同、招募说明书及其更新、</w:t>
      </w:r>
      <w:r w:rsidR="00CE5BDC">
        <w:rPr>
          <w:rFonts w:hint="eastAsia"/>
        </w:rPr>
        <w:t>产品资料概要、</w:t>
      </w:r>
      <w:r w:rsidRPr="00A03A09">
        <w:rPr>
          <w:rFonts w:hint="eastAsia"/>
        </w:rPr>
        <w:t>风险提示及相关业务规则和操作指南等文件。</w:t>
      </w:r>
      <w:bookmarkStart w:id="0" w:name="_GoBack"/>
      <w:bookmarkEnd w:id="0"/>
    </w:p>
    <w:p w:rsidR="009F7098" w:rsidRPr="00A03A09" w:rsidRDefault="009F7098" w:rsidP="00A03A09">
      <w:pPr>
        <w:snapToGrid w:val="0"/>
        <w:ind w:firstLineChars="202" w:firstLine="424"/>
      </w:pPr>
      <w:r w:rsidRPr="00A03A09">
        <w:rPr>
          <w:rFonts w:hint="eastAsia"/>
        </w:rPr>
        <w:t>投资者可访问大成基金管理有限公司网站</w:t>
      </w:r>
      <w:r w:rsidR="005C5ECC" w:rsidRPr="00A03A09">
        <w:rPr>
          <w:rFonts w:hint="eastAsia"/>
        </w:rPr>
        <w:t>（</w:t>
      </w:r>
      <w:r w:rsidR="005C5ECC" w:rsidRPr="00A03A09">
        <w:rPr>
          <w:rFonts w:ascii="Times New Roman" w:hAnsi="Times New Roman" w:cs="Times New Roman"/>
        </w:rPr>
        <w:t>www.dcfund.com.cn</w:t>
      </w:r>
      <w:r w:rsidR="005C5ECC" w:rsidRPr="00A03A09">
        <w:rPr>
          <w:rFonts w:hint="eastAsia"/>
        </w:rPr>
        <w:t>）</w:t>
      </w:r>
      <w:r w:rsidRPr="00A03A09">
        <w:rPr>
          <w:rFonts w:hint="eastAsia"/>
        </w:rPr>
        <w:t>或拨打全国免长途费的客户服务电话（</w:t>
      </w:r>
      <w:r w:rsidR="002059B2" w:rsidRPr="00A03A09">
        <w:t>400-888-5558</w:t>
      </w:r>
      <w:r w:rsidRPr="00A03A09">
        <w:rPr>
          <w:rFonts w:hint="eastAsia"/>
        </w:rPr>
        <w:t>）咨询相关情况。</w:t>
      </w:r>
      <w:r w:rsidRPr="00A03A09">
        <w:t xml:space="preserve"> </w:t>
      </w:r>
    </w:p>
    <w:p w:rsidR="002D3221" w:rsidRPr="00A03A09" w:rsidRDefault="002D3221" w:rsidP="00A03A09">
      <w:pPr>
        <w:snapToGrid w:val="0"/>
        <w:ind w:firstLineChars="202" w:firstLine="424"/>
      </w:pPr>
    </w:p>
    <w:p w:rsidR="00563C4D" w:rsidRPr="00A03A09" w:rsidRDefault="00150BC3" w:rsidP="00A03A09">
      <w:pPr>
        <w:snapToGrid w:val="0"/>
        <w:ind w:firstLineChars="202" w:firstLine="424"/>
      </w:pPr>
      <w:r w:rsidRPr="00A03A09">
        <w:rPr>
          <w:rFonts w:hint="eastAsia"/>
        </w:rPr>
        <w:t>风险提示：</w:t>
      </w:r>
      <w:r w:rsidRPr="00A03A09">
        <w:rPr>
          <w:rFonts w:hint="eastAsia"/>
        </w:rPr>
        <w:t xml:space="preserve"> </w:t>
      </w:r>
    </w:p>
    <w:p w:rsidR="00150BC3" w:rsidRPr="00A03A09" w:rsidRDefault="00563C4D" w:rsidP="00A03A09">
      <w:pPr>
        <w:snapToGrid w:val="0"/>
        <w:ind w:firstLineChars="202" w:firstLine="424"/>
      </w:pPr>
      <w:r w:rsidRPr="00A03A09">
        <w:rPr>
          <w:rFonts w:asciiTheme="minorEastAsia" w:hAnsiTheme="minorEastAsia" w:cs="宋体" w:hint="eastAsia"/>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w:t>
      </w:r>
      <w:r w:rsidR="00CE5BDC">
        <w:rPr>
          <w:rFonts w:asciiTheme="minorEastAsia" w:hAnsiTheme="minorEastAsia" w:cs="宋体" w:hint="eastAsia"/>
          <w:kern w:val="0"/>
          <w:szCs w:val="21"/>
        </w:rPr>
        <w:t>及其</w:t>
      </w:r>
      <w:r w:rsidRPr="00A03A09">
        <w:rPr>
          <w:rFonts w:asciiTheme="minorEastAsia" w:hAnsiTheme="minorEastAsia" w:cs="宋体" w:hint="eastAsia"/>
          <w:kern w:val="0"/>
          <w:szCs w:val="21"/>
        </w:rPr>
        <w:t>更新和基金产品资料概要</w:t>
      </w:r>
      <w:r w:rsidR="00CE5BDC">
        <w:rPr>
          <w:rFonts w:asciiTheme="minorEastAsia" w:hAnsiTheme="minorEastAsia" w:cs="宋体" w:hint="eastAsia"/>
          <w:kern w:val="0"/>
          <w:szCs w:val="21"/>
        </w:rPr>
        <w:t>及其</w:t>
      </w:r>
      <w:r w:rsidRPr="00A03A09">
        <w:rPr>
          <w:rFonts w:asciiTheme="minorEastAsia" w:hAnsiTheme="minorEastAsia" w:cs="宋体" w:hint="eastAsia"/>
          <w:kern w:val="0"/>
          <w:szCs w:val="21"/>
        </w:rPr>
        <w:t>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A34C2" w:rsidRDefault="006A34C2" w:rsidP="00A03A09">
      <w:pPr>
        <w:snapToGrid w:val="0"/>
        <w:ind w:firstLineChars="202" w:firstLine="424"/>
      </w:pPr>
    </w:p>
    <w:p w:rsidR="009F7098" w:rsidRPr="00A03A09" w:rsidRDefault="009F7098" w:rsidP="00A03A09">
      <w:pPr>
        <w:snapToGrid w:val="0"/>
        <w:ind w:firstLineChars="202" w:firstLine="424"/>
      </w:pPr>
      <w:r w:rsidRPr="00A03A09">
        <w:rPr>
          <w:rFonts w:hint="eastAsia"/>
        </w:rPr>
        <w:t>特此公告</w:t>
      </w:r>
      <w:r w:rsidR="00A03A09" w:rsidRPr="00A03A09">
        <w:rPr>
          <w:rFonts w:hint="eastAsia"/>
        </w:rPr>
        <w:t>。</w:t>
      </w:r>
    </w:p>
    <w:p w:rsidR="004510AA" w:rsidRDefault="009F7098" w:rsidP="004510AA">
      <w:pPr>
        <w:snapToGrid w:val="0"/>
        <w:ind w:firstLineChars="0" w:firstLine="0"/>
        <w:jc w:val="right"/>
      </w:pPr>
      <w:r w:rsidRPr="00A03A09">
        <w:rPr>
          <w:rFonts w:hint="eastAsia"/>
        </w:rPr>
        <w:t xml:space="preserve">                                    </w:t>
      </w:r>
      <w:r w:rsidR="00636342" w:rsidRPr="00A03A09">
        <w:rPr>
          <w:rFonts w:hint="eastAsia"/>
        </w:rPr>
        <w:t xml:space="preserve">      </w:t>
      </w:r>
      <w:r w:rsidRPr="00A03A09">
        <w:rPr>
          <w:rFonts w:hint="eastAsia"/>
        </w:rPr>
        <w:t xml:space="preserve">   </w:t>
      </w:r>
      <w:r w:rsidR="00636342" w:rsidRPr="00A03A09">
        <w:rPr>
          <w:rFonts w:hint="eastAsia"/>
        </w:rPr>
        <w:t xml:space="preserve">   </w:t>
      </w:r>
      <w:r w:rsidRPr="00A03A09">
        <w:rPr>
          <w:rFonts w:hint="eastAsia"/>
        </w:rPr>
        <w:t xml:space="preserve">   </w:t>
      </w:r>
      <w:r w:rsidR="0005455A">
        <w:rPr>
          <w:rFonts w:hint="eastAsia"/>
        </w:rPr>
        <w:t xml:space="preserve">  </w:t>
      </w:r>
      <w:r w:rsidRPr="00A03A09">
        <w:rPr>
          <w:rFonts w:hint="eastAsia"/>
        </w:rPr>
        <w:t>大成基金管理有限公司</w:t>
      </w:r>
      <w:r w:rsidRPr="00A03A09">
        <w:rPr>
          <w:rFonts w:hint="eastAsia"/>
        </w:rPr>
        <w:t xml:space="preserve">                                                 </w:t>
      </w:r>
      <w:r w:rsidR="00636342" w:rsidRPr="00A03A09">
        <w:rPr>
          <w:rFonts w:hint="eastAsia"/>
        </w:rPr>
        <w:t xml:space="preserve">          </w:t>
      </w:r>
      <w:r w:rsidR="000E12BF" w:rsidRPr="00A03A09">
        <w:rPr>
          <w:rFonts w:hint="eastAsia"/>
        </w:rPr>
        <w:t xml:space="preserve">     </w:t>
      </w:r>
    </w:p>
    <w:p w:rsidR="0004659C" w:rsidRPr="00A03A09" w:rsidRDefault="00D43B62" w:rsidP="0005455A">
      <w:pPr>
        <w:snapToGrid w:val="0"/>
        <w:ind w:firstLineChars="0" w:firstLine="0"/>
        <w:jc w:val="right"/>
      </w:pPr>
      <w:r>
        <w:rPr>
          <w:rFonts w:hint="eastAsia"/>
        </w:rPr>
        <w:t>2021</w:t>
      </w:r>
      <w:r w:rsidR="009F7098" w:rsidRPr="00A03A09">
        <w:rPr>
          <w:rFonts w:hint="eastAsia"/>
        </w:rPr>
        <w:t>年</w:t>
      </w:r>
      <w:r>
        <w:rPr>
          <w:rFonts w:hint="eastAsia"/>
        </w:rPr>
        <w:t>3</w:t>
      </w:r>
      <w:r w:rsidR="009F7098" w:rsidRPr="00A03A09">
        <w:rPr>
          <w:rFonts w:hint="eastAsia"/>
        </w:rPr>
        <w:t>月</w:t>
      </w:r>
      <w:r w:rsidR="00FB6347">
        <w:rPr>
          <w:rFonts w:hint="eastAsia"/>
        </w:rPr>
        <w:t>30</w:t>
      </w:r>
      <w:r w:rsidR="009F7098" w:rsidRPr="00A03A09">
        <w:rPr>
          <w:rFonts w:hint="eastAsia"/>
        </w:rPr>
        <w:t>日</w:t>
      </w:r>
    </w:p>
    <w:p w:rsidR="0004659C" w:rsidRDefault="0090006B" w:rsidP="0005455A">
      <w:pPr>
        <w:ind w:firstLineChars="0" w:firstLine="0"/>
        <w:rPr>
          <w:b/>
        </w:rPr>
      </w:pPr>
      <w:r w:rsidRPr="0005455A">
        <w:rPr>
          <w:rFonts w:hint="eastAsia"/>
          <w:b/>
        </w:rPr>
        <w:lastRenderedPageBreak/>
        <w:t>附</w:t>
      </w:r>
      <w:r w:rsidR="0005455A" w:rsidRPr="0005455A">
        <w:rPr>
          <w:rFonts w:hint="eastAsia"/>
          <w:b/>
        </w:rPr>
        <w:t>表</w:t>
      </w:r>
      <w:r w:rsidR="00A03A09" w:rsidRPr="0005455A">
        <w:rPr>
          <w:rFonts w:hint="eastAsia"/>
          <w:b/>
        </w:rPr>
        <w:t>1</w:t>
      </w:r>
      <w:r w:rsidRPr="0005455A">
        <w:rPr>
          <w:rFonts w:hint="eastAsia"/>
          <w:b/>
        </w:rPr>
        <w:t>：</w:t>
      </w:r>
      <w:r w:rsidR="00A03A09" w:rsidRPr="0005455A">
        <w:rPr>
          <w:rFonts w:hint="eastAsia"/>
          <w:b/>
        </w:rPr>
        <w:t>大成基金旗下</w:t>
      </w:r>
      <w:r w:rsidR="004510AA">
        <w:rPr>
          <w:rFonts w:hint="eastAsia"/>
          <w:b/>
        </w:rPr>
        <w:t>19</w:t>
      </w:r>
      <w:r w:rsidR="00A03A09" w:rsidRPr="0005455A">
        <w:rPr>
          <w:rFonts w:hint="eastAsia"/>
          <w:b/>
        </w:rPr>
        <w:t>只修订基金合同的指数基金</w:t>
      </w:r>
      <w:r w:rsidRPr="0005455A">
        <w:rPr>
          <w:rFonts w:hint="eastAsia"/>
          <w:b/>
        </w:rPr>
        <w:t>名单</w:t>
      </w:r>
    </w:p>
    <w:p w:rsidR="0005455A" w:rsidRPr="0005455A" w:rsidRDefault="0005455A" w:rsidP="0005455A">
      <w:pPr>
        <w:ind w:firstLineChars="0" w:firstLine="0"/>
        <w:rPr>
          <w:b/>
        </w:rPr>
      </w:pPr>
    </w:p>
    <w:tbl>
      <w:tblPr>
        <w:tblStyle w:val="a"/>
        <w:tblW w:w="9429" w:type="dxa"/>
        <w:jc w:val="center"/>
        <w:tblInd w:w="93" w:type="dxa"/>
        <w:tblLook w:val="04A0"/>
      </w:tblPr>
      <w:tblGrid>
        <w:gridCol w:w="641"/>
        <w:gridCol w:w="5541"/>
        <w:gridCol w:w="3247"/>
      </w:tblGrid>
      <w:tr w:rsidR="00EE1BFA" w:rsidRPr="0005455A" w:rsidTr="00EE1BFA">
        <w:trPr>
          <w:trHeight w:val="190"/>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rPr>
                <w:rFonts w:ascii="宋体" w:eastAsia="宋体" w:hAnsi="宋体" w:cs="宋体"/>
                <w:b/>
                <w:bCs/>
                <w:color w:val="000000"/>
                <w:kern w:val="0"/>
                <w:szCs w:val="21"/>
              </w:rPr>
            </w:pPr>
            <w:r w:rsidRPr="0005455A">
              <w:rPr>
                <w:rFonts w:ascii="宋体" w:eastAsia="宋体" w:hAnsi="宋体" w:cs="宋体" w:hint="eastAsia"/>
                <w:b/>
                <w:bCs/>
                <w:color w:val="000000"/>
                <w:kern w:val="0"/>
                <w:szCs w:val="21"/>
              </w:rPr>
              <w:t>序号</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b/>
                <w:bCs/>
                <w:color w:val="000000"/>
                <w:kern w:val="0"/>
                <w:szCs w:val="21"/>
              </w:rPr>
            </w:pPr>
            <w:r w:rsidRPr="0005455A">
              <w:rPr>
                <w:rFonts w:ascii="宋体" w:eastAsia="宋体" w:hAnsi="宋体" w:cs="宋体" w:hint="eastAsia"/>
                <w:b/>
                <w:bCs/>
                <w:color w:val="000000"/>
                <w:kern w:val="0"/>
                <w:szCs w:val="21"/>
              </w:rPr>
              <w:t>基金全称</w:t>
            </w:r>
          </w:p>
        </w:tc>
        <w:tc>
          <w:tcPr>
            <w:tcW w:w="3247" w:type="dxa"/>
            <w:tcBorders>
              <w:top w:val="single" w:sz="4" w:space="0" w:color="auto"/>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b/>
                <w:bCs/>
                <w:color w:val="000000"/>
                <w:kern w:val="0"/>
                <w:szCs w:val="21"/>
              </w:rPr>
            </w:pPr>
            <w:r w:rsidRPr="0005455A">
              <w:rPr>
                <w:rFonts w:ascii="宋体" w:eastAsia="宋体" w:hAnsi="宋体" w:cs="宋体" w:hint="eastAsia"/>
                <w:b/>
                <w:bCs/>
                <w:color w:val="000000"/>
                <w:kern w:val="0"/>
                <w:szCs w:val="21"/>
              </w:rPr>
              <w:t>基金托管人</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大成标普500等权重指数证券投资基金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2</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中证500沪市交易型开放式指数证券投资基金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3</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大成中证100交易型开放式指数证券投资基金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4</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大成中证500深市交易型开放式指数证券投资基金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5</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大成沪深300指数证券投资基金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367"/>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6</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大成深证成长40交易型开放式指数证券投资基金联接基金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7</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深证成长40交易型开放式指数证券投资基金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8</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大成纳斯达克100指数证券投资基金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9</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大成深证成份交易型开放式指数证券投资基金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10</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大成恒生综合中小型股指数证券投资基金(QDII-LOF)</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11</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大成中华沪深港300指数证券投资基金(LOF)</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367"/>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12</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大成MSCI中国A股质优价值100交易型开放式指数证券投资基金联接基金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367"/>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13</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大成MSCI中国A股质优价值100交易型开放式指数证券投资基金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中国农业银行股份有限公司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14</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大成中证红利指数证券投资基金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中国建设银行股份有限公司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15</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大成中证360互联网+大数据100指数型证券投资基金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中国工商银行股份有限公司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16</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大成恒生指数证券投资基金(LOF)</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中国工商银行股份有限公司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17</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大成彭博巴克莱农发行债券1-3年指数证券投资基金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兴业银行股份有限公司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18</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大成中债1-3年国开行债券指数证券投资基金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上海银行股份有限公司</w:t>
            </w:r>
          </w:p>
        </w:tc>
      </w:tr>
      <w:tr w:rsidR="00EE1BFA" w:rsidRPr="0005455A" w:rsidTr="00EE1BFA">
        <w:trPr>
          <w:trHeight w:val="19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EE1BFA" w:rsidRPr="0005455A" w:rsidRDefault="004510AA" w:rsidP="0005455A">
            <w:pPr>
              <w:spacing w:line="240" w:lineRule="auto"/>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5541" w:type="dxa"/>
            <w:tcBorders>
              <w:top w:val="nil"/>
              <w:left w:val="nil"/>
              <w:bottom w:val="single" w:sz="4" w:space="0" w:color="auto"/>
              <w:right w:val="single" w:sz="4" w:space="0" w:color="auto"/>
            </w:tcBorders>
            <w:shd w:val="clear" w:color="auto" w:fill="auto"/>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大成中债3-5年国开行债券指数证券投资基金</w:t>
            </w:r>
          </w:p>
        </w:tc>
        <w:tc>
          <w:tcPr>
            <w:tcW w:w="3247" w:type="dxa"/>
            <w:tcBorders>
              <w:top w:val="nil"/>
              <w:left w:val="nil"/>
              <w:bottom w:val="single" w:sz="4" w:space="0" w:color="auto"/>
              <w:right w:val="single" w:sz="4" w:space="0" w:color="auto"/>
            </w:tcBorders>
            <w:shd w:val="clear" w:color="auto" w:fill="auto"/>
            <w:noWrap/>
            <w:vAlign w:val="center"/>
            <w:hideMark/>
          </w:tcPr>
          <w:p w:rsidR="00EE1BFA" w:rsidRPr="0005455A" w:rsidRDefault="00EE1BFA" w:rsidP="0005455A">
            <w:pPr>
              <w:spacing w:line="240" w:lineRule="auto"/>
              <w:ind w:firstLineChars="0" w:firstLine="0"/>
              <w:jc w:val="center"/>
              <w:rPr>
                <w:rFonts w:ascii="宋体" w:eastAsia="宋体" w:hAnsi="宋体" w:cs="宋体"/>
                <w:color w:val="000000"/>
                <w:kern w:val="0"/>
                <w:szCs w:val="21"/>
              </w:rPr>
            </w:pPr>
            <w:r w:rsidRPr="0005455A">
              <w:rPr>
                <w:rFonts w:ascii="宋体" w:eastAsia="宋体" w:hAnsi="宋体" w:cs="宋体" w:hint="eastAsia"/>
                <w:color w:val="000000"/>
                <w:kern w:val="0"/>
                <w:szCs w:val="21"/>
              </w:rPr>
              <w:t>上海浦东发展银行股份有限公司</w:t>
            </w:r>
          </w:p>
        </w:tc>
      </w:tr>
    </w:tbl>
    <w:p w:rsidR="00122851" w:rsidRPr="0005455A" w:rsidRDefault="00122851" w:rsidP="00555AC2">
      <w:pPr>
        <w:ind w:firstLineChars="0" w:firstLine="0"/>
      </w:pPr>
    </w:p>
    <w:p w:rsidR="0005455A" w:rsidRDefault="0005455A" w:rsidP="0005455A">
      <w:pPr>
        <w:ind w:firstLine="420"/>
      </w:pPr>
      <w:r>
        <w:br w:type="page"/>
      </w:r>
    </w:p>
    <w:p w:rsidR="00667043" w:rsidRDefault="00727CC3" w:rsidP="00C47097">
      <w:pPr>
        <w:ind w:firstLineChars="0" w:firstLine="0"/>
        <w:rPr>
          <w:b/>
        </w:rPr>
      </w:pPr>
      <w:r w:rsidRPr="0005455A">
        <w:rPr>
          <w:rFonts w:hint="eastAsia"/>
          <w:b/>
        </w:rPr>
        <w:lastRenderedPageBreak/>
        <w:t>附</w:t>
      </w:r>
      <w:r w:rsidR="0005455A" w:rsidRPr="0005455A">
        <w:rPr>
          <w:rFonts w:hint="eastAsia"/>
          <w:b/>
        </w:rPr>
        <w:t>表</w:t>
      </w:r>
      <w:r w:rsidR="002738CE" w:rsidRPr="0005455A">
        <w:rPr>
          <w:rFonts w:hint="eastAsia"/>
          <w:b/>
        </w:rPr>
        <w:t>2</w:t>
      </w:r>
      <w:r w:rsidR="0004659C" w:rsidRPr="0005455A">
        <w:rPr>
          <w:rFonts w:hint="eastAsia"/>
          <w:b/>
        </w:rPr>
        <w:t>：</w:t>
      </w:r>
      <w:r w:rsidR="00C4317F" w:rsidRPr="0005455A">
        <w:rPr>
          <w:rFonts w:hint="eastAsia"/>
          <w:b/>
        </w:rPr>
        <w:t>基金合同相关条款涉及的主要修订内容</w:t>
      </w:r>
    </w:p>
    <w:p w:rsidR="0005455A" w:rsidRPr="0005455A" w:rsidRDefault="0005455A" w:rsidP="00C47097">
      <w:pPr>
        <w:ind w:firstLineChars="0" w:firstLine="0"/>
        <w:rPr>
          <w:b/>
        </w:rPr>
      </w:pPr>
    </w:p>
    <w:tbl>
      <w:tblPr>
        <w:tblStyle w:val="a"/>
        <w:tblW w:w="8613" w:type="dxa"/>
        <w:tblLook w:val="04A0"/>
      </w:tblPr>
      <w:tblGrid>
        <w:gridCol w:w="1101"/>
        <w:gridCol w:w="3685"/>
        <w:gridCol w:w="3827"/>
      </w:tblGrid>
      <w:tr w:rsidR="002738CE" w:rsidRPr="002738CE" w:rsidTr="00B86A0D">
        <w:tc>
          <w:tcPr>
            <w:tcW w:w="1101" w:type="dxa"/>
          </w:tcPr>
          <w:p w:rsidR="002738CE" w:rsidRPr="002738CE" w:rsidRDefault="002738CE" w:rsidP="00B86A0D">
            <w:pPr>
              <w:adjustRightInd w:val="0"/>
              <w:snapToGrid w:val="0"/>
              <w:ind w:firstLine="422"/>
              <w:jc w:val="both"/>
              <w:rPr>
                <w:b/>
                <w:szCs w:val="21"/>
              </w:rPr>
            </w:pPr>
            <w:r w:rsidRPr="002738CE">
              <w:rPr>
                <w:b/>
                <w:szCs w:val="21"/>
              </w:rPr>
              <w:t>章节</w:t>
            </w:r>
          </w:p>
        </w:tc>
        <w:tc>
          <w:tcPr>
            <w:tcW w:w="3685" w:type="dxa"/>
          </w:tcPr>
          <w:p w:rsidR="002738CE" w:rsidRPr="002738CE" w:rsidRDefault="002738CE" w:rsidP="00F21EDD">
            <w:pPr>
              <w:adjustRightInd w:val="0"/>
              <w:snapToGrid w:val="0"/>
              <w:ind w:firstLine="422"/>
              <w:jc w:val="center"/>
              <w:rPr>
                <w:b/>
                <w:szCs w:val="21"/>
              </w:rPr>
            </w:pPr>
            <w:r w:rsidRPr="002738CE">
              <w:rPr>
                <w:b/>
                <w:szCs w:val="21"/>
              </w:rPr>
              <w:t>修订前</w:t>
            </w:r>
          </w:p>
        </w:tc>
        <w:tc>
          <w:tcPr>
            <w:tcW w:w="3827" w:type="dxa"/>
          </w:tcPr>
          <w:p w:rsidR="002738CE" w:rsidRPr="002738CE" w:rsidRDefault="002738CE" w:rsidP="00F21EDD">
            <w:pPr>
              <w:adjustRightInd w:val="0"/>
              <w:snapToGrid w:val="0"/>
              <w:ind w:firstLine="422"/>
              <w:jc w:val="center"/>
              <w:rPr>
                <w:b/>
                <w:szCs w:val="21"/>
              </w:rPr>
            </w:pPr>
            <w:r w:rsidRPr="002738CE">
              <w:rPr>
                <w:b/>
                <w:szCs w:val="21"/>
              </w:rPr>
              <w:t>修订后</w:t>
            </w:r>
          </w:p>
        </w:tc>
      </w:tr>
      <w:tr w:rsidR="002738CE" w:rsidRPr="002738CE" w:rsidTr="00B86A0D">
        <w:tc>
          <w:tcPr>
            <w:tcW w:w="1101" w:type="dxa"/>
            <w:vMerge w:val="restart"/>
            <w:vAlign w:val="center"/>
          </w:tcPr>
          <w:p w:rsidR="002738CE" w:rsidRPr="00B86A0D" w:rsidRDefault="002738CE" w:rsidP="00B86A0D">
            <w:pPr>
              <w:adjustRightInd w:val="0"/>
              <w:snapToGrid w:val="0"/>
              <w:ind w:firstLine="422"/>
              <w:jc w:val="center"/>
              <w:rPr>
                <w:b/>
                <w:szCs w:val="21"/>
              </w:rPr>
            </w:pPr>
            <w:r w:rsidRPr="00B86A0D">
              <w:rPr>
                <w:rFonts w:hint="eastAsia"/>
                <w:b/>
                <w:szCs w:val="21"/>
              </w:rPr>
              <w:t>前言</w:t>
            </w:r>
          </w:p>
        </w:tc>
        <w:tc>
          <w:tcPr>
            <w:tcW w:w="3685" w:type="dxa"/>
          </w:tcPr>
          <w:p w:rsidR="002738CE" w:rsidRPr="002738CE" w:rsidRDefault="002738CE" w:rsidP="00F21EDD">
            <w:pPr>
              <w:adjustRightInd w:val="0"/>
              <w:snapToGrid w:val="0"/>
              <w:ind w:firstLine="420"/>
              <w:rPr>
                <w:szCs w:val="21"/>
              </w:rPr>
            </w:pPr>
            <w:r w:rsidRPr="002738CE">
              <w:rPr>
                <w:rFonts w:hint="eastAsia"/>
                <w:szCs w:val="21"/>
              </w:rPr>
              <w:t>一、订立本基金合同的目的、依据和原则</w:t>
            </w:r>
          </w:p>
          <w:p w:rsidR="002738CE" w:rsidRPr="002738CE" w:rsidRDefault="002738CE" w:rsidP="00F21EDD">
            <w:pPr>
              <w:adjustRightInd w:val="0"/>
              <w:snapToGrid w:val="0"/>
              <w:ind w:firstLine="420"/>
              <w:rPr>
                <w:szCs w:val="21"/>
              </w:rPr>
            </w:pPr>
            <w:r w:rsidRPr="002738CE">
              <w:rPr>
                <w:rFonts w:hint="eastAsia"/>
                <w:szCs w:val="21"/>
              </w:rPr>
              <w:t>1</w:t>
            </w:r>
            <w:r w:rsidRPr="002738CE">
              <w:rPr>
                <w:rFonts w:hint="eastAsia"/>
                <w:szCs w:val="21"/>
              </w:rPr>
              <w:t>、订立本基金合同的目的是保护投资人合法权益，明确基金合同当事人的权利义务，规范基金运作。</w:t>
            </w:r>
          </w:p>
          <w:p w:rsidR="002738CE" w:rsidRPr="002738CE" w:rsidRDefault="002738CE" w:rsidP="00F21EDD">
            <w:pPr>
              <w:adjustRightInd w:val="0"/>
              <w:snapToGrid w:val="0"/>
              <w:ind w:firstLine="420"/>
              <w:rPr>
                <w:szCs w:val="21"/>
              </w:rPr>
            </w:pPr>
            <w:r w:rsidRPr="002738CE">
              <w:rPr>
                <w:rFonts w:hint="eastAsia"/>
                <w:szCs w:val="21"/>
              </w:rPr>
              <w:t>2</w:t>
            </w:r>
            <w:r w:rsidRPr="002738CE">
              <w:rPr>
                <w:rFonts w:hint="eastAsia"/>
                <w:szCs w:val="21"/>
              </w:rPr>
              <w:t>、订立本基金合同的依据是《中华人民共和国合同法》</w:t>
            </w:r>
            <w:r w:rsidRPr="002738CE">
              <w:rPr>
                <w:rFonts w:hint="eastAsia"/>
                <w:szCs w:val="21"/>
              </w:rPr>
              <w:t>(</w:t>
            </w:r>
            <w:r w:rsidRPr="002738CE">
              <w:rPr>
                <w:rFonts w:hint="eastAsia"/>
                <w:szCs w:val="21"/>
              </w:rPr>
              <w:t>以下简称“《合同法》”</w:t>
            </w:r>
            <w:r w:rsidRPr="002738CE">
              <w:rPr>
                <w:rFonts w:hint="eastAsia"/>
                <w:szCs w:val="21"/>
              </w:rPr>
              <w:t>)</w:t>
            </w:r>
            <w:r w:rsidRPr="002738CE">
              <w:rPr>
                <w:rFonts w:hint="eastAsia"/>
                <w:szCs w:val="21"/>
              </w:rPr>
              <w:t>、《中华人民共和国证券投资基金法》</w:t>
            </w:r>
            <w:r w:rsidRPr="002738CE">
              <w:rPr>
                <w:rFonts w:hint="eastAsia"/>
                <w:szCs w:val="21"/>
              </w:rPr>
              <w:t>(</w:t>
            </w:r>
            <w:r w:rsidRPr="002738CE">
              <w:rPr>
                <w:rFonts w:hint="eastAsia"/>
                <w:szCs w:val="21"/>
              </w:rPr>
              <w:t>以下简称“《基金法》”</w:t>
            </w:r>
            <w:r w:rsidRPr="002738CE">
              <w:rPr>
                <w:rFonts w:hint="eastAsia"/>
                <w:szCs w:val="21"/>
              </w:rPr>
              <w:t>)</w:t>
            </w:r>
            <w:r w:rsidRPr="002738CE">
              <w:rPr>
                <w:rFonts w:hint="eastAsia"/>
                <w:szCs w:val="21"/>
              </w:rPr>
              <w:t>、《公开募集证券投资基金运作管理办法》</w:t>
            </w:r>
            <w:r w:rsidRPr="002738CE">
              <w:rPr>
                <w:rFonts w:hint="eastAsia"/>
                <w:szCs w:val="21"/>
              </w:rPr>
              <w:t>(</w:t>
            </w:r>
            <w:r w:rsidRPr="002738CE">
              <w:rPr>
                <w:rFonts w:hint="eastAsia"/>
                <w:szCs w:val="21"/>
              </w:rPr>
              <w:t>以下简称“《运作办法》”</w:t>
            </w:r>
            <w:r w:rsidRPr="002738CE">
              <w:rPr>
                <w:rFonts w:hint="eastAsia"/>
                <w:szCs w:val="21"/>
              </w:rPr>
              <w:t>)</w:t>
            </w:r>
            <w:r w:rsidRPr="002738CE">
              <w:rPr>
                <w:rFonts w:hint="eastAsia"/>
                <w:szCs w:val="21"/>
              </w:rPr>
              <w:t>、《证券投资基金销售管理办法》</w:t>
            </w:r>
            <w:r w:rsidRPr="002738CE">
              <w:rPr>
                <w:rFonts w:hint="eastAsia"/>
                <w:szCs w:val="21"/>
              </w:rPr>
              <w:t>(</w:t>
            </w:r>
            <w:r w:rsidRPr="002738CE">
              <w:rPr>
                <w:rFonts w:hint="eastAsia"/>
                <w:szCs w:val="21"/>
              </w:rPr>
              <w:t>以下简称“《销售办法》”</w:t>
            </w:r>
            <w:r w:rsidRPr="002738CE">
              <w:rPr>
                <w:rFonts w:hint="eastAsia"/>
                <w:szCs w:val="21"/>
              </w:rPr>
              <w:t>)</w:t>
            </w:r>
            <w:r w:rsidRPr="002738CE">
              <w:rPr>
                <w:rFonts w:hint="eastAsia"/>
                <w:szCs w:val="21"/>
              </w:rPr>
              <w:t>、《公开募集证券投资基金信息披露管理办法》</w:t>
            </w:r>
            <w:r w:rsidRPr="002738CE">
              <w:rPr>
                <w:rFonts w:hint="eastAsia"/>
                <w:szCs w:val="21"/>
              </w:rPr>
              <w:t>(</w:t>
            </w:r>
            <w:r w:rsidRPr="002738CE">
              <w:rPr>
                <w:rFonts w:hint="eastAsia"/>
                <w:szCs w:val="21"/>
              </w:rPr>
              <w:t>以下简称“《信息披露办法》”</w:t>
            </w:r>
            <w:r w:rsidRPr="002738CE">
              <w:rPr>
                <w:rFonts w:hint="eastAsia"/>
                <w:szCs w:val="21"/>
              </w:rPr>
              <w:t xml:space="preserve">) </w:t>
            </w:r>
            <w:r w:rsidRPr="002738CE">
              <w:rPr>
                <w:rFonts w:hint="eastAsia"/>
                <w:szCs w:val="21"/>
              </w:rPr>
              <w:t>、《公开募集开放式证券投资基金流动性风险管理规定》（以下简称“《管理规定》”）和其他有关法律法规。</w:t>
            </w:r>
          </w:p>
        </w:tc>
        <w:tc>
          <w:tcPr>
            <w:tcW w:w="3827" w:type="dxa"/>
          </w:tcPr>
          <w:p w:rsidR="002738CE" w:rsidRPr="002738CE" w:rsidRDefault="002738CE" w:rsidP="00F21EDD">
            <w:pPr>
              <w:adjustRightInd w:val="0"/>
              <w:snapToGrid w:val="0"/>
              <w:ind w:firstLine="420"/>
              <w:rPr>
                <w:szCs w:val="21"/>
              </w:rPr>
            </w:pPr>
            <w:r w:rsidRPr="002738CE">
              <w:rPr>
                <w:rFonts w:hint="eastAsia"/>
                <w:szCs w:val="21"/>
              </w:rPr>
              <w:t>一、订立本基金合同的目的、依据和原则</w:t>
            </w:r>
          </w:p>
          <w:p w:rsidR="002738CE" w:rsidRPr="002738CE" w:rsidRDefault="002738CE" w:rsidP="00F21EDD">
            <w:pPr>
              <w:adjustRightInd w:val="0"/>
              <w:snapToGrid w:val="0"/>
              <w:ind w:firstLine="420"/>
              <w:rPr>
                <w:szCs w:val="21"/>
              </w:rPr>
            </w:pPr>
            <w:r w:rsidRPr="002738CE">
              <w:rPr>
                <w:rFonts w:hint="eastAsia"/>
                <w:szCs w:val="21"/>
              </w:rPr>
              <w:t>1</w:t>
            </w:r>
            <w:r w:rsidRPr="002738CE">
              <w:rPr>
                <w:rFonts w:hint="eastAsia"/>
                <w:szCs w:val="21"/>
              </w:rPr>
              <w:t>、订立本基金合同的目的是保护投资人合法权益，明确基金合同当事人的权利义务，规范基金运作。</w:t>
            </w:r>
          </w:p>
          <w:p w:rsidR="002738CE" w:rsidRPr="002738CE" w:rsidRDefault="002738CE" w:rsidP="00F21EDD">
            <w:pPr>
              <w:adjustRightInd w:val="0"/>
              <w:snapToGrid w:val="0"/>
              <w:ind w:firstLine="420"/>
              <w:rPr>
                <w:szCs w:val="21"/>
              </w:rPr>
            </w:pPr>
            <w:r w:rsidRPr="002738CE">
              <w:rPr>
                <w:rFonts w:hint="eastAsia"/>
                <w:szCs w:val="21"/>
              </w:rPr>
              <w:t>2</w:t>
            </w:r>
            <w:r w:rsidRPr="002738CE">
              <w:rPr>
                <w:rFonts w:hint="eastAsia"/>
                <w:szCs w:val="21"/>
              </w:rPr>
              <w:t>、订立本基金合同的依据是《中华人民共和国合同法》</w:t>
            </w:r>
            <w:r w:rsidRPr="002738CE">
              <w:rPr>
                <w:rFonts w:hint="eastAsia"/>
                <w:szCs w:val="21"/>
              </w:rPr>
              <w:t>(</w:t>
            </w:r>
            <w:r w:rsidRPr="002738CE">
              <w:rPr>
                <w:rFonts w:hint="eastAsia"/>
                <w:szCs w:val="21"/>
              </w:rPr>
              <w:t>以下简称“《合同法》”</w:t>
            </w:r>
            <w:r w:rsidRPr="002738CE">
              <w:rPr>
                <w:rFonts w:hint="eastAsia"/>
                <w:szCs w:val="21"/>
              </w:rPr>
              <w:t>)</w:t>
            </w:r>
            <w:r w:rsidRPr="002738CE">
              <w:rPr>
                <w:rFonts w:hint="eastAsia"/>
                <w:szCs w:val="21"/>
              </w:rPr>
              <w:t>、《中华人民共和国证券投资基金法》</w:t>
            </w:r>
            <w:r w:rsidRPr="002738CE">
              <w:rPr>
                <w:rFonts w:hint="eastAsia"/>
                <w:szCs w:val="21"/>
              </w:rPr>
              <w:t>(</w:t>
            </w:r>
            <w:r w:rsidRPr="002738CE">
              <w:rPr>
                <w:rFonts w:hint="eastAsia"/>
                <w:szCs w:val="21"/>
              </w:rPr>
              <w:t>以下简称“《基金法》”</w:t>
            </w:r>
            <w:r w:rsidRPr="002738CE">
              <w:rPr>
                <w:rFonts w:hint="eastAsia"/>
                <w:szCs w:val="21"/>
              </w:rPr>
              <w:t>)</w:t>
            </w:r>
            <w:r w:rsidRPr="002738CE">
              <w:rPr>
                <w:rFonts w:hint="eastAsia"/>
                <w:szCs w:val="21"/>
              </w:rPr>
              <w:t>、《公开募集证券投资基金运作管理办法》</w:t>
            </w:r>
            <w:r w:rsidRPr="002738CE">
              <w:rPr>
                <w:rFonts w:hint="eastAsia"/>
                <w:szCs w:val="21"/>
              </w:rPr>
              <w:t>(</w:t>
            </w:r>
            <w:r w:rsidRPr="002738CE">
              <w:rPr>
                <w:rFonts w:hint="eastAsia"/>
                <w:szCs w:val="21"/>
              </w:rPr>
              <w:t>以下简称“《运作办法》”</w:t>
            </w:r>
            <w:r w:rsidRPr="002738CE">
              <w:rPr>
                <w:rFonts w:hint="eastAsia"/>
                <w:szCs w:val="21"/>
              </w:rPr>
              <w:t>)</w:t>
            </w:r>
            <w:r w:rsidRPr="002738CE">
              <w:rPr>
                <w:rFonts w:hint="eastAsia"/>
                <w:szCs w:val="21"/>
              </w:rPr>
              <w:t>、《证券投资基金销售管理办法》</w:t>
            </w:r>
            <w:r w:rsidRPr="002738CE">
              <w:rPr>
                <w:rFonts w:hint="eastAsia"/>
                <w:szCs w:val="21"/>
              </w:rPr>
              <w:t>(</w:t>
            </w:r>
            <w:r w:rsidRPr="002738CE">
              <w:rPr>
                <w:rFonts w:hint="eastAsia"/>
                <w:szCs w:val="21"/>
              </w:rPr>
              <w:t>以下简称“《销售办法》”</w:t>
            </w:r>
            <w:r w:rsidRPr="002738CE">
              <w:rPr>
                <w:rFonts w:hint="eastAsia"/>
                <w:szCs w:val="21"/>
              </w:rPr>
              <w:t>)</w:t>
            </w:r>
            <w:r w:rsidRPr="002738CE">
              <w:rPr>
                <w:rFonts w:hint="eastAsia"/>
                <w:szCs w:val="21"/>
              </w:rPr>
              <w:t>、《公开募集证券投资基金信息披露管理办法》</w:t>
            </w:r>
            <w:r w:rsidRPr="002738CE">
              <w:rPr>
                <w:rFonts w:hint="eastAsia"/>
                <w:szCs w:val="21"/>
              </w:rPr>
              <w:t>(</w:t>
            </w:r>
            <w:r w:rsidRPr="002738CE">
              <w:rPr>
                <w:rFonts w:hint="eastAsia"/>
                <w:szCs w:val="21"/>
              </w:rPr>
              <w:t>以下简称“《信息披露办法》”</w:t>
            </w:r>
            <w:r w:rsidRPr="002738CE">
              <w:rPr>
                <w:rFonts w:hint="eastAsia"/>
                <w:szCs w:val="21"/>
              </w:rPr>
              <w:t xml:space="preserve">) </w:t>
            </w:r>
            <w:r w:rsidRPr="002738CE">
              <w:rPr>
                <w:rFonts w:hint="eastAsia"/>
                <w:szCs w:val="21"/>
              </w:rPr>
              <w:t>、《公开募集开放式证券投资基金流动性风险管理规定》（以下简称“《管理规定》”）</w:t>
            </w:r>
            <w:r w:rsidRPr="002738CE">
              <w:rPr>
                <w:rFonts w:hint="eastAsia"/>
                <w:b/>
                <w:szCs w:val="21"/>
              </w:rPr>
              <w:t>、《公开募集证券投资基金运作指引第</w:t>
            </w:r>
            <w:r w:rsidRPr="002738CE">
              <w:rPr>
                <w:rFonts w:hint="eastAsia"/>
                <w:b/>
                <w:szCs w:val="21"/>
              </w:rPr>
              <w:t>3</w:t>
            </w:r>
            <w:r w:rsidRPr="002738CE">
              <w:rPr>
                <w:rFonts w:hint="eastAsia"/>
                <w:b/>
                <w:szCs w:val="21"/>
              </w:rPr>
              <w:t>号——指数基金指引》（以下简称“《指数基金指引》”）</w:t>
            </w:r>
            <w:r w:rsidRPr="002738CE">
              <w:rPr>
                <w:rFonts w:hint="eastAsia"/>
                <w:szCs w:val="21"/>
              </w:rPr>
              <w:t>和其他有关法律法规。</w:t>
            </w:r>
          </w:p>
        </w:tc>
      </w:tr>
      <w:tr w:rsidR="002738CE" w:rsidRPr="002738CE" w:rsidTr="00B86A0D">
        <w:tc>
          <w:tcPr>
            <w:tcW w:w="1101" w:type="dxa"/>
            <w:vMerge/>
            <w:vAlign w:val="center"/>
          </w:tcPr>
          <w:p w:rsidR="002738CE" w:rsidRPr="00B86A0D" w:rsidRDefault="002738CE" w:rsidP="00B86A0D">
            <w:pPr>
              <w:adjustRightInd w:val="0"/>
              <w:snapToGrid w:val="0"/>
              <w:ind w:firstLine="422"/>
              <w:jc w:val="center"/>
              <w:rPr>
                <w:b/>
                <w:szCs w:val="21"/>
              </w:rPr>
            </w:pPr>
          </w:p>
        </w:tc>
        <w:tc>
          <w:tcPr>
            <w:tcW w:w="3685" w:type="dxa"/>
          </w:tcPr>
          <w:p w:rsidR="002738CE" w:rsidRPr="002738CE" w:rsidRDefault="002738CE" w:rsidP="00F21EDD">
            <w:pPr>
              <w:adjustRightInd w:val="0"/>
              <w:snapToGrid w:val="0"/>
              <w:ind w:firstLine="420"/>
              <w:rPr>
                <w:szCs w:val="21"/>
              </w:rPr>
            </w:pPr>
          </w:p>
        </w:tc>
        <w:tc>
          <w:tcPr>
            <w:tcW w:w="3827" w:type="dxa"/>
          </w:tcPr>
          <w:p w:rsidR="002738CE" w:rsidRPr="002738CE" w:rsidRDefault="002738CE" w:rsidP="00F21EDD">
            <w:pPr>
              <w:adjustRightInd w:val="0"/>
              <w:snapToGrid w:val="0"/>
              <w:ind w:firstLine="422"/>
              <w:rPr>
                <w:b/>
                <w:szCs w:val="21"/>
              </w:rPr>
            </w:pPr>
            <w:r w:rsidRPr="002738CE">
              <w:rPr>
                <w:rFonts w:hint="eastAsia"/>
                <w:b/>
                <w:szCs w:val="21"/>
              </w:rPr>
              <w:t>本基金为指数基金，投资者投资于本基金面临跟踪误差控制未达约定目标、指数编制机构停止服务、成份券停牌等潜在风险，详见本基金招募说明书</w:t>
            </w:r>
          </w:p>
        </w:tc>
      </w:tr>
      <w:tr w:rsidR="002738CE" w:rsidRPr="002738CE" w:rsidTr="00B86A0D">
        <w:tc>
          <w:tcPr>
            <w:tcW w:w="1101" w:type="dxa"/>
            <w:vAlign w:val="center"/>
          </w:tcPr>
          <w:p w:rsidR="002738CE" w:rsidRPr="00B86A0D" w:rsidRDefault="002738CE" w:rsidP="00B86A0D">
            <w:pPr>
              <w:adjustRightInd w:val="0"/>
              <w:snapToGrid w:val="0"/>
              <w:ind w:firstLine="422"/>
              <w:jc w:val="center"/>
              <w:rPr>
                <w:b/>
                <w:szCs w:val="21"/>
              </w:rPr>
            </w:pPr>
            <w:r w:rsidRPr="00B86A0D">
              <w:rPr>
                <w:rFonts w:hint="eastAsia"/>
                <w:b/>
                <w:szCs w:val="21"/>
              </w:rPr>
              <w:t>释义</w:t>
            </w:r>
          </w:p>
        </w:tc>
        <w:tc>
          <w:tcPr>
            <w:tcW w:w="3685" w:type="dxa"/>
          </w:tcPr>
          <w:p w:rsidR="002738CE" w:rsidRPr="002738CE" w:rsidRDefault="002738CE" w:rsidP="00F21EDD">
            <w:pPr>
              <w:adjustRightInd w:val="0"/>
              <w:snapToGrid w:val="0"/>
              <w:ind w:firstLine="420"/>
              <w:rPr>
                <w:szCs w:val="21"/>
              </w:rPr>
            </w:pPr>
          </w:p>
        </w:tc>
        <w:tc>
          <w:tcPr>
            <w:tcW w:w="3827" w:type="dxa"/>
          </w:tcPr>
          <w:p w:rsidR="002738CE" w:rsidRPr="002738CE" w:rsidRDefault="002738CE" w:rsidP="00F21EDD">
            <w:pPr>
              <w:adjustRightInd w:val="0"/>
              <w:snapToGrid w:val="0"/>
              <w:ind w:firstLine="422"/>
              <w:rPr>
                <w:b/>
                <w:szCs w:val="21"/>
              </w:rPr>
            </w:pPr>
            <w:r w:rsidRPr="002738CE">
              <w:rPr>
                <w:rFonts w:hint="eastAsia"/>
                <w:b/>
                <w:szCs w:val="21"/>
              </w:rPr>
              <w:t>X</w:t>
            </w:r>
            <w:r w:rsidRPr="002738CE">
              <w:rPr>
                <w:rFonts w:hint="eastAsia"/>
                <w:b/>
                <w:szCs w:val="21"/>
              </w:rPr>
              <w:t>、《指数基金指引》：指中国证监会</w:t>
            </w:r>
            <w:r w:rsidRPr="002738CE">
              <w:rPr>
                <w:rFonts w:hint="eastAsia"/>
                <w:b/>
                <w:szCs w:val="21"/>
              </w:rPr>
              <w:t>2021</w:t>
            </w:r>
            <w:r w:rsidRPr="002738CE">
              <w:rPr>
                <w:rFonts w:hint="eastAsia"/>
                <w:b/>
                <w:szCs w:val="21"/>
              </w:rPr>
              <w:t>年</w:t>
            </w:r>
            <w:r w:rsidRPr="002738CE">
              <w:rPr>
                <w:rFonts w:hint="eastAsia"/>
                <w:b/>
                <w:szCs w:val="21"/>
              </w:rPr>
              <w:t>1</w:t>
            </w:r>
            <w:r w:rsidRPr="002738CE">
              <w:rPr>
                <w:rFonts w:hint="eastAsia"/>
                <w:b/>
                <w:szCs w:val="21"/>
              </w:rPr>
              <w:t>月</w:t>
            </w:r>
            <w:r w:rsidRPr="002738CE">
              <w:rPr>
                <w:rFonts w:hint="eastAsia"/>
                <w:b/>
                <w:szCs w:val="21"/>
              </w:rPr>
              <w:t>22</w:t>
            </w:r>
            <w:r w:rsidRPr="002738CE">
              <w:rPr>
                <w:rFonts w:hint="eastAsia"/>
                <w:b/>
                <w:szCs w:val="21"/>
              </w:rPr>
              <w:t>日颁布、同年</w:t>
            </w:r>
            <w:r w:rsidRPr="002738CE">
              <w:rPr>
                <w:rFonts w:hint="eastAsia"/>
                <w:b/>
                <w:szCs w:val="21"/>
              </w:rPr>
              <w:t>2</w:t>
            </w:r>
            <w:r w:rsidRPr="002738CE">
              <w:rPr>
                <w:rFonts w:hint="eastAsia"/>
                <w:b/>
                <w:szCs w:val="21"/>
              </w:rPr>
              <w:t>月</w:t>
            </w:r>
            <w:r w:rsidRPr="002738CE">
              <w:rPr>
                <w:rFonts w:hint="eastAsia"/>
                <w:b/>
                <w:szCs w:val="21"/>
              </w:rPr>
              <w:t>1</w:t>
            </w:r>
            <w:r w:rsidRPr="002738CE">
              <w:rPr>
                <w:rFonts w:hint="eastAsia"/>
                <w:b/>
                <w:szCs w:val="21"/>
              </w:rPr>
              <w:t>日实施的《公开募集证券投资基金运作指引第</w:t>
            </w:r>
            <w:r w:rsidRPr="002738CE">
              <w:rPr>
                <w:rFonts w:hint="eastAsia"/>
                <w:b/>
                <w:szCs w:val="21"/>
              </w:rPr>
              <w:t>3</w:t>
            </w:r>
            <w:r w:rsidRPr="002738CE">
              <w:rPr>
                <w:rFonts w:hint="eastAsia"/>
                <w:b/>
                <w:szCs w:val="21"/>
              </w:rPr>
              <w:t>号——指数基金指引》及颁布机关对其不时做出的修订</w:t>
            </w:r>
          </w:p>
        </w:tc>
      </w:tr>
      <w:tr w:rsidR="002738CE" w:rsidTr="00B86A0D">
        <w:tc>
          <w:tcPr>
            <w:tcW w:w="1101" w:type="dxa"/>
            <w:vAlign w:val="center"/>
          </w:tcPr>
          <w:p w:rsidR="002738CE" w:rsidRPr="00B86A0D" w:rsidRDefault="002738CE" w:rsidP="00B86A0D">
            <w:pPr>
              <w:adjustRightInd w:val="0"/>
              <w:snapToGrid w:val="0"/>
              <w:ind w:firstLine="422"/>
              <w:jc w:val="center"/>
              <w:rPr>
                <w:b/>
                <w:szCs w:val="21"/>
              </w:rPr>
            </w:pPr>
            <w:r w:rsidRPr="00B86A0D">
              <w:rPr>
                <w:rFonts w:hint="eastAsia"/>
                <w:b/>
                <w:szCs w:val="21"/>
              </w:rPr>
              <w:t>基金的投资</w:t>
            </w:r>
          </w:p>
        </w:tc>
        <w:tc>
          <w:tcPr>
            <w:tcW w:w="3685" w:type="dxa"/>
          </w:tcPr>
          <w:p w:rsidR="002738CE" w:rsidRPr="002738CE" w:rsidRDefault="002738CE" w:rsidP="00F21EDD">
            <w:pPr>
              <w:adjustRightInd w:val="0"/>
              <w:snapToGrid w:val="0"/>
              <w:ind w:firstLine="420"/>
              <w:rPr>
                <w:szCs w:val="21"/>
              </w:rPr>
            </w:pPr>
            <w:r w:rsidRPr="002738CE">
              <w:rPr>
                <w:rFonts w:hint="eastAsia"/>
                <w:szCs w:val="21"/>
              </w:rPr>
              <w:t>五、标的指数与业绩比较基准</w:t>
            </w:r>
          </w:p>
          <w:p w:rsidR="002738CE" w:rsidRPr="002738CE" w:rsidRDefault="002738CE" w:rsidP="00F21EDD">
            <w:pPr>
              <w:adjustRightInd w:val="0"/>
              <w:snapToGrid w:val="0"/>
              <w:ind w:firstLine="422"/>
              <w:rPr>
                <w:b/>
                <w:strike/>
                <w:szCs w:val="21"/>
              </w:rPr>
            </w:pPr>
            <w:r w:rsidRPr="002738CE">
              <w:rPr>
                <w:rFonts w:hint="eastAsia"/>
                <w:b/>
                <w:strike/>
                <w:szCs w:val="21"/>
              </w:rPr>
              <w:t>未来若指数编制机构更改上述标的指数的名称、变更或停止上述标的指数的编制及发布或授权、或上述标的指数由其他指数替代、或由于指数编制方法等重大变更导致基金管理人认为上述标的指数不宜继续作为追踪标的，或证券市场有其他代表性更强、更适合投资的指数推出时，本基金管理人可以依据维护基金份额持有人合法权益的原则，经与基金托管人协商一致，在履行适当程序后变更本基金的标的指数和基金名称、调整业绩比较基准</w:t>
            </w:r>
          </w:p>
        </w:tc>
        <w:tc>
          <w:tcPr>
            <w:tcW w:w="3827" w:type="dxa"/>
          </w:tcPr>
          <w:p w:rsidR="002738CE" w:rsidRPr="002738CE" w:rsidRDefault="002738CE" w:rsidP="00F21EDD">
            <w:pPr>
              <w:adjustRightInd w:val="0"/>
              <w:snapToGrid w:val="0"/>
              <w:ind w:firstLine="420"/>
              <w:rPr>
                <w:szCs w:val="21"/>
              </w:rPr>
            </w:pPr>
            <w:r w:rsidRPr="002738CE">
              <w:rPr>
                <w:rFonts w:hint="eastAsia"/>
                <w:szCs w:val="21"/>
              </w:rPr>
              <w:t>五、标的指数与业绩比较基准</w:t>
            </w:r>
          </w:p>
          <w:p w:rsidR="002738CE" w:rsidRPr="002738CE" w:rsidRDefault="002738CE" w:rsidP="00F21EDD">
            <w:pPr>
              <w:adjustRightInd w:val="0"/>
              <w:snapToGrid w:val="0"/>
              <w:ind w:firstLine="422"/>
              <w:rPr>
                <w:b/>
                <w:szCs w:val="21"/>
              </w:rPr>
            </w:pPr>
            <w:r w:rsidRPr="002738CE">
              <w:rPr>
                <w:rFonts w:hint="eastAsia"/>
                <w:b/>
                <w:szCs w:val="21"/>
              </w:rPr>
              <w:t>未来若出现标的指数不符合《指数基金指引》要求（因成份券价格波动等指数编制方法变动之外的因素致使标的指数不符合要求及法律法规、监管机构另有规定的除外）、指数编制机构退出等情形，基金管理人应当自该情形发生之日起十个工作日向中国证监会报告并提出解决方案，如更换基金标的指数、转换运作方式，与其他基金合并、或者终止基金合同等，并在</w:t>
            </w:r>
            <w:r w:rsidRPr="002738CE">
              <w:rPr>
                <w:rFonts w:hint="eastAsia"/>
                <w:b/>
                <w:szCs w:val="21"/>
              </w:rPr>
              <w:t>6</w:t>
            </w:r>
            <w:r w:rsidR="001C0F4A">
              <w:rPr>
                <w:rFonts w:hint="eastAsia"/>
                <w:b/>
                <w:szCs w:val="21"/>
              </w:rPr>
              <w:t>个月内召集基金份额持有人大会进行表决</w:t>
            </w:r>
            <w:r w:rsidRPr="002738CE">
              <w:rPr>
                <w:rFonts w:hint="eastAsia"/>
                <w:b/>
                <w:szCs w:val="21"/>
              </w:rPr>
              <w:t>。</w:t>
            </w:r>
          </w:p>
          <w:p w:rsidR="002738CE" w:rsidRPr="002738CE" w:rsidRDefault="002738CE" w:rsidP="00F21EDD">
            <w:pPr>
              <w:adjustRightInd w:val="0"/>
              <w:snapToGrid w:val="0"/>
              <w:ind w:firstLine="422"/>
              <w:rPr>
                <w:szCs w:val="21"/>
              </w:rPr>
            </w:pPr>
            <w:r w:rsidRPr="002738CE">
              <w:rPr>
                <w:rFonts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2738CE" w:rsidRPr="002738CE" w:rsidRDefault="00CE5BDC" w:rsidP="00C47097">
      <w:pPr>
        <w:ind w:firstLineChars="0" w:firstLine="0"/>
      </w:pPr>
      <w:r w:rsidRPr="00CE5BDC">
        <w:rPr>
          <w:rFonts w:hint="eastAsia"/>
        </w:rPr>
        <w:t>注：以上更新修订内容仅为示例，不同基金的基金合同中相应条款表述及修订位置</w:t>
      </w:r>
      <w:r>
        <w:rPr>
          <w:rFonts w:hint="eastAsia"/>
        </w:rPr>
        <w:t>可能</w:t>
      </w:r>
      <w:r w:rsidRPr="00CE5BDC">
        <w:rPr>
          <w:rFonts w:hint="eastAsia"/>
        </w:rPr>
        <w:t>存在差异，具体请以相关基金披露的修订后法律文件内容为准。</w:t>
      </w:r>
    </w:p>
    <w:sectPr w:rsidR="002738CE" w:rsidRPr="002738CE" w:rsidSect="008E3B5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12A7CF" w15:done="0"/>
  <w15:commentEx w15:paraId="6B132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4AE6" w16cex:dateUtc="2021-03-03T09:50:00Z"/>
  <w16cex:commentExtensible w16cex:durableId="23EA4CFE" w16cex:dateUtc="2021-03-03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2A7CF" w16cid:durableId="23EA4AE6"/>
  <w16cid:commentId w16cid:paraId="6B1323E5" w16cid:durableId="23EA4CF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DD" w:rsidRDefault="00F21EDD" w:rsidP="00F822E3">
      <w:pPr>
        <w:spacing w:line="240" w:lineRule="auto"/>
        <w:ind w:firstLine="420"/>
      </w:pPr>
      <w:r>
        <w:separator/>
      </w:r>
    </w:p>
  </w:endnote>
  <w:endnote w:type="continuationSeparator" w:id="0">
    <w:p w:rsidR="00F21EDD" w:rsidRDefault="00F21EDD" w:rsidP="00F822E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D" w:rsidRDefault="00F21EDD" w:rsidP="00F822E3">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D" w:rsidRDefault="00F21EDD" w:rsidP="00F822E3">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D" w:rsidRDefault="00F21EDD" w:rsidP="00F822E3">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DD" w:rsidRDefault="00F21EDD" w:rsidP="00F822E3">
      <w:pPr>
        <w:spacing w:line="240" w:lineRule="auto"/>
        <w:ind w:firstLine="420"/>
      </w:pPr>
      <w:r>
        <w:separator/>
      </w:r>
    </w:p>
  </w:footnote>
  <w:footnote w:type="continuationSeparator" w:id="0">
    <w:p w:rsidR="00F21EDD" w:rsidRDefault="00F21EDD" w:rsidP="00F822E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D" w:rsidRDefault="00F21EDD" w:rsidP="00F822E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D" w:rsidRDefault="00F21EDD" w:rsidP="0005455A">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D" w:rsidRDefault="00F21EDD" w:rsidP="00F822E3">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none"/>
      <w:pStyle w:val="1"/>
      <w:suff w:val="nothing"/>
      <w:lvlText w:val=""/>
      <w:lvlJc w:val="left"/>
      <w:pPr>
        <w:ind w:left="0" w:firstLine="0"/>
      </w:pPr>
    </w:lvl>
    <w:lvl w:ilvl="1">
      <w:start w:val="1"/>
      <w:numFmt w:val="chineseCountingThousand"/>
      <w:pStyle w:val="2"/>
      <w:suff w:val="nothing"/>
      <w:lvlText w:val="%2、"/>
      <w:lvlJc w:val="left"/>
      <w:pPr>
        <w:ind w:left="0" w:firstLine="0"/>
      </w:pPr>
    </w:lvl>
    <w:lvl w:ilvl="2">
      <w:start w:val="1"/>
      <w:numFmt w:val="chineseCountingThousand"/>
      <w:pStyle w:val="3"/>
      <w:suff w:val="nothing"/>
      <w:lvlText w:val="（%3）"/>
      <w:lvlJc w:val="left"/>
      <w:pPr>
        <w:ind w:left="567" w:firstLine="0"/>
      </w:pPr>
    </w:lvl>
    <w:lvl w:ilvl="3">
      <w:start w:val="1"/>
      <w:numFmt w:val="decimal"/>
      <w:pStyle w:val="4"/>
      <w:suff w:val="nothing"/>
      <w:lvlText w:val="%4、"/>
      <w:lvlJc w:val="left"/>
      <w:pPr>
        <w:ind w:left="0" w:firstLine="0"/>
      </w:pPr>
    </w:lvl>
    <w:lvl w:ilvl="4">
      <w:start w:val="1"/>
      <w:numFmt w:val="decimal"/>
      <w:pStyle w:val="5"/>
      <w:suff w:val="nothing"/>
      <w:lvlText w:val="（%5）"/>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43CB0DB3"/>
    <w:multiLevelType w:val="hybridMultilevel"/>
    <w:tmpl w:val="78304038"/>
    <w:lvl w:ilvl="0" w:tplc="034611D0">
      <w:start w:val="1"/>
      <w:numFmt w:val="decimal"/>
      <w:suff w:val="nothing"/>
      <w:lvlText w:val="%1、"/>
      <w:lvlJc w:val="left"/>
      <w:pPr>
        <w:ind w:left="1320" w:hanging="420"/>
      </w:pPr>
      <w:rPr>
        <w:rFonts w:ascii="Times New Roman" w:hAnsi="Times New Roman"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D6B1B"/>
    <w:multiLevelType w:val="hybridMultilevel"/>
    <w:tmpl w:val="20A6C204"/>
    <w:lvl w:ilvl="0" w:tplc="290E5ABA">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antai-Z20210303">
    <w15:presenceInfo w15:providerId="None" w15:userId="Yuantai-Z202103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F9E"/>
    <w:rsid w:val="0004659C"/>
    <w:rsid w:val="0005455A"/>
    <w:rsid w:val="000C7CC7"/>
    <w:rsid w:val="000D2DBF"/>
    <w:rsid w:val="000E12BF"/>
    <w:rsid w:val="000F6912"/>
    <w:rsid w:val="00106019"/>
    <w:rsid w:val="00116E95"/>
    <w:rsid w:val="00122851"/>
    <w:rsid w:val="00150BC3"/>
    <w:rsid w:val="00155CA8"/>
    <w:rsid w:val="001A25E8"/>
    <w:rsid w:val="001B00C0"/>
    <w:rsid w:val="001B4788"/>
    <w:rsid w:val="001C0F4A"/>
    <w:rsid w:val="001C6513"/>
    <w:rsid w:val="001F2ADD"/>
    <w:rsid w:val="002012CC"/>
    <w:rsid w:val="002059B2"/>
    <w:rsid w:val="00234BA7"/>
    <w:rsid w:val="0025704B"/>
    <w:rsid w:val="00273168"/>
    <w:rsid w:val="002738CE"/>
    <w:rsid w:val="002859E7"/>
    <w:rsid w:val="00295A3D"/>
    <w:rsid w:val="00296EE6"/>
    <w:rsid w:val="002B39D2"/>
    <w:rsid w:val="002D08AC"/>
    <w:rsid w:val="002D0DD1"/>
    <w:rsid w:val="002D3221"/>
    <w:rsid w:val="002F57BB"/>
    <w:rsid w:val="00303169"/>
    <w:rsid w:val="003678EB"/>
    <w:rsid w:val="00391D78"/>
    <w:rsid w:val="003932C2"/>
    <w:rsid w:val="003C08B9"/>
    <w:rsid w:val="003C6535"/>
    <w:rsid w:val="003E289D"/>
    <w:rsid w:val="003E358D"/>
    <w:rsid w:val="003E7584"/>
    <w:rsid w:val="003F7433"/>
    <w:rsid w:val="00411E17"/>
    <w:rsid w:val="00423C30"/>
    <w:rsid w:val="00432BB8"/>
    <w:rsid w:val="004420F9"/>
    <w:rsid w:val="004510AA"/>
    <w:rsid w:val="004743A7"/>
    <w:rsid w:val="004A389B"/>
    <w:rsid w:val="004C0FC2"/>
    <w:rsid w:val="004D391C"/>
    <w:rsid w:val="004D6B90"/>
    <w:rsid w:val="004E361A"/>
    <w:rsid w:val="004F01AA"/>
    <w:rsid w:val="00534013"/>
    <w:rsid w:val="00555AC2"/>
    <w:rsid w:val="00561D5C"/>
    <w:rsid w:val="00563C4D"/>
    <w:rsid w:val="00563DBF"/>
    <w:rsid w:val="00567B33"/>
    <w:rsid w:val="00590670"/>
    <w:rsid w:val="005935EF"/>
    <w:rsid w:val="0059493F"/>
    <w:rsid w:val="005B35A8"/>
    <w:rsid w:val="005C5ECC"/>
    <w:rsid w:val="005C7704"/>
    <w:rsid w:val="005D268B"/>
    <w:rsid w:val="005E6690"/>
    <w:rsid w:val="005F7DE7"/>
    <w:rsid w:val="00621CF6"/>
    <w:rsid w:val="00622CB7"/>
    <w:rsid w:val="00636342"/>
    <w:rsid w:val="00643C3F"/>
    <w:rsid w:val="00652B5B"/>
    <w:rsid w:val="00667043"/>
    <w:rsid w:val="00691A10"/>
    <w:rsid w:val="006A34C2"/>
    <w:rsid w:val="006A67DD"/>
    <w:rsid w:val="006D3F07"/>
    <w:rsid w:val="006E31A9"/>
    <w:rsid w:val="007141B8"/>
    <w:rsid w:val="0072034A"/>
    <w:rsid w:val="00727CC3"/>
    <w:rsid w:val="00764B39"/>
    <w:rsid w:val="007923AA"/>
    <w:rsid w:val="0079761B"/>
    <w:rsid w:val="007A7F0C"/>
    <w:rsid w:val="007B0BFA"/>
    <w:rsid w:val="007E4C70"/>
    <w:rsid w:val="007E5C7D"/>
    <w:rsid w:val="0080338E"/>
    <w:rsid w:val="00834A90"/>
    <w:rsid w:val="00845C5E"/>
    <w:rsid w:val="00870008"/>
    <w:rsid w:val="008755DB"/>
    <w:rsid w:val="008D6DD7"/>
    <w:rsid w:val="008E3B55"/>
    <w:rsid w:val="0090006B"/>
    <w:rsid w:val="00920767"/>
    <w:rsid w:val="00922A76"/>
    <w:rsid w:val="009234B6"/>
    <w:rsid w:val="0092395B"/>
    <w:rsid w:val="00930871"/>
    <w:rsid w:val="00936167"/>
    <w:rsid w:val="00942728"/>
    <w:rsid w:val="00942B1D"/>
    <w:rsid w:val="009618EC"/>
    <w:rsid w:val="00964416"/>
    <w:rsid w:val="0097402B"/>
    <w:rsid w:val="0098628E"/>
    <w:rsid w:val="009A4F02"/>
    <w:rsid w:val="009F7098"/>
    <w:rsid w:val="00A03A09"/>
    <w:rsid w:val="00A24106"/>
    <w:rsid w:val="00A5448D"/>
    <w:rsid w:val="00A579FD"/>
    <w:rsid w:val="00A72270"/>
    <w:rsid w:val="00AB48E4"/>
    <w:rsid w:val="00AE174B"/>
    <w:rsid w:val="00AE2F9E"/>
    <w:rsid w:val="00AF29DB"/>
    <w:rsid w:val="00AF7530"/>
    <w:rsid w:val="00B0081B"/>
    <w:rsid w:val="00B0798C"/>
    <w:rsid w:val="00B86A0D"/>
    <w:rsid w:val="00BB652D"/>
    <w:rsid w:val="00BB73B5"/>
    <w:rsid w:val="00BF6BE7"/>
    <w:rsid w:val="00C16E1B"/>
    <w:rsid w:val="00C4317F"/>
    <w:rsid w:val="00C4644D"/>
    <w:rsid w:val="00C47097"/>
    <w:rsid w:val="00C47FA6"/>
    <w:rsid w:val="00C5524E"/>
    <w:rsid w:val="00C6251B"/>
    <w:rsid w:val="00C635CE"/>
    <w:rsid w:val="00CA26EF"/>
    <w:rsid w:val="00CB1126"/>
    <w:rsid w:val="00CB6767"/>
    <w:rsid w:val="00CE3045"/>
    <w:rsid w:val="00CE453D"/>
    <w:rsid w:val="00CE5BDC"/>
    <w:rsid w:val="00D02494"/>
    <w:rsid w:val="00D23101"/>
    <w:rsid w:val="00D362D6"/>
    <w:rsid w:val="00D41570"/>
    <w:rsid w:val="00D43B62"/>
    <w:rsid w:val="00D92FFE"/>
    <w:rsid w:val="00E65DE5"/>
    <w:rsid w:val="00E96004"/>
    <w:rsid w:val="00ED335A"/>
    <w:rsid w:val="00EE1BFA"/>
    <w:rsid w:val="00F10555"/>
    <w:rsid w:val="00F21EDD"/>
    <w:rsid w:val="00F51688"/>
    <w:rsid w:val="00F76063"/>
    <w:rsid w:val="00F822E3"/>
    <w:rsid w:val="00FB508F"/>
    <w:rsid w:val="00FB6347"/>
    <w:rsid w:val="00FC0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55"/>
  </w:style>
  <w:style w:type="paragraph" w:styleId="1">
    <w:name w:val="heading 1"/>
    <w:basedOn w:val="a"/>
    <w:next w:val="a"/>
    <w:link w:val="1Char"/>
    <w:qFormat/>
    <w:rsid w:val="00C47097"/>
    <w:pPr>
      <w:keepNext/>
      <w:keepLines/>
      <w:widowControl w:val="0"/>
      <w:numPr>
        <w:numId w:val="2"/>
      </w:numPr>
      <w:spacing w:before="340" w:after="330" w:line="576" w:lineRule="auto"/>
      <w:ind w:firstLineChars="0"/>
      <w:jc w:val="center"/>
      <w:outlineLvl w:val="0"/>
    </w:pPr>
    <w:rPr>
      <w:rFonts w:ascii="Times New Roman" w:eastAsia="宋体" w:hAnsi="Times New Roman" w:cs="Times New Roman"/>
      <w:b/>
      <w:kern w:val="44"/>
      <w:sz w:val="28"/>
      <w:szCs w:val="20"/>
    </w:rPr>
  </w:style>
  <w:style w:type="paragraph" w:styleId="2">
    <w:name w:val="heading 2"/>
    <w:basedOn w:val="a"/>
    <w:next w:val="a"/>
    <w:link w:val="2Char"/>
    <w:uiPriority w:val="9"/>
    <w:qFormat/>
    <w:rsid w:val="00C47097"/>
    <w:pPr>
      <w:keepNext/>
      <w:keepLines/>
      <w:widowControl w:val="0"/>
      <w:numPr>
        <w:ilvl w:val="1"/>
        <w:numId w:val="2"/>
      </w:numPr>
      <w:spacing w:before="200" w:after="200"/>
      <w:ind w:firstLineChars="0"/>
      <w:outlineLvl w:val="1"/>
    </w:pPr>
    <w:rPr>
      <w:rFonts w:ascii="Arial" w:eastAsia="宋体" w:hAnsi="Arial" w:cs="Times New Roman"/>
      <w:b/>
      <w:sz w:val="24"/>
      <w:szCs w:val="20"/>
    </w:rPr>
  </w:style>
  <w:style w:type="paragraph" w:styleId="3">
    <w:name w:val="heading 3"/>
    <w:basedOn w:val="a"/>
    <w:next w:val="a"/>
    <w:link w:val="3Char"/>
    <w:qFormat/>
    <w:rsid w:val="00C47097"/>
    <w:pPr>
      <w:widowControl w:val="0"/>
      <w:numPr>
        <w:ilvl w:val="2"/>
        <w:numId w:val="2"/>
      </w:numPr>
      <w:spacing w:before="120" w:after="120"/>
      <w:ind w:firstLineChars="0"/>
      <w:outlineLvl w:val="2"/>
    </w:pPr>
    <w:rPr>
      <w:rFonts w:ascii="宋体" w:eastAsia="宋体" w:hAnsi="Times New Roman" w:cs="Times New Roman"/>
      <w:b/>
      <w:szCs w:val="20"/>
    </w:rPr>
  </w:style>
  <w:style w:type="paragraph" w:styleId="4">
    <w:name w:val="heading 4"/>
    <w:basedOn w:val="a"/>
    <w:next w:val="a"/>
    <w:link w:val="4Char"/>
    <w:qFormat/>
    <w:rsid w:val="00C47097"/>
    <w:pPr>
      <w:keepNext/>
      <w:keepLines/>
      <w:widowControl w:val="0"/>
      <w:numPr>
        <w:ilvl w:val="3"/>
        <w:numId w:val="2"/>
      </w:numPr>
      <w:ind w:firstLineChars="0"/>
      <w:outlineLvl w:val="3"/>
    </w:pPr>
    <w:rPr>
      <w:rFonts w:ascii="Arial" w:eastAsia="宋体" w:hAnsi="Arial" w:cs="Times New Roman"/>
      <w:szCs w:val="20"/>
    </w:rPr>
  </w:style>
  <w:style w:type="paragraph" w:styleId="5">
    <w:name w:val="heading 5"/>
    <w:basedOn w:val="a"/>
    <w:next w:val="a"/>
    <w:link w:val="5Char"/>
    <w:qFormat/>
    <w:rsid w:val="00C47097"/>
    <w:pPr>
      <w:keepNext/>
      <w:keepLines/>
      <w:widowControl w:val="0"/>
      <w:numPr>
        <w:ilvl w:val="4"/>
        <w:numId w:val="2"/>
      </w:numPr>
      <w:adjustRightInd w:val="0"/>
      <w:snapToGrid w:val="0"/>
      <w:ind w:firstLineChars="0"/>
      <w:outlineLvl w:val="4"/>
    </w:pPr>
    <w:rPr>
      <w:rFonts w:ascii="Times New Roman" w:eastAsia="宋体" w:hAnsi="Times New Roman" w:cs="Times New Roman"/>
      <w:szCs w:val="20"/>
    </w:rPr>
  </w:style>
  <w:style w:type="paragraph" w:styleId="6">
    <w:name w:val="heading 6"/>
    <w:basedOn w:val="a"/>
    <w:next w:val="a"/>
    <w:link w:val="6Char"/>
    <w:qFormat/>
    <w:rsid w:val="00C47097"/>
    <w:pPr>
      <w:keepNext/>
      <w:keepLines/>
      <w:widowControl w:val="0"/>
      <w:numPr>
        <w:ilvl w:val="5"/>
        <w:numId w:val="2"/>
      </w:numPr>
      <w:spacing w:before="240" w:after="64" w:line="317" w:lineRule="auto"/>
      <w:ind w:firstLineChars="0"/>
      <w:outlineLvl w:val="5"/>
    </w:pPr>
    <w:rPr>
      <w:rFonts w:ascii="Arial" w:eastAsia="黑体" w:hAnsi="Arial" w:cs="Times New Roman"/>
      <w:b/>
      <w:sz w:val="24"/>
      <w:szCs w:val="20"/>
    </w:rPr>
  </w:style>
  <w:style w:type="paragraph" w:styleId="7">
    <w:name w:val="heading 7"/>
    <w:basedOn w:val="a"/>
    <w:next w:val="a"/>
    <w:link w:val="7Char"/>
    <w:qFormat/>
    <w:rsid w:val="00C47097"/>
    <w:pPr>
      <w:keepNext/>
      <w:keepLines/>
      <w:widowControl w:val="0"/>
      <w:numPr>
        <w:ilvl w:val="6"/>
        <w:numId w:val="2"/>
      </w:numPr>
      <w:spacing w:before="240" w:after="64" w:line="317" w:lineRule="auto"/>
      <w:ind w:firstLineChars="0"/>
      <w:outlineLvl w:val="6"/>
    </w:pPr>
    <w:rPr>
      <w:rFonts w:ascii="Times New Roman" w:eastAsia="宋体" w:hAnsi="Times New Roman" w:cs="Times New Roman"/>
      <w:b/>
      <w:sz w:val="24"/>
      <w:szCs w:val="20"/>
    </w:rPr>
  </w:style>
  <w:style w:type="paragraph" w:styleId="8">
    <w:name w:val="heading 8"/>
    <w:basedOn w:val="a"/>
    <w:next w:val="a"/>
    <w:link w:val="8Char"/>
    <w:qFormat/>
    <w:rsid w:val="00C47097"/>
    <w:pPr>
      <w:keepNext/>
      <w:keepLines/>
      <w:widowControl w:val="0"/>
      <w:numPr>
        <w:ilvl w:val="7"/>
        <w:numId w:val="2"/>
      </w:numPr>
      <w:spacing w:before="240" w:after="64" w:line="317" w:lineRule="auto"/>
      <w:ind w:firstLineChars="0"/>
      <w:outlineLvl w:val="7"/>
    </w:pPr>
    <w:rPr>
      <w:rFonts w:ascii="Arial" w:eastAsia="黑体" w:hAnsi="Arial" w:cs="Times New Roman"/>
      <w:sz w:val="24"/>
      <w:szCs w:val="20"/>
    </w:rPr>
  </w:style>
  <w:style w:type="paragraph" w:styleId="9">
    <w:name w:val="heading 9"/>
    <w:basedOn w:val="a"/>
    <w:next w:val="a"/>
    <w:link w:val="9Char"/>
    <w:qFormat/>
    <w:rsid w:val="00C47097"/>
    <w:pPr>
      <w:keepNext/>
      <w:keepLines/>
      <w:widowControl w:val="0"/>
      <w:numPr>
        <w:ilvl w:val="8"/>
        <w:numId w:val="2"/>
      </w:numPr>
      <w:spacing w:before="240" w:after="64" w:line="317" w:lineRule="auto"/>
      <w:ind w:firstLineChars="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7097"/>
    <w:rPr>
      <w:rFonts w:ascii="Times New Roman" w:eastAsia="宋体" w:hAnsi="Times New Roman" w:cs="Times New Roman"/>
      <w:b/>
      <w:kern w:val="44"/>
      <w:sz w:val="28"/>
      <w:szCs w:val="20"/>
    </w:rPr>
  </w:style>
  <w:style w:type="character" w:customStyle="1" w:styleId="2Char">
    <w:name w:val="标题 2 Char"/>
    <w:basedOn w:val="a0"/>
    <w:link w:val="2"/>
    <w:uiPriority w:val="9"/>
    <w:rsid w:val="00C47097"/>
    <w:rPr>
      <w:rFonts w:ascii="Arial" w:eastAsia="宋体" w:hAnsi="Arial" w:cs="Times New Roman"/>
      <w:b/>
      <w:sz w:val="24"/>
      <w:szCs w:val="20"/>
    </w:rPr>
  </w:style>
  <w:style w:type="character" w:customStyle="1" w:styleId="3Char">
    <w:name w:val="标题 3 Char"/>
    <w:basedOn w:val="a0"/>
    <w:link w:val="3"/>
    <w:rsid w:val="00C47097"/>
    <w:rPr>
      <w:rFonts w:ascii="宋体" w:eastAsia="宋体" w:hAnsi="Times New Roman" w:cs="Times New Roman"/>
      <w:b/>
      <w:szCs w:val="20"/>
    </w:rPr>
  </w:style>
  <w:style w:type="character" w:customStyle="1" w:styleId="4Char">
    <w:name w:val="标题 4 Char"/>
    <w:basedOn w:val="a0"/>
    <w:link w:val="4"/>
    <w:rsid w:val="00C47097"/>
    <w:rPr>
      <w:rFonts w:ascii="Arial" w:eastAsia="宋体" w:hAnsi="Arial" w:cs="Times New Roman"/>
      <w:szCs w:val="20"/>
    </w:rPr>
  </w:style>
  <w:style w:type="character" w:customStyle="1" w:styleId="5Char">
    <w:name w:val="标题 5 Char"/>
    <w:basedOn w:val="a0"/>
    <w:link w:val="5"/>
    <w:rsid w:val="00C47097"/>
    <w:rPr>
      <w:rFonts w:ascii="Times New Roman" w:eastAsia="宋体" w:hAnsi="Times New Roman" w:cs="Times New Roman"/>
      <w:szCs w:val="20"/>
    </w:rPr>
  </w:style>
  <w:style w:type="character" w:customStyle="1" w:styleId="6Char">
    <w:name w:val="标题 6 Char"/>
    <w:basedOn w:val="a0"/>
    <w:link w:val="6"/>
    <w:rsid w:val="00C47097"/>
    <w:rPr>
      <w:rFonts w:ascii="Arial" w:eastAsia="黑体" w:hAnsi="Arial" w:cs="Times New Roman"/>
      <w:b/>
      <w:sz w:val="24"/>
      <w:szCs w:val="20"/>
    </w:rPr>
  </w:style>
  <w:style w:type="character" w:customStyle="1" w:styleId="7Char">
    <w:name w:val="标题 7 Char"/>
    <w:basedOn w:val="a0"/>
    <w:link w:val="7"/>
    <w:rsid w:val="00C47097"/>
    <w:rPr>
      <w:rFonts w:ascii="Times New Roman" w:eastAsia="宋体" w:hAnsi="Times New Roman" w:cs="Times New Roman"/>
      <w:b/>
      <w:sz w:val="24"/>
      <w:szCs w:val="20"/>
    </w:rPr>
  </w:style>
  <w:style w:type="character" w:customStyle="1" w:styleId="8Char">
    <w:name w:val="标题 8 Char"/>
    <w:basedOn w:val="a0"/>
    <w:link w:val="8"/>
    <w:rsid w:val="00C47097"/>
    <w:rPr>
      <w:rFonts w:ascii="Arial" w:eastAsia="黑体" w:hAnsi="Arial" w:cs="Times New Roman"/>
      <w:sz w:val="24"/>
      <w:szCs w:val="20"/>
    </w:rPr>
  </w:style>
  <w:style w:type="character" w:customStyle="1" w:styleId="9Char">
    <w:name w:val="标题 9 Char"/>
    <w:basedOn w:val="a0"/>
    <w:link w:val="9"/>
    <w:rsid w:val="00C47097"/>
    <w:rPr>
      <w:rFonts w:ascii="Arial" w:eastAsia="黑体" w:hAnsi="Arial" w:cs="Times New Roman"/>
      <w:szCs w:val="20"/>
    </w:rPr>
  </w:style>
  <w:style w:type="character" w:styleId="a3">
    <w:name w:val="annotation reference"/>
    <w:basedOn w:val="a0"/>
    <w:uiPriority w:val="99"/>
    <w:unhideWhenUsed/>
    <w:rsid w:val="009F7098"/>
    <w:rPr>
      <w:sz w:val="21"/>
      <w:szCs w:val="21"/>
    </w:rPr>
  </w:style>
  <w:style w:type="paragraph" w:styleId="a4">
    <w:name w:val="annotation text"/>
    <w:basedOn w:val="a"/>
    <w:link w:val="Char"/>
    <w:uiPriority w:val="99"/>
    <w:unhideWhenUsed/>
    <w:rsid w:val="009F7098"/>
    <w:pPr>
      <w:jc w:val="left"/>
    </w:pPr>
  </w:style>
  <w:style w:type="character" w:customStyle="1" w:styleId="Char">
    <w:name w:val="批注文字 Char"/>
    <w:basedOn w:val="a0"/>
    <w:link w:val="a4"/>
    <w:uiPriority w:val="99"/>
    <w:rsid w:val="009F7098"/>
  </w:style>
  <w:style w:type="paragraph" w:styleId="a5">
    <w:name w:val="annotation subject"/>
    <w:basedOn w:val="a4"/>
    <w:next w:val="a4"/>
    <w:link w:val="Char0"/>
    <w:uiPriority w:val="99"/>
    <w:semiHidden/>
    <w:unhideWhenUsed/>
    <w:rsid w:val="009F7098"/>
    <w:rPr>
      <w:b/>
      <w:bCs/>
    </w:rPr>
  </w:style>
  <w:style w:type="character" w:customStyle="1" w:styleId="Char0">
    <w:name w:val="批注主题 Char"/>
    <w:basedOn w:val="Char"/>
    <w:link w:val="a5"/>
    <w:uiPriority w:val="99"/>
    <w:semiHidden/>
    <w:rsid w:val="009F7098"/>
    <w:rPr>
      <w:b/>
      <w:bCs/>
    </w:rPr>
  </w:style>
  <w:style w:type="paragraph" w:styleId="a6">
    <w:name w:val="Balloon Text"/>
    <w:basedOn w:val="a"/>
    <w:link w:val="Char1"/>
    <w:uiPriority w:val="99"/>
    <w:semiHidden/>
    <w:unhideWhenUsed/>
    <w:rsid w:val="009F7098"/>
    <w:pPr>
      <w:spacing w:line="240" w:lineRule="auto"/>
    </w:pPr>
    <w:rPr>
      <w:sz w:val="18"/>
      <w:szCs w:val="18"/>
    </w:rPr>
  </w:style>
  <w:style w:type="character" w:customStyle="1" w:styleId="Char1">
    <w:name w:val="批注框文本 Char"/>
    <w:basedOn w:val="a0"/>
    <w:link w:val="a6"/>
    <w:uiPriority w:val="99"/>
    <w:semiHidden/>
    <w:rsid w:val="009F7098"/>
    <w:rPr>
      <w:sz w:val="18"/>
      <w:szCs w:val="18"/>
    </w:rPr>
  </w:style>
  <w:style w:type="paragraph" w:styleId="a7">
    <w:name w:val="header"/>
    <w:basedOn w:val="a"/>
    <w:link w:val="Char2"/>
    <w:uiPriority w:val="99"/>
    <w:unhideWhenUsed/>
    <w:rsid w:val="00F822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F822E3"/>
    <w:rPr>
      <w:sz w:val="18"/>
      <w:szCs w:val="18"/>
    </w:rPr>
  </w:style>
  <w:style w:type="paragraph" w:styleId="a8">
    <w:name w:val="footer"/>
    <w:basedOn w:val="a"/>
    <w:link w:val="Char3"/>
    <w:uiPriority w:val="99"/>
    <w:unhideWhenUsed/>
    <w:rsid w:val="00F822E3"/>
    <w:pPr>
      <w:tabs>
        <w:tab w:val="center" w:pos="4153"/>
        <w:tab w:val="right" w:pos="8306"/>
      </w:tabs>
      <w:snapToGrid w:val="0"/>
      <w:spacing w:line="240" w:lineRule="auto"/>
      <w:jc w:val="left"/>
    </w:pPr>
    <w:rPr>
      <w:sz w:val="18"/>
      <w:szCs w:val="18"/>
    </w:rPr>
  </w:style>
  <w:style w:type="character" w:customStyle="1" w:styleId="Char3">
    <w:name w:val="页脚 Char"/>
    <w:basedOn w:val="a0"/>
    <w:link w:val="a8"/>
    <w:uiPriority w:val="99"/>
    <w:rsid w:val="00F822E3"/>
    <w:rPr>
      <w:sz w:val="18"/>
      <w:szCs w:val="18"/>
    </w:rPr>
  </w:style>
  <w:style w:type="paragraph" w:styleId="a9">
    <w:name w:val="List Paragraph"/>
    <w:basedOn w:val="a"/>
    <w:uiPriority w:val="34"/>
    <w:qFormat/>
    <w:rsid w:val="00150BC3"/>
    <w:pPr>
      <w:ind w:firstLine="420"/>
    </w:pPr>
  </w:style>
  <w:style w:type="table" w:styleId="aa">
    <w:name w:val="Table Grid"/>
    <w:basedOn w:val="a1"/>
    <w:uiPriority w:val="39"/>
    <w:rsid w:val="00667043"/>
    <w:pPr>
      <w:spacing w:line="240" w:lineRule="auto"/>
      <w:ind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47097"/>
    <w:pPr>
      <w:keepNext/>
      <w:keepLines/>
      <w:widowControl w:val="0"/>
      <w:numPr>
        <w:numId w:val="2"/>
      </w:numPr>
      <w:spacing w:before="340" w:after="330" w:line="576" w:lineRule="auto"/>
      <w:ind w:firstLineChars="0"/>
      <w:jc w:val="center"/>
      <w:outlineLvl w:val="0"/>
    </w:pPr>
    <w:rPr>
      <w:rFonts w:ascii="Times New Roman" w:eastAsia="宋体" w:hAnsi="Times New Roman" w:cs="Times New Roman"/>
      <w:b/>
      <w:kern w:val="44"/>
      <w:sz w:val="28"/>
      <w:szCs w:val="20"/>
    </w:rPr>
  </w:style>
  <w:style w:type="paragraph" w:styleId="2">
    <w:name w:val="heading 2"/>
    <w:basedOn w:val="a"/>
    <w:next w:val="a"/>
    <w:link w:val="2Char"/>
    <w:uiPriority w:val="9"/>
    <w:qFormat/>
    <w:rsid w:val="00C47097"/>
    <w:pPr>
      <w:keepNext/>
      <w:keepLines/>
      <w:widowControl w:val="0"/>
      <w:numPr>
        <w:ilvl w:val="1"/>
        <w:numId w:val="2"/>
      </w:numPr>
      <w:spacing w:before="200" w:after="200"/>
      <w:ind w:firstLineChars="0"/>
      <w:outlineLvl w:val="1"/>
    </w:pPr>
    <w:rPr>
      <w:rFonts w:ascii="Arial" w:eastAsia="宋体" w:hAnsi="Arial" w:cs="Times New Roman"/>
      <w:b/>
      <w:sz w:val="24"/>
      <w:szCs w:val="20"/>
    </w:rPr>
  </w:style>
  <w:style w:type="paragraph" w:styleId="3">
    <w:name w:val="heading 3"/>
    <w:basedOn w:val="a"/>
    <w:next w:val="a"/>
    <w:link w:val="3Char"/>
    <w:qFormat/>
    <w:rsid w:val="00C47097"/>
    <w:pPr>
      <w:widowControl w:val="0"/>
      <w:numPr>
        <w:ilvl w:val="2"/>
        <w:numId w:val="2"/>
      </w:numPr>
      <w:spacing w:before="120" w:after="120"/>
      <w:ind w:firstLineChars="0"/>
      <w:outlineLvl w:val="2"/>
    </w:pPr>
    <w:rPr>
      <w:rFonts w:ascii="宋体" w:eastAsia="宋体" w:hAnsi="Times New Roman" w:cs="Times New Roman"/>
      <w:b/>
      <w:szCs w:val="20"/>
    </w:rPr>
  </w:style>
  <w:style w:type="paragraph" w:styleId="4">
    <w:name w:val="heading 4"/>
    <w:basedOn w:val="a"/>
    <w:next w:val="a"/>
    <w:link w:val="4Char"/>
    <w:qFormat/>
    <w:rsid w:val="00C47097"/>
    <w:pPr>
      <w:keepNext/>
      <w:keepLines/>
      <w:widowControl w:val="0"/>
      <w:numPr>
        <w:ilvl w:val="3"/>
        <w:numId w:val="2"/>
      </w:numPr>
      <w:ind w:firstLineChars="0"/>
      <w:outlineLvl w:val="3"/>
    </w:pPr>
    <w:rPr>
      <w:rFonts w:ascii="Arial" w:eastAsia="宋体" w:hAnsi="Arial" w:cs="Times New Roman"/>
      <w:szCs w:val="20"/>
    </w:rPr>
  </w:style>
  <w:style w:type="paragraph" w:styleId="5">
    <w:name w:val="heading 5"/>
    <w:basedOn w:val="a"/>
    <w:next w:val="a"/>
    <w:link w:val="5Char"/>
    <w:qFormat/>
    <w:rsid w:val="00C47097"/>
    <w:pPr>
      <w:keepNext/>
      <w:keepLines/>
      <w:widowControl w:val="0"/>
      <w:numPr>
        <w:ilvl w:val="4"/>
        <w:numId w:val="2"/>
      </w:numPr>
      <w:adjustRightInd w:val="0"/>
      <w:snapToGrid w:val="0"/>
      <w:ind w:firstLineChars="0"/>
      <w:outlineLvl w:val="4"/>
    </w:pPr>
    <w:rPr>
      <w:rFonts w:ascii="Times New Roman" w:eastAsia="宋体" w:hAnsi="Times New Roman" w:cs="Times New Roman"/>
      <w:szCs w:val="20"/>
    </w:rPr>
  </w:style>
  <w:style w:type="paragraph" w:styleId="6">
    <w:name w:val="heading 6"/>
    <w:basedOn w:val="a"/>
    <w:next w:val="a"/>
    <w:link w:val="6Char"/>
    <w:qFormat/>
    <w:rsid w:val="00C47097"/>
    <w:pPr>
      <w:keepNext/>
      <w:keepLines/>
      <w:widowControl w:val="0"/>
      <w:numPr>
        <w:ilvl w:val="5"/>
        <w:numId w:val="2"/>
      </w:numPr>
      <w:spacing w:before="240" w:after="64" w:line="317" w:lineRule="auto"/>
      <w:ind w:firstLineChars="0"/>
      <w:outlineLvl w:val="5"/>
    </w:pPr>
    <w:rPr>
      <w:rFonts w:ascii="Arial" w:eastAsia="黑体" w:hAnsi="Arial" w:cs="Times New Roman"/>
      <w:b/>
      <w:sz w:val="24"/>
      <w:szCs w:val="20"/>
    </w:rPr>
  </w:style>
  <w:style w:type="paragraph" w:styleId="7">
    <w:name w:val="heading 7"/>
    <w:basedOn w:val="a"/>
    <w:next w:val="a"/>
    <w:link w:val="7Char"/>
    <w:qFormat/>
    <w:rsid w:val="00C47097"/>
    <w:pPr>
      <w:keepNext/>
      <w:keepLines/>
      <w:widowControl w:val="0"/>
      <w:numPr>
        <w:ilvl w:val="6"/>
        <w:numId w:val="2"/>
      </w:numPr>
      <w:spacing w:before="240" w:after="64" w:line="317" w:lineRule="auto"/>
      <w:ind w:firstLineChars="0"/>
      <w:outlineLvl w:val="6"/>
    </w:pPr>
    <w:rPr>
      <w:rFonts w:ascii="Times New Roman" w:eastAsia="宋体" w:hAnsi="Times New Roman" w:cs="Times New Roman"/>
      <w:b/>
      <w:sz w:val="24"/>
      <w:szCs w:val="20"/>
    </w:rPr>
  </w:style>
  <w:style w:type="paragraph" w:styleId="8">
    <w:name w:val="heading 8"/>
    <w:basedOn w:val="a"/>
    <w:next w:val="a"/>
    <w:link w:val="8Char"/>
    <w:qFormat/>
    <w:rsid w:val="00C47097"/>
    <w:pPr>
      <w:keepNext/>
      <w:keepLines/>
      <w:widowControl w:val="0"/>
      <w:numPr>
        <w:ilvl w:val="7"/>
        <w:numId w:val="2"/>
      </w:numPr>
      <w:spacing w:before="240" w:after="64" w:line="317" w:lineRule="auto"/>
      <w:ind w:firstLineChars="0"/>
      <w:outlineLvl w:val="7"/>
    </w:pPr>
    <w:rPr>
      <w:rFonts w:ascii="Arial" w:eastAsia="黑体" w:hAnsi="Arial" w:cs="Times New Roman"/>
      <w:sz w:val="24"/>
      <w:szCs w:val="20"/>
    </w:rPr>
  </w:style>
  <w:style w:type="paragraph" w:styleId="9">
    <w:name w:val="heading 9"/>
    <w:basedOn w:val="a"/>
    <w:next w:val="a"/>
    <w:link w:val="9Char"/>
    <w:qFormat/>
    <w:rsid w:val="00C47097"/>
    <w:pPr>
      <w:keepNext/>
      <w:keepLines/>
      <w:widowControl w:val="0"/>
      <w:numPr>
        <w:ilvl w:val="8"/>
        <w:numId w:val="2"/>
      </w:numPr>
      <w:spacing w:before="240" w:after="64" w:line="317" w:lineRule="auto"/>
      <w:ind w:firstLineChars="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7097"/>
    <w:rPr>
      <w:rFonts w:ascii="Times New Roman" w:eastAsia="宋体" w:hAnsi="Times New Roman" w:cs="Times New Roman"/>
      <w:b/>
      <w:kern w:val="44"/>
      <w:sz w:val="28"/>
      <w:szCs w:val="20"/>
    </w:rPr>
  </w:style>
  <w:style w:type="character" w:customStyle="1" w:styleId="2Char">
    <w:name w:val="标题 2 Char"/>
    <w:basedOn w:val="a0"/>
    <w:link w:val="2"/>
    <w:uiPriority w:val="9"/>
    <w:rsid w:val="00C47097"/>
    <w:rPr>
      <w:rFonts w:ascii="Arial" w:eastAsia="宋体" w:hAnsi="Arial" w:cs="Times New Roman"/>
      <w:b/>
      <w:sz w:val="24"/>
      <w:szCs w:val="20"/>
    </w:rPr>
  </w:style>
  <w:style w:type="character" w:customStyle="1" w:styleId="3Char">
    <w:name w:val="标题 3 Char"/>
    <w:basedOn w:val="a0"/>
    <w:link w:val="3"/>
    <w:rsid w:val="00C47097"/>
    <w:rPr>
      <w:rFonts w:ascii="宋体" w:eastAsia="宋体" w:hAnsi="Times New Roman" w:cs="Times New Roman"/>
      <w:b/>
      <w:szCs w:val="20"/>
    </w:rPr>
  </w:style>
  <w:style w:type="character" w:customStyle="1" w:styleId="4Char">
    <w:name w:val="标题 4 Char"/>
    <w:basedOn w:val="a0"/>
    <w:link w:val="4"/>
    <w:rsid w:val="00C47097"/>
    <w:rPr>
      <w:rFonts w:ascii="Arial" w:eastAsia="宋体" w:hAnsi="Arial" w:cs="Times New Roman"/>
      <w:szCs w:val="20"/>
    </w:rPr>
  </w:style>
  <w:style w:type="character" w:customStyle="1" w:styleId="5Char">
    <w:name w:val="标题 5 Char"/>
    <w:basedOn w:val="a0"/>
    <w:link w:val="5"/>
    <w:rsid w:val="00C47097"/>
    <w:rPr>
      <w:rFonts w:ascii="Times New Roman" w:eastAsia="宋体" w:hAnsi="Times New Roman" w:cs="Times New Roman"/>
      <w:szCs w:val="20"/>
    </w:rPr>
  </w:style>
  <w:style w:type="character" w:customStyle="1" w:styleId="6Char">
    <w:name w:val="标题 6 Char"/>
    <w:basedOn w:val="a0"/>
    <w:link w:val="6"/>
    <w:rsid w:val="00C47097"/>
    <w:rPr>
      <w:rFonts w:ascii="Arial" w:eastAsia="黑体" w:hAnsi="Arial" w:cs="Times New Roman"/>
      <w:b/>
      <w:sz w:val="24"/>
      <w:szCs w:val="20"/>
    </w:rPr>
  </w:style>
  <w:style w:type="character" w:customStyle="1" w:styleId="7Char">
    <w:name w:val="标题 7 Char"/>
    <w:basedOn w:val="a0"/>
    <w:link w:val="7"/>
    <w:rsid w:val="00C47097"/>
    <w:rPr>
      <w:rFonts w:ascii="Times New Roman" w:eastAsia="宋体" w:hAnsi="Times New Roman" w:cs="Times New Roman"/>
      <w:b/>
      <w:sz w:val="24"/>
      <w:szCs w:val="20"/>
    </w:rPr>
  </w:style>
  <w:style w:type="character" w:customStyle="1" w:styleId="8Char">
    <w:name w:val="标题 8 Char"/>
    <w:basedOn w:val="a0"/>
    <w:link w:val="8"/>
    <w:rsid w:val="00C47097"/>
    <w:rPr>
      <w:rFonts w:ascii="Arial" w:eastAsia="黑体" w:hAnsi="Arial" w:cs="Times New Roman"/>
      <w:sz w:val="24"/>
      <w:szCs w:val="20"/>
    </w:rPr>
  </w:style>
  <w:style w:type="character" w:customStyle="1" w:styleId="9Char">
    <w:name w:val="标题 9 Char"/>
    <w:basedOn w:val="a0"/>
    <w:link w:val="9"/>
    <w:rsid w:val="00C47097"/>
    <w:rPr>
      <w:rFonts w:ascii="Arial" w:eastAsia="黑体" w:hAnsi="Arial" w:cs="Times New Roman"/>
      <w:szCs w:val="20"/>
    </w:rPr>
  </w:style>
  <w:style w:type="character" w:styleId="a3">
    <w:name w:val="annotation reference"/>
    <w:basedOn w:val="a0"/>
    <w:uiPriority w:val="99"/>
    <w:unhideWhenUsed/>
    <w:rsid w:val="009F7098"/>
    <w:rPr>
      <w:sz w:val="21"/>
      <w:szCs w:val="21"/>
    </w:rPr>
  </w:style>
  <w:style w:type="paragraph" w:styleId="a4">
    <w:name w:val="annotation text"/>
    <w:basedOn w:val="a"/>
    <w:link w:val="Char"/>
    <w:uiPriority w:val="99"/>
    <w:unhideWhenUsed/>
    <w:rsid w:val="009F7098"/>
    <w:pPr>
      <w:jc w:val="left"/>
    </w:pPr>
  </w:style>
  <w:style w:type="character" w:customStyle="1" w:styleId="Char">
    <w:name w:val="批注文字 Char"/>
    <w:basedOn w:val="a0"/>
    <w:link w:val="a4"/>
    <w:uiPriority w:val="99"/>
    <w:rsid w:val="009F7098"/>
  </w:style>
  <w:style w:type="paragraph" w:styleId="a5">
    <w:name w:val="annotation subject"/>
    <w:basedOn w:val="a4"/>
    <w:next w:val="a4"/>
    <w:link w:val="Char0"/>
    <w:uiPriority w:val="99"/>
    <w:semiHidden/>
    <w:unhideWhenUsed/>
    <w:rsid w:val="009F7098"/>
    <w:rPr>
      <w:b/>
      <w:bCs/>
    </w:rPr>
  </w:style>
  <w:style w:type="character" w:customStyle="1" w:styleId="Char0">
    <w:name w:val="批注主题 Char"/>
    <w:basedOn w:val="Char"/>
    <w:link w:val="a5"/>
    <w:uiPriority w:val="99"/>
    <w:semiHidden/>
    <w:rsid w:val="009F7098"/>
    <w:rPr>
      <w:b/>
      <w:bCs/>
    </w:rPr>
  </w:style>
  <w:style w:type="paragraph" w:styleId="a6">
    <w:name w:val="Balloon Text"/>
    <w:basedOn w:val="a"/>
    <w:link w:val="Char1"/>
    <w:uiPriority w:val="99"/>
    <w:semiHidden/>
    <w:unhideWhenUsed/>
    <w:rsid w:val="009F7098"/>
    <w:pPr>
      <w:spacing w:line="240" w:lineRule="auto"/>
    </w:pPr>
    <w:rPr>
      <w:sz w:val="18"/>
      <w:szCs w:val="18"/>
    </w:rPr>
  </w:style>
  <w:style w:type="character" w:customStyle="1" w:styleId="Char1">
    <w:name w:val="批注框文本 Char"/>
    <w:basedOn w:val="a0"/>
    <w:link w:val="a6"/>
    <w:uiPriority w:val="99"/>
    <w:semiHidden/>
    <w:rsid w:val="009F7098"/>
    <w:rPr>
      <w:sz w:val="18"/>
      <w:szCs w:val="18"/>
    </w:rPr>
  </w:style>
  <w:style w:type="paragraph" w:styleId="a7">
    <w:name w:val="header"/>
    <w:basedOn w:val="a"/>
    <w:link w:val="Char2"/>
    <w:uiPriority w:val="99"/>
    <w:unhideWhenUsed/>
    <w:rsid w:val="00F822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F822E3"/>
    <w:rPr>
      <w:sz w:val="18"/>
      <w:szCs w:val="18"/>
    </w:rPr>
  </w:style>
  <w:style w:type="paragraph" w:styleId="a8">
    <w:name w:val="footer"/>
    <w:basedOn w:val="a"/>
    <w:link w:val="Char3"/>
    <w:uiPriority w:val="99"/>
    <w:unhideWhenUsed/>
    <w:rsid w:val="00F822E3"/>
    <w:pPr>
      <w:tabs>
        <w:tab w:val="center" w:pos="4153"/>
        <w:tab w:val="right" w:pos="8306"/>
      </w:tabs>
      <w:snapToGrid w:val="0"/>
      <w:spacing w:line="240" w:lineRule="auto"/>
      <w:jc w:val="left"/>
    </w:pPr>
    <w:rPr>
      <w:sz w:val="18"/>
      <w:szCs w:val="18"/>
    </w:rPr>
  </w:style>
  <w:style w:type="character" w:customStyle="1" w:styleId="Char3">
    <w:name w:val="页脚 Char"/>
    <w:basedOn w:val="a0"/>
    <w:link w:val="a8"/>
    <w:uiPriority w:val="99"/>
    <w:rsid w:val="00F822E3"/>
    <w:rPr>
      <w:sz w:val="18"/>
      <w:szCs w:val="18"/>
    </w:rPr>
  </w:style>
  <w:style w:type="paragraph" w:styleId="a9">
    <w:name w:val="List Paragraph"/>
    <w:basedOn w:val="a"/>
    <w:uiPriority w:val="34"/>
    <w:qFormat/>
    <w:rsid w:val="00150BC3"/>
    <w:pPr>
      <w:ind w:firstLine="420"/>
    </w:pPr>
  </w:style>
  <w:style w:type="table" w:styleId="aa">
    <w:name w:val="Table Grid"/>
    <w:basedOn w:val="a1"/>
    <w:uiPriority w:val="39"/>
    <w:rsid w:val="00667043"/>
    <w:pPr>
      <w:spacing w:line="240" w:lineRule="auto"/>
      <w:ind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1400754">
      <w:bodyDiv w:val="1"/>
      <w:marLeft w:val="0"/>
      <w:marRight w:val="0"/>
      <w:marTop w:val="0"/>
      <w:marBottom w:val="0"/>
      <w:divBdr>
        <w:top w:val="none" w:sz="0" w:space="0" w:color="auto"/>
        <w:left w:val="none" w:sz="0" w:space="0" w:color="auto"/>
        <w:bottom w:val="none" w:sz="0" w:space="0" w:color="auto"/>
        <w:right w:val="none" w:sz="0" w:space="0" w:color="auto"/>
      </w:divBdr>
    </w:div>
    <w:div w:id="1389764129">
      <w:bodyDiv w:val="1"/>
      <w:marLeft w:val="0"/>
      <w:marRight w:val="0"/>
      <w:marTop w:val="0"/>
      <w:marBottom w:val="0"/>
      <w:divBdr>
        <w:top w:val="none" w:sz="0" w:space="0" w:color="auto"/>
        <w:left w:val="none" w:sz="0" w:space="0" w:color="auto"/>
        <w:bottom w:val="none" w:sz="0" w:space="0" w:color="auto"/>
        <w:right w:val="none" w:sz="0" w:space="0" w:color="auto"/>
      </w:divBdr>
    </w:div>
    <w:div w:id="1671055884">
      <w:bodyDiv w:val="1"/>
      <w:marLeft w:val="0"/>
      <w:marRight w:val="0"/>
      <w:marTop w:val="0"/>
      <w:marBottom w:val="0"/>
      <w:divBdr>
        <w:top w:val="none" w:sz="0" w:space="0" w:color="auto"/>
        <w:left w:val="none" w:sz="0" w:space="0" w:color="auto"/>
        <w:bottom w:val="none" w:sz="0" w:space="0" w:color="auto"/>
        <w:right w:val="none" w:sz="0" w:space="0" w:color="auto"/>
      </w:divBdr>
      <w:divsChild>
        <w:div w:id="107224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99A9-DBA8-406C-809A-E4C7E8F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2788</Characters>
  <Application>Microsoft Office Word</Application>
  <DocSecurity>4</DocSecurity>
  <Lines>23</Lines>
  <Paragraphs>6</Paragraphs>
  <ScaleCrop>false</ScaleCrop>
  <Company>King &amp; Wood Mallesons</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欧阳亮</dc:creator>
  <cp:lastModifiedBy>ZHONGM</cp:lastModifiedBy>
  <cp:revision>2</cp:revision>
  <cp:lastPrinted>2016-09-29T03:10:00Z</cp:lastPrinted>
  <dcterms:created xsi:type="dcterms:W3CDTF">2021-03-29T16:02:00Z</dcterms:created>
  <dcterms:modified xsi:type="dcterms:W3CDTF">2021-03-29T16:02:00Z</dcterms:modified>
</cp:coreProperties>
</file>