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73" w:rsidRDefault="00001D34" w:rsidP="00A33F5F">
      <w:pPr>
        <w:autoSpaceDE w:val="0"/>
        <w:autoSpaceDN w:val="0"/>
        <w:adjustRightInd w:val="0"/>
        <w:spacing w:line="360" w:lineRule="auto"/>
        <w:ind w:firstLineChars="200" w:firstLine="482"/>
        <w:jc w:val="center"/>
        <w:rPr>
          <w:rFonts w:ascii="Times New Roman" w:hAnsi="宋体"/>
          <w:b/>
          <w:color w:val="000000"/>
          <w:kern w:val="0"/>
          <w:sz w:val="24"/>
          <w:szCs w:val="24"/>
        </w:rPr>
      </w:pPr>
      <w:bookmarkStart w:id="0" w:name="_GoBack"/>
      <w:r w:rsidRPr="00CE26C1">
        <w:rPr>
          <w:rFonts w:ascii="Times New Roman" w:hAnsi="宋体" w:hint="eastAsia"/>
          <w:b/>
          <w:color w:val="000000"/>
          <w:kern w:val="0"/>
          <w:sz w:val="24"/>
          <w:szCs w:val="24"/>
        </w:rPr>
        <w:t>华夏</w:t>
      </w:r>
      <w:r w:rsidRPr="00CE26C1">
        <w:rPr>
          <w:rFonts w:ascii="Times New Roman" w:hAnsi="宋体"/>
          <w:b/>
          <w:color w:val="000000"/>
          <w:kern w:val="0"/>
          <w:sz w:val="24"/>
          <w:szCs w:val="24"/>
        </w:rPr>
        <w:t>基金管理有限公司</w:t>
      </w:r>
    </w:p>
    <w:p w:rsidR="00C11A73" w:rsidRDefault="00331C90" w:rsidP="00A33F5F">
      <w:pPr>
        <w:autoSpaceDE w:val="0"/>
        <w:autoSpaceDN w:val="0"/>
        <w:adjustRightInd w:val="0"/>
        <w:spacing w:line="360" w:lineRule="auto"/>
        <w:ind w:firstLineChars="200" w:firstLine="482"/>
        <w:jc w:val="center"/>
        <w:rPr>
          <w:rFonts w:ascii="Times New Roman" w:hAnsi="宋体"/>
          <w:b/>
          <w:color w:val="000000"/>
          <w:kern w:val="0"/>
          <w:sz w:val="24"/>
          <w:szCs w:val="24"/>
        </w:rPr>
      </w:pPr>
      <w:r w:rsidRPr="00CE26C1">
        <w:rPr>
          <w:rFonts w:ascii="Times New Roman" w:hAnsi="宋体" w:hint="eastAsia"/>
          <w:b/>
          <w:color w:val="000000"/>
          <w:kern w:val="0"/>
          <w:sz w:val="24"/>
          <w:szCs w:val="24"/>
        </w:rPr>
        <w:t>关于</w:t>
      </w:r>
      <w:r w:rsidR="00C4740A">
        <w:rPr>
          <w:rFonts w:ascii="Times New Roman" w:hAnsi="宋体" w:hint="eastAsia"/>
          <w:b/>
          <w:color w:val="000000"/>
          <w:kern w:val="0"/>
          <w:sz w:val="24"/>
          <w:szCs w:val="24"/>
        </w:rPr>
        <w:t>根据</w:t>
      </w:r>
      <w:r w:rsidR="00B20A47">
        <w:rPr>
          <w:rFonts w:ascii="Times New Roman" w:hAnsi="宋体" w:hint="eastAsia"/>
          <w:b/>
          <w:color w:val="000000"/>
          <w:kern w:val="0"/>
          <w:sz w:val="24"/>
          <w:szCs w:val="24"/>
        </w:rPr>
        <w:t>《</w:t>
      </w:r>
      <w:r w:rsidR="00B20A47" w:rsidRPr="00B20A47">
        <w:rPr>
          <w:rFonts w:ascii="Times New Roman" w:hAnsi="宋体" w:hint="eastAsia"/>
          <w:b/>
          <w:color w:val="000000"/>
          <w:kern w:val="0"/>
          <w:sz w:val="24"/>
          <w:szCs w:val="24"/>
        </w:rPr>
        <w:t>公开募集证券投资基金运作指引第</w:t>
      </w:r>
      <w:r w:rsidR="00B20A47" w:rsidRPr="00B20A47">
        <w:rPr>
          <w:rFonts w:ascii="Times New Roman" w:hAnsi="宋体" w:hint="eastAsia"/>
          <w:b/>
          <w:color w:val="000000"/>
          <w:kern w:val="0"/>
          <w:sz w:val="24"/>
          <w:szCs w:val="24"/>
        </w:rPr>
        <w:t>3</w:t>
      </w:r>
      <w:r w:rsidR="00B20A47" w:rsidRPr="00B20A47">
        <w:rPr>
          <w:rFonts w:ascii="Times New Roman" w:hAnsi="宋体" w:hint="eastAsia"/>
          <w:b/>
          <w:color w:val="000000"/>
          <w:kern w:val="0"/>
          <w:sz w:val="24"/>
          <w:szCs w:val="24"/>
        </w:rPr>
        <w:t>号</w:t>
      </w:r>
      <w:r w:rsidR="00B20A47" w:rsidRPr="00B20A47">
        <w:rPr>
          <w:rFonts w:ascii="Times New Roman" w:hAnsi="宋体" w:hint="eastAsia"/>
          <w:b/>
          <w:color w:val="000000"/>
          <w:kern w:val="0"/>
          <w:sz w:val="24"/>
          <w:szCs w:val="24"/>
        </w:rPr>
        <w:t>-</w:t>
      </w:r>
      <w:r w:rsidR="00B20A47" w:rsidRPr="00B20A47">
        <w:rPr>
          <w:rFonts w:ascii="Times New Roman" w:hAnsi="宋体" w:hint="eastAsia"/>
          <w:b/>
          <w:color w:val="000000"/>
          <w:kern w:val="0"/>
          <w:sz w:val="24"/>
          <w:szCs w:val="24"/>
        </w:rPr>
        <w:t>指数基金指引</w:t>
      </w:r>
      <w:r w:rsidR="00B20A47">
        <w:rPr>
          <w:rFonts w:ascii="Times New Roman" w:hAnsi="宋体" w:hint="eastAsia"/>
          <w:b/>
          <w:color w:val="000000"/>
          <w:kern w:val="0"/>
          <w:sz w:val="24"/>
          <w:szCs w:val="24"/>
        </w:rPr>
        <w:t>》</w:t>
      </w:r>
    </w:p>
    <w:p w:rsidR="00331C90" w:rsidRPr="00CE26C1" w:rsidRDefault="009452E8" w:rsidP="00A33F5F">
      <w:pPr>
        <w:autoSpaceDE w:val="0"/>
        <w:autoSpaceDN w:val="0"/>
        <w:adjustRightInd w:val="0"/>
        <w:spacing w:line="360" w:lineRule="auto"/>
        <w:ind w:firstLineChars="200" w:firstLine="482"/>
        <w:jc w:val="center"/>
        <w:rPr>
          <w:rFonts w:ascii="Times New Roman" w:hAnsi="宋体"/>
          <w:b/>
          <w:color w:val="000000"/>
          <w:kern w:val="0"/>
          <w:sz w:val="24"/>
          <w:szCs w:val="24"/>
        </w:rPr>
      </w:pPr>
      <w:r w:rsidRPr="00CE26C1">
        <w:rPr>
          <w:rFonts w:ascii="Times New Roman" w:hAnsi="宋体" w:hint="eastAsia"/>
          <w:b/>
          <w:color w:val="000000"/>
          <w:kern w:val="0"/>
          <w:sz w:val="24"/>
          <w:szCs w:val="24"/>
        </w:rPr>
        <w:t>修订</w:t>
      </w:r>
      <w:r w:rsidR="00DD35F9" w:rsidRPr="00CE26C1">
        <w:rPr>
          <w:rFonts w:ascii="Times New Roman" w:hAnsi="宋体" w:hint="eastAsia"/>
          <w:b/>
          <w:color w:val="000000"/>
          <w:kern w:val="0"/>
          <w:sz w:val="24"/>
          <w:szCs w:val="24"/>
        </w:rPr>
        <w:t>旗下部分公募基金</w:t>
      </w:r>
      <w:r w:rsidR="00331C90" w:rsidRPr="00CE26C1">
        <w:rPr>
          <w:rFonts w:ascii="Times New Roman" w:hAnsi="宋体" w:hint="eastAsia"/>
          <w:b/>
          <w:color w:val="000000"/>
          <w:kern w:val="0"/>
          <w:sz w:val="24"/>
          <w:szCs w:val="24"/>
        </w:rPr>
        <w:t>基金合同</w:t>
      </w:r>
      <w:r w:rsidRPr="00CE26C1">
        <w:rPr>
          <w:rFonts w:ascii="Times New Roman" w:hAnsi="宋体" w:hint="eastAsia"/>
          <w:b/>
          <w:color w:val="000000"/>
          <w:kern w:val="0"/>
          <w:sz w:val="24"/>
          <w:szCs w:val="24"/>
        </w:rPr>
        <w:t>的公告</w:t>
      </w:r>
    </w:p>
    <w:p w:rsidR="008D1847" w:rsidRPr="005C47A2" w:rsidRDefault="008D1847" w:rsidP="00A33F5F">
      <w:pPr>
        <w:autoSpaceDE w:val="0"/>
        <w:autoSpaceDN w:val="0"/>
        <w:adjustRightInd w:val="0"/>
        <w:spacing w:line="360" w:lineRule="auto"/>
        <w:ind w:firstLineChars="200" w:firstLine="480"/>
        <w:rPr>
          <w:rFonts w:ascii="Times New Roman" w:hAnsi="宋体"/>
          <w:color w:val="000000"/>
          <w:kern w:val="0"/>
          <w:sz w:val="24"/>
          <w:szCs w:val="24"/>
        </w:rPr>
      </w:pPr>
    </w:p>
    <w:p w:rsidR="00001D34" w:rsidRPr="00712841" w:rsidRDefault="00331C90" w:rsidP="00A33F5F">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根据</w:t>
      </w:r>
      <w:r w:rsidR="000B3D23" w:rsidRPr="007F125E">
        <w:rPr>
          <w:rFonts w:ascii="Times New Roman" w:hAnsi="宋体"/>
          <w:color w:val="000000"/>
          <w:kern w:val="0"/>
          <w:sz w:val="24"/>
          <w:szCs w:val="24"/>
        </w:rPr>
        <w:t>《中华人民共和国证券投资基金法》《公开募集证券投资基金信息披露管理办法》《公开募集证券投资基金运作管理办法》</w:t>
      </w:r>
      <w:r w:rsidR="00DD35F9">
        <w:rPr>
          <w:rFonts w:ascii="Times New Roman" w:hAnsi="宋体" w:hint="eastAsia"/>
          <w:color w:val="000000"/>
          <w:kern w:val="0"/>
          <w:sz w:val="24"/>
          <w:szCs w:val="24"/>
        </w:rPr>
        <w:t>《</w:t>
      </w:r>
      <w:r w:rsidR="00770FA9" w:rsidRPr="005C47A2">
        <w:rPr>
          <w:rFonts w:ascii="Times New Roman" w:hAnsi="宋体" w:hint="eastAsia"/>
          <w:color w:val="000000"/>
          <w:kern w:val="0"/>
          <w:sz w:val="24"/>
          <w:szCs w:val="24"/>
        </w:rPr>
        <w:t>公开募集证券投资基金运作指引第</w:t>
      </w:r>
      <w:r w:rsidR="00770FA9" w:rsidRPr="005C47A2">
        <w:rPr>
          <w:rFonts w:ascii="Times New Roman" w:hAnsi="宋体" w:hint="eastAsia"/>
          <w:color w:val="000000"/>
          <w:kern w:val="0"/>
          <w:sz w:val="24"/>
          <w:szCs w:val="24"/>
        </w:rPr>
        <w:t>3</w:t>
      </w:r>
      <w:r w:rsidR="00770FA9" w:rsidRPr="005C47A2">
        <w:rPr>
          <w:rFonts w:ascii="Times New Roman" w:hAnsi="宋体" w:hint="eastAsia"/>
          <w:color w:val="000000"/>
          <w:kern w:val="0"/>
          <w:sz w:val="24"/>
          <w:szCs w:val="24"/>
        </w:rPr>
        <w:t>号</w:t>
      </w:r>
      <w:r w:rsidR="00770FA9" w:rsidRPr="005C47A2">
        <w:rPr>
          <w:rFonts w:ascii="Times New Roman" w:hAnsi="宋体" w:hint="eastAsia"/>
          <w:color w:val="000000"/>
          <w:kern w:val="0"/>
          <w:sz w:val="24"/>
          <w:szCs w:val="24"/>
        </w:rPr>
        <w:t>-</w:t>
      </w:r>
      <w:r w:rsidR="00770FA9" w:rsidRPr="005C47A2">
        <w:rPr>
          <w:rFonts w:ascii="Times New Roman" w:hAnsi="宋体" w:hint="eastAsia"/>
          <w:color w:val="000000"/>
          <w:kern w:val="0"/>
          <w:sz w:val="24"/>
          <w:szCs w:val="24"/>
        </w:rPr>
        <w:t>指数基金指引</w:t>
      </w:r>
      <w:r w:rsidR="00DD35F9">
        <w:rPr>
          <w:rFonts w:ascii="Times New Roman" w:hAnsi="宋体" w:hint="eastAsia"/>
          <w:color w:val="000000"/>
          <w:kern w:val="0"/>
          <w:sz w:val="24"/>
          <w:szCs w:val="24"/>
        </w:rPr>
        <w:t>》等法律法规及各基金基金合同、招募说明书</w:t>
      </w:r>
      <w:r w:rsidR="00D264D8">
        <w:rPr>
          <w:rFonts w:ascii="Times New Roman" w:hAnsi="宋体" w:hint="eastAsia"/>
          <w:color w:val="000000"/>
          <w:kern w:val="0"/>
          <w:sz w:val="24"/>
          <w:szCs w:val="24"/>
        </w:rPr>
        <w:t>及其更新</w:t>
      </w:r>
      <w:r w:rsidR="008C1DCD">
        <w:rPr>
          <w:rFonts w:ascii="Times New Roman" w:hAnsi="宋体" w:hint="eastAsia"/>
          <w:color w:val="000000"/>
          <w:kern w:val="0"/>
          <w:sz w:val="24"/>
          <w:szCs w:val="24"/>
        </w:rPr>
        <w:t>等</w:t>
      </w:r>
      <w:r w:rsidR="00DD35F9">
        <w:rPr>
          <w:rFonts w:ascii="Times New Roman" w:hAnsi="宋体" w:hint="eastAsia"/>
          <w:color w:val="000000"/>
          <w:kern w:val="0"/>
          <w:sz w:val="24"/>
          <w:szCs w:val="24"/>
        </w:rPr>
        <w:t>规定，</w:t>
      </w:r>
      <w:r w:rsidR="005F4812" w:rsidRPr="00712841">
        <w:rPr>
          <w:rFonts w:ascii="Times New Roman" w:hAnsi="宋体" w:hint="eastAsia"/>
          <w:color w:val="000000"/>
          <w:kern w:val="0"/>
          <w:sz w:val="24"/>
          <w:szCs w:val="24"/>
        </w:rPr>
        <w:t>经与</w:t>
      </w:r>
      <w:r w:rsidR="00F74512">
        <w:rPr>
          <w:rFonts w:ascii="Times New Roman" w:hAnsi="宋体" w:hint="eastAsia"/>
          <w:color w:val="000000"/>
          <w:kern w:val="0"/>
          <w:sz w:val="24"/>
          <w:szCs w:val="24"/>
        </w:rPr>
        <w:t>各</w:t>
      </w:r>
      <w:r w:rsidR="005F4812" w:rsidRPr="00712841">
        <w:rPr>
          <w:rFonts w:ascii="Times New Roman" w:hAnsi="宋体" w:hint="eastAsia"/>
          <w:color w:val="000000"/>
          <w:kern w:val="0"/>
          <w:sz w:val="24"/>
          <w:szCs w:val="24"/>
        </w:rPr>
        <w:t>基金托管人协商一致，</w:t>
      </w:r>
      <w:r w:rsidR="00DD35F9">
        <w:rPr>
          <w:rFonts w:ascii="Times New Roman" w:hAnsi="宋体" w:hint="eastAsia"/>
          <w:color w:val="000000"/>
          <w:kern w:val="0"/>
          <w:sz w:val="24"/>
          <w:szCs w:val="24"/>
        </w:rPr>
        <w:t>并向中国证监会备案，</w:t>
      </w:r>
      <w:r w:rsidR="00B25241" w:rsidRPr="00712841">
        <w:rPr>
          <w:rFonts w:ascii="Times New Roman" w:hAnsi="宋体" w:hint="eastAsia"/>
          <w:color w:val="000000"/>
          <w:kern w:val="0"/>
          <w:sz w:val="24"/>
          <w:szCs w:val="24"/>
        </w:rPr>
        <w:t>华夏基金管理有限公司（以下简称</w:t>
      </w:r>
      <w:r w:rsidR="00CC72A1" w:rsidRPr="00712841">
        <w:rPr>
          <w:rFonts w:ascii="Times New Roman" w:hAnsi="宋体"/>
          <w:color w:val="000000"/>
          <w:kern w:val="0"/>
          <w:sz w:val="24"/>
          <w:szCs w:val="24"/>
        </w:rPr>
        <w:t>“</w:t>
      </w:r>
      <w:r w:rsidR="00644A7B" w:rsidRPr="00712841">
        <w:rPr>
          <w:rFonts w:ascii="Times New Roman" w:hAnsi="宋体" w:hint="eastAsia"/>
          <w:color w:val="000000"/>
          <w:kern w:val="0"/>
          <w:sz w:val="24"/>
          <w:szCs w:val="24"/>
        </w:rPr>
        <w:t>本</w:t>
      </w:r>
      <w:r w:rsidR="00CC72A1" w:rsidRPr="00712841">
        <w:rPr>
          <w:rFonts w:ascii="Times New Roman" w:hAnsi="宋体" w:hint="eastAsia"/>
          <w:color w:val="000000"/>
          <w:kern w:val="0"/>
          <w:sz w:val="24"/>
          <w:szCs w:val="24"/>
        </w:rPr>
        <w:t>基金</w:t>
      </w:r>
      <w:r w:rsidR="00CC72A1" w:rsidRPr="00712841">
        <w:rPr>
          <w:rFonts w:ascii="Times New Roman" w:hAnsi="宋体"/>
          <w:color w:val="000000"/>
          <w:kern w:val="0"/>
          <w:sz w:val="24"/>
          <w:szCs w:val="24"/>
        </w:rPr>
        <w:t>管理人”</w:t>
      </w:r>
      <w:r w:rsidR="00B25241" w:rsidRPr="00712841">
        <w:rPr>
          <w:rFonts w:ascii="Times New Roman" w:hAnsi="宋体" w:hint="eastAsia"/>
          <w:color w:val="000000"/>
          <w:kern w:val="0"/>
          <w:sz w:val="24"/>
          <w:szCs w:val="24"/>
        </w:rPr>
        <w:t>）</w:t>
      </w:r>
      <w:r w:rsidR="001045DF">
        <w:rPr>
          <w:rFonts w:ascii="Times New Roman" w:hAnsi="宋体" w:hint="eastAsia"/>
          <w:color w:val="000000"/>
          <w:kern w:val="0"/>
          <w:sz w:val="24"/>
          <w:szCs w:val="24"/>
        </w:rPr>
        <w:t>决定</w:t>
      </w:r>
      <w:r w:rsidR="009E0E2E">
        <w:rPr>
          <w:rFonts w:ascii="Times New Roman" w:hAnsi="宋体" w:hint="eastAsia"/>
          <w:color w:val="000000"/>
          <w:kern w:val="0"/>
          <w:sz w:val="24"/>
          <w:szCs w:val="24"/>
        </w:rPr>
        <w:t>对</w:t>
      </w:r>
      <w:r w:rsidR="009F7B08" w:rsidRPr="00712841">
        <w:rPr>
          <w:rFonts w:ascii="Times New Roman" w:hAnsi="宋体" w:hint="eastAsia"/>
          <w:color w:val="000000"/>
          <w:kern w:val="0"/>
          <w:sz w:val="24"/>
          <w:szCs w:val="24"/>
        </w:rPr>
        <w:t>旗下</w:t>
      </w:r>
      <w:r w:rsidR="0053011E">
        <w:rPr>
          <w:rFonts w:ascii="Times New Roman" w:hAnsi="宋体" w:hint="eastAsia"/>
          <w:color w:val="000000"/>
          <w:kern w:val="0"/>
          <w:sz w:val="24"/>
          <w:szCs w:val="24"/>
        </w:rPr>
        <w:t>67</w:t>
      </w:r>
      <w:r w:rsidR="00DD35F9">
        <w:rPr>
          <w:rFonts w:ascii="Times New Roman" w:hAnsi="宋体" w:hint="eastAsia"/>
          <w:color w:val="000000"/>
          <w:kern w:val="0"/>
          <w:sz w:val="24"/>
          <w:szCs w:val="24"/>
        </w:rPr>
        <w:t>只</w:t>
      </w:r>
      <w:r w:rsidR="00770FA9" w:rsidRPr="00770FA9">
        <w:rPr>
          <w:rFonts w:ascii="Times New Roman" w:hAnsi="宋体" w:hint="eastAsia"/>
          <w:color w:val="000000"/>
          <w:kern w:val="0"/>
          <w:sz w:val="24"/>
          <w:szCs w:val="24"/>
        </w:rPr>
        <w:t>公募</w:t>
      </w:r>
      <w:r w:rsidR="00770FA9" w:rsidRPr="005C47A2">
        <w:rPr>
          <w:rFonts w:ascii="Times New Roman" w:hAnsi="宋体" w:hint="eastAsia"/>
          <w:color w:val="000000"/>
          <w:kern w:val="0"/>
          <w:sz w:val="24"/>
          <w:szCs w:val="24"/>
        </w:rPr>
        <w:t>指数证券投资基金</w:t>
      </w:r>
      <w:r w:rsidR="001045DF">
        <w:rPr>
          <w:rFonts w:ascii="Times New Roman" w:hAnsi="宋体" w:hint="eastAsia"/>
          <w:color w:val="000000"/>
          <w:kern w:val="0"/>
          <w:sz w:val="24"/>
          <w:szCs w:val="24"/>
        </w:rPr>
        <w:t>的基金合同</w:t>
      </w:r>
      <w:r w:rsidR="00B101CB">
        <w:rPr>
          <w:rFonts w:ascii="Times New Roman" w:hAnsi="Times New Roman" w:hint="eastAsia"/>
          <w:sz w:val="24"/>
          <w:szCs w:val="24"/>
        </w:rPr>
        <w:t>、招募说明书</w:t>
      </w:r>
      <w:r w:rsidR="001045DF">
        <w:rPr>
          <w:rFonts w:ascii="Times New Roman" w:hAnsi="宋体" w:hint="eastAsia"/>
          <w:color w:val="000000"/>
          <w:kern w:val="0"/>
          <w:sz w:val="24"/>
          <w:szCs w:val="24"/>
        </w:rPr>
        <w:t>等法律文件</w:t>
      </w:r>
      <w:r w:rsidR="009E0E2E">
        <w:rPr>
          <w:rFonts w:ascii="Times New Roman" w:hAnsi="宋体" w:hint="eastAsia"/>
          <w:color w:val="000000"/>
          <w:kern w:val="0"/>
          <w:sz w:val="24"/>
          <w:szCs w:val="24"/>
        </w:rPr>
        <w:t>进行修订</w:t>
      </w:r>
      <w:r w:rsidR="00780FE2">
        <w:rPr>
          <w:rFonts w:ascii="Times New Roman" w:hAnsi="宋体" w:hint="eastAsia"/>
          <w:color w:val="000000"/>
          <w:kern w:val="0"/>
          <w:sz w:val="24"/>
          <w:szCs w:val="24"/>
        </w:rPr>
        <w:t>。</w:t>
      </w:r>
      <w:r w:rsidR="004E23CE" w:rsidRPr="00712841">
        <w:rPr>
          <w:rFonts w:ascii="Times New Roman" w:hAnsi="宋体" w:hint="eastAsia"/>
          <w:color w:val="000000"/>
          <w:kern w:val="0"/>
          <w:sz w:val="24"/>
          <w:szCs w:val="24"/>
        </w:rPr>
        <w:t>本次</w:t>
      </w:r>
      <w:r w:rsidR="00A80842" w:rsidRPr="005C47A2">
        <w:rPr>
          <w:rFonts w:ascii="Times New Roman" w:hAnsi="宋体" w:hint="eastAsia"/>
          <w:color w:val="000000"/>
          <w:kern w:val="0"/>
          <w:sz w:val="24"/>
          <w:szCs w:val="24"/>
        </w:rPr>
        <w:t>修订</w:t>
      </w:r>
      <w:r w:rsidR="005F4812" w:rsidRPr="00712841">
        <w:rPr>
          <w:rFonts w:ascii="Times New Roman" w:hAnsi="宋体" w:hint="eastAsia"/>
          <w:color w:val="000000"/>
          <w:kern w:val="0"/>
          <w:sz w:val="24"/>
          <w:szCs w:val="24"/>
        </w:rPr>
        <w:t>将</w:t>
      </w:r>
      <w:r w:rsidRPr="00712841">
        <w:rPr>
          <w:rFonts w:ascii="Times New Roman" w:hAnsi="宋体" w:hint="eastAsia"/>
          <w:color w:val="000000"/>
          <w:kern w:val="0"/>
          <w:sz w:val="24"/>
          <w:szCs w:val="24"/>
        </w:rPr>
        <w:t>自</w:t>
      </w:r>
      <w:r w:rsidR="007B5F32" w:rsidRPr="00712841">
        <w:rPr>
          <w:rFonts w:ascii="Times New Roman" w:hAnsi="宋体" w:hint="eastAsia"/>
          <w:color w:val="000000"/>
          <w:kern w:val="0"/>
          <w:sz w:val="24"/>
          <w:szCs w:val="24"/>
        </w:rPr>
        <w:t>202</w:t>
      </w:r>
      <w:r w:rsidR="008035B9">
        <w:rPr>
          <w:rFonts w:ascii="Times New Roman" w:hAnsi="宋体" w:hint="eastAsia"/>
          <w:color w:val="000000"/>
          <w:kern w:val="0"/>
          <w:sz w:val="24"/>
          <w:szCs w:val="24"/>
        </w:rPr>
        <w:t>1</w:t>
      </w:r>
      <w:r w:rsidR="007B5F32" w:rsidRPr="00712841">
        <w:rPr>
          <w:rFonts w:ascii="Times New Roman" w:hAnsi="宋体" w:hint="eastAsia"/>
          <w:color w:val="000000"/>
          <w:kern w:val="0"/>
          <w:sz w:val="24"/>
          <w:szCs w:val="24"/>
        </w:rPr>
        <w:t>年</w:t>
      </w:r>
      <w:r w:rsidR="004D3829">
        <w:rPr>
          <w:rFonts w:ascii="Times New Roman" w:hAnsi="宋体" w:hint="eastAsia"/>
          <w:color w:val="000000"/>
          <w:kern w:val="0"/>
          <w:sz w:val="24"/>
          <w:szCs w:val="24"/>
        </w:rPr>
        <w:t>3</w:t>
      </w:r>
      <w:r w:rsidR="007B5F32" w:rsidRPr="00712841">
        <w:rPr>
          <w:rFonts w:ascii="Times New Roman" w:hAnsi="宋体" w:hint="eastAsia"/>
          <w:color w:val="000000"/>
          <w:kern w:val="0"/>
          <w:sz w:val="24"/>
          <w:szCs w:val="24"/>
        </w:rPr>
        <w:t>月</w:t>
      </w:r>
      <w:r w:rsidR="00444BCD">
        <w:rPr>
          <w:rFonts w:ascii="Times New Roman" w:hAnsi="宋体"/>
          <w:color w:val="000000"/>
          <w:kern w:val="0"/>
          <w:sz w:val="24"/>
          <w:szCs w:val="24"/>
        </w:rPr>
        <w:t>31</w:t>
      </w:r>
      <w:r w:rsidRPr="00712841">
        <w:rPr>
          <w:rFonts w:ascii="Times New Roman" w:hAnsi="宋体" w:hint="eastAsia"/>
          <w:color w:val="000000"/>
          <w:kern w:val="0"/>
          <w:sz w:val="24"/>
          <w:szCs w:val="24"/>
        </w:rPr>
        <w:t>日起</w:t>
      </w:r>
      <w:r w:rsidR="00001D34" w:rsidRPr="00712841">
        <w:rPr>
          <w:rFonts w:ascii="Times New Roman" w:hAnsi="宋体" w:hint="eastAsia"/>
          <w:color w:val="000000"/>
          <w:kern w:val="0"/>
          <w:sz w:val="24"/>
          <w:szCs w:val="24"/>
        </w:rPr>
        <w:t>正式</w:t>
      </w:r>
      <w:r w:rsidR="00986353" w:rsidRPr="00712841">
        <w:rPr>
          <w:rFonts w:ascii="Times New Roman" w:hAnsi="宋体" w:hint="eastAsia"/>
          <w:color w:val="000000"/>
          <w:kern w:val="0"/>
          <w:sz w:val="24"/>
          <w:szCs w:val="24"/>
        </w:rPr>
        <w:t>生效</w:t>
      </w:r>
      <w:r w:rsidR="005F4812" w:rsidRPr="00712841">
        <w:rPr>
          <w:rFonts w:ascii="Times New Roman" w:hAnsi="宋体" w:hint="eastAsia"/>
          <w:color w:val="000000"/>
          <w:kern w:val="0"/>
          <w:sz w:val="24"/>
          <w:szCs w:val="24"/>
        </w:rPr>
        <w:t>。</w:t>
      </w:r>
      <w:r w:rsidR="00171411" w:rsidRPr="005C47A2">
        <w:rPr>
          <w:rFonts w:ascii="Times New Roman" w:hAnsi="宋体" w:hint="eastAsia"/>
          <w:color w:val="000000"/>
          <w:kern w:val="0"/>
          <w:sz w:val="24"/>
          <w:szCs w:val="24"/>
        </w:rPr>
        <w:t>现将</w:t>
      </w:r>
      <w:r w:rsidR="00B101CB" w:rsidRPr="00C27395">
        <w:rPr>
          <w:rFonts w:ascii="Times New Roman" w:hAnsi="Times New Roman"/>
          <w:sz w:val="24"/>
          <w:szCs w:val="24"/>
        </w:rPr>
        <w:t>主要修订</w:t>
      </w:r>
      <w:r w:rsidR="007D51A2">
        <w:rPr>
          <w:rFonts w:ascii="Times New Roman" w:hAnsi="Times New Roman" w:hint="eastAsia"/>
          <w:sz w:val="24"/>
          <w:szCs w:val="24"/>
        </w:rPr>
        <w:t>情况</w:t>
      </w:r>
      <w:r w:rsidR="00171411" w:rsidRPr="005C47A2">
        <w:rPr>
          <w:rFonts w:ascii="Times New Roman" w:hAnsi="宋体" w:hint="eastAsia"/>
          <w:color w:val="000000"/>
          <w:kern w:val="0"/>
          <w:sz w:val="24"/>
          <w:szCs w:val="24"/>
        </w:rPr>
        <w:t>公告如下：</w:t>
      </w:r>
    </w:p>
    <w:p w:rsidR="00B33D8C" w:rsidRDefault="00171411" w:rsidP="00A33F5F">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一、</w:t>
      </w:r>
      <w:r w:rsidR="00B33D8C">
        <w:rPr>
          <w:rFonts w:ascii="Times New Roman" w:hAnsi="宋体" w:hint="eastAsia"/>
          <w:color w:val="000000"/>
          <w:kern w:val="0"/>
          <w:sz w:val="24"/>
          <w:szCs w:val="24"/>
        </w:rPr>
        <w:t>修订基金范围</w:t>
      </w:r>
    </w:p>
    <w:tbl>
      <w:tblPr>
        <w:tblW w:w="10121" w:type="dxa"/>
        <w:jc w:val="center"/>
        <w:tblLook w:val="04A0"/>
      </w:tblPr>
      <w:tblGrid>
        <w:gridCol w:w="1106"/>
        <w:gridCol w:w="3668"/>
        <w:gridCol w:w="1091"/>
        <w:gridCol w:w="4256"/>
      </w:tblGrid>
      <w:tr w:rsidR="00EA2F31"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F31" w:rsidRPr="008545BE" w:rsidRDefault="00EA2F31" w:rsidP="00A33F5F">
            <w:pPr>
              <w:autoSpaceDE w:val="0"/>
              <w:autoSpaceDN w:val="0"/>
              <w:adjustRightInd w:val="0"/>
              <w:spacing w:line="360" w:lineRule="auto"/>
              <w:jc w:val="center"/>
              <w:rPr>
                <w:rFonts w:ascii="Times New Roman" w:hAnsi="Times New Roman"/>
                <w:b/>
                <w:bCs/>
                <w:kern w:val="0"/>
                <w:szCs w:val="21"/>
              </w:rPr>
            </w:pPr>
            <w:r w:rsidRPr="008545BE">
              <w:rPr>
                <w:rFonts w:ascii="Times New Roman" w:hAnsi="Times New Roman" w:hint="eastAsia"/>
                <w:b/>
                <w:bCs/>
                <w:kern w:val="0"/>
                <w:szCs w:val="21"/>
              </w:rPr>
              <w:t>基金代码</w:t>
            </w:r>
          </w:p>
        </w:tc>
        <w:tc>
          <w:tcPr>
            <w:tcW w:w="3668" w:type="dxa"/>
            <w:tcBorders>
              <w:top w:val="single" w:sz="4" w:space="0" w:color="auto"/>
              <w:left w:val="nil"/>
              <w:bottom w:val="single" w:sz="4" w:space="0" w:color="auto"/>
              <w:right w:val="single" w:sz="4" w:space="0" w:color="auto"/>
            </w:tcBorders>
            <w:shd w:val="clear" w:color="auto" w:fill="auto"/>
            <w:noWrap/>
            <w:vAlign w:val="center"/>
            <w:hideMark/>
          </w:tcPr>
          <w:p w:rsidR="00EA2F31" w:rsidRPr="008545BE" w:rsidRDefault="00EA2F31" w:rsidP="00A33F5F">
            <w:pPr>
              <w:autoSpaceDE w:val="0"/>
              <w:autoSpaceDN w:val="0"/>
              <w:adjustRightInd w:val="0"/>
              <w:spacing w:line="360" w:lineRule="auto"/>
              <w:ind w:firstLineChars="200" w:firstLine="422"/>
              <w:jc w:val="center"/>
              <w:rPr>
                <w:rFonts w:ascii="Times New Roman" w:hAnsi="Times New Roman"/>
                <w:b/>
                <w:bCs/>
                <w:kern w:val="0"/>
                <w:szCs w:val="21"/>
              </w:rPr>
            </w:pPr>
            <w:r w:rsidRPr="008545BE">
              <w:rPr>
                <w:rFonts w:ascii="Times New Roman" w:hAnsi="Times New Roman" w:hint="eastAsia"/>
                <w:b/>
                <w:bCs/>
                <w:kern w:val="0"/>
                <w:szCs w:val="21"/>
              </w:rPr>
              <w:t>基金名称</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EA2F31" w:rsidRPr="008545BE" w:rsidRDefault="00EA2F31" w:rsidP="00A33F5F">
            <w:pPr>
              <w:autoSpaceDE w:val="0"/>
              <w:autoSpaceDN w:val="0"/>
              <w:adjustRightInd w:val="0"/>
              <w:spacing w:line="360" w:lineRule="auto"/>
              <w:jc w:val="center"/>
              <w:rPr>
                <w:rFonts w:ascii="Times New Roman" w:hAnsi="Times New Roman"/>
                <w:b/>
                <w:bCs/>
                <w:kern w:val="0"/>
                <w:szCs w:val="21"/>
              </w:rPr>
            </w:pPr>
            <w:r w:rsidRPr="008545BE">
              <w:rPr>
                <w:rFonts w:ascii="Times New Roman" w:hAnsi="Times New Roman" w:hint="eastAsia"/>
                <w:b/>
                <w:bCs/>
                <w:kern w:val="0"/>
                <w:szCs w:val="21"/>
              </w:rPr>
              <w:t>基金代码</w:t>
            </w:r>
          </w:p>
        </w:tc>
        <w:tc>
          <w:tcPr>
            <w:tcW w:w="4256" w:type="dxa"/>
            <w:tcBorders>
              <w:top w:val="single" w:sz="4" w:space="0" w:color="auto"/>
              <w:left w:val="nil"/>
              <w:bottom w:val="single" w:sz="4" w:space="0" w:color="auto"/>
              <w:right w:val="single" w:sz="4" w:space="0" w:color="auto"/>
            </w:tcBorders>
            <w:shd w:val="clear" w:color="auto" w:fill="auto"/>
            <w:noWrap/>
            <w:vAlign w:val="center"/>
            <w:hideMark/>
          </w:tcPr>
          <w:p w:rsidR="00EA2F31" w:rsidRPr="008545BE" w:rsidRDefault="00EA2F31" w:rsidP="00A33F5F">
            <w:pPr>
              <w:autoSpaceDE w:val="0"/>
              <w:autoSpaceDN w:val="0"/>
              <w:adjustRightInd w:val="0"/>
              <w:spacing w:line="360" w:lineRule="auto"/>
              <w:ind w:firstLineChars="200" w:firstLine="422"/>
              <w:jc w:val="center"/>
              <w:rPr>
                <w:rFonts w:ascii="Times New Roman" w:hAnsi="Times New Roman"/>
                <w:b/>
                <w:bCs/>
                <w:kern w:val="0"/>
                <w:szCs w:val="21"/>
              </w:rPr>
            </w:pPr>
            <w:r w:rsidRPr="008545BE">
              <w:rPr>
                <w:rFonts w:ascii="Times New Roman" w:hAnsi="Times New Roman" w:hint="eastAsia"/>
                <w:b/>
                <w:bCs/>
                <w:kern w:val="0"/>
                <w:szCs w:val="21"/>
              </w:rPr>
              <w:t>基金名称</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513330</w:t>
            </w:r>
          </w:p>
        </w:tc>
        <w:tc>
          <w:tcPr>
            <w:tcW w:w="3668" w:type="dxa"/>
            <w:tcBorders>
              <w:top w:val="single" w:sz="4" w:space="0" w:color="auto"/>
              <w:left w:val="nil"/>
              <w:bottom w:val="single" w:sz="4" w:space="0" w:color="auto"/>
              <w:right w:val="single" w:sz="4" w:space="0" w:color="auto"/>
            </w:tcBorders>
            <w:shd w:val="clear" w:color="auto" w:fill="auto"/>
            <w:noWrap/>
            <w:vAlign w:val="center"/>
            <w:hideMark/>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华夏恒生互联网科技业交易型开放式指数证券投资基金（</w:t>
            </w:r>
            <w:r w:rsidRPr="00F74886">
              <w:rPr>
                <w:rFonts w:ascii="Times New Roman" w:hAnsi="Times New Roman"/>
                <w:bCs/>
                <w:kern w:val="0"/>
                <w:szCs w:val="21"/>
              </w:rPr>
              <w:t>QDII</w:t>
            </w:r>
            <w:r w:rsidRPr="00F74886">
              <w:rPr>
                <w:rFonts w:ascii="Times New Roman" w:hAnsi="Times New Roman"/>
                <w:bCs/>
                <w:kern w:val="0"/>
                <w:szCs w:val="21"/>
              </w:rPr>
              <w:t>）</w:t>
            </w:r>
            <w:r w:rsidRPr="00F74886">
              <w:rPr>
                <w:rFonts w:ascii="Times New Roman" w:hAnsi="Times New Roman"/>
                <w:bCs/>
                <w:kern w:val="0"/>
                <w:szCs w:val="21"/>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006246</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华夏中小企业板交易型开放式指数基金发起式联接基金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008916</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华夏中证浙江国资创新发展交易型开放式指数证券投资基金联接基金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006248</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华夏创业板交易型开放式指数证券投资基金发起式联接基金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009445</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华夏上海清算所</w:t>
            </w:r>
            <w:r w:rsidRPr="00F74886">
              <w:rPr>
                <w:rFonts w:ascii="Times New Roman" w:hAnsi="Times New Roman"/>
                <w:bCs/>
                <w:kern w:val="0"/>
                <w:szCs w:val="21"/>
              </w:rPr>
              <w:t>1-3</w:t>
            </w:r>
            <w:r w:rsidRPr="00F74886">
              <w:rPr>
                <w:rFonts w:ascii="Times New Roman" w:hAnsi="Times New Roman"/>
                <w:bCs/>
                <w:kern w:val="0"/>
                <w:szCs w:val="21"/>
              </w:rPr>
              <w:t>年高等级国企中期票据指数证券投资基金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512770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战略新兴成指交易型开放式指数证券投资基金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588000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华夏上证科创板</w:t>
            </w:r>
            <w:r w:rsidRPr="00F74886">
              <w:rPr>
                <w:rFonts w:ascii="Times New Roman" w:hAnsi="Times New Roman"/>
                <w:bCs/>
                <w:kern w:val="0"/>
                <w:szCs w:val="21"/>
              </w:rPr>
              <w:t>50</w:t>
            </w:r>
            <w:r w:rsidRPr="00F74886">
              <w:rPr>
                <w:rFonts w:ascii="Times New Roman" w:hAnsi="Times New Roman"/>
                <w:bCs/>
                <w:kern w:val="0"/>
                <w:szCs w:val="21"/>
              </w:rPr>
              <w:t>成份交易型开放式指数证券投资基金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005581</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华夏上证</w:t>
            </w:r>
            <w:r w:rsidRPr="00F74886">
              <w:rPr>
                <w:rFonts w:ascii="Times New Roman" w:hAnsi="Times New Roman"/>
                <w:bCs/>
                <w:kern w:val="0"/>
                <w:szCs w:val="21"/>
              </w:rPr>
              <w:t>3-5</w:t>
            </w:r>
            <w:r w:rsidRPr="00F74886">
              <w:rPr>
                <w:rFonts w:ascii="Times New Roman" w:hAnsi="Times New Roman"/>
                <w:bCs/>
                <w:kern w:val="0"/>
                <w:szCs w:val="21"/>
              </w:rPr>
              <w:t>年期中高评级可质押信用债交易型开放式指数证券投资基金发起式联接基金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515760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华夏中证浙江国资创新发展交易型开放式指数证券投资基金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511280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华夏上证</w:t>
            </w:r>
            <w:r w:rsidRPr="00F74886">
              <w:rPr>
                <w:rFonts w:ascii="Times New Roman" w:hAnsi="Times New Roman"/>
                <w:bCs/>
                <w:kern w:val="0"/>
                <w:szCs w:val="21"/>
              </w:rPr>
              <w:t>3-5</w:t>
            </w:r>
            <w:r w:rsidRPr="00F74886">
              <w:rPr>
                <w:rFonts w:ascii="Times New Roman" w:hAnsi="Times New Roman"/>
                <w:bCs/>
                <w:kern w:val="0"/>
                <w:szCs w:val="21"/>
              </w:rPr>
              <w:t>年期中高评级可质押信用债交易型开放式指数证券投资基金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008585</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华夏中证人工智能主题交易型开放式指数证券投资基金发起式联接基金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159957</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008887</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华夏国证半导体芯片交易型开放式指数证券投资基金发起式联接基金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501050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华夏沪港通上证</w:t>
            </w:r>
            <w:r w:rsidRPr="00F74886">
              <w:rPr>
                <w:rFonts w:ascii="Times New Roman" w:hAnsi="Times New Roman"/>
                <w:bCs/>
                <w:kern w:val="0"/>
                <w:szCs w:val="21"/>
              </w:rPr>
              <w:t>50AH</w:t>
            </w:r>
            <w:r w:rsidRPr="00F74886">
              <w:rPr>
                <w:rFonts w:ascii="Times New Roman" w:hAnsi="Times New Roman"/>
                <w:bCs/>
                <w:kern w:val="0"/>
                <w:szCs w:val="21"/>
              </w:rPr>
              <w:t>优选指数证券投资基金（</w:t>
            </w:r>
            <w:r w:rsidRPr="00F74886">
              <w:rPr>
                <w:rFonts w:ascii="Times New Roman" w:hAnsi="Times New Roman"/>
                <w:bCs/>
                <w:kern w:val="0"/>
                <w:szCs w:val="21"/>
              </w:rPr>
              <w:t>LOF</w:t>
            </w:r>
            <w:r w:rsidRPr="00F74886">
              <w:rPr>
                <w:rFonts w:ascii="Times New Roman" w:hAnsi="Times New Roman"/>
                <w:bCs/>
                <w:kern w:val="0"/>
                <w:szCs w:val="21"/>
              </w:rPr>
              <w:t>）</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008199</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华夏粤港澳大湾区创新</w:t>
            </w:r>
            <w:r w:rsidRPr="00F74886">
              <w:rPr>
                <w:rFonts w:ascii="Times New Roman" w:hAnsi="Times New Roman"/>
                <w:bCs/>
                <w:kern w:val="0"/>
                <w:szCs w:val="21"/>
              </w:rPr>
              <w:t>100</w:t>
            </w:r>
            <w:r w:rsidRPr="00F74886">
              <w:rPr>
                <w:rFonts w:ascii="Times New Roman" w:hAnsi="Times New Roman"/>
                <w:bCs/>
                <w:kern w:val="0"/>
                <w:szCs w:val="21"/>
              </w:rPr>
              <w:t>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001052</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500</w:t>
            </w:r>
            <w:r w:rsidRPr="00F74886">
              <w:rPr>
                <w:rFonts w:ascii="Times New Roman" w:hAnsi="Times New Roman"/>
                <w:bCs/>
                <w:kern w:val="0"/>
                <w:szCs w:val="21"/>
              </w:rPr>
              <w:t>交易型开放式指数证券投资基金联接基金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007992</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华夏中证全指证券公司交易型开放式指数证券投资基金发起式联接基金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512500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500</w:t>
            </w:r>
            <w:r w:rsidRPr="00F74886">
              <w:rPr>
                <w:rFonts w:ascii="Times New Roman" w:hAnsi="Times New Roman"/>
                <w:bCs/>
                <w:kern w:val="0"/>
                <w:szCs w:val="21"/>
              </w:rPr>
              <w:t>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007994</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500</w:t>
            </w:r>
            <w:r w:rsidRPr="00F74886">
              <w:rPr>
                <w:rFonts w:ascii="Times New Roman" w:hAnsi="Times New Roman"/>
                <w:bCs/>
                <w:kern w:val="0"/>
                <w:szCs w:val="21"/>
              </w:rPr>
              <w:t>指数增强型证券投资基金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001051</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华夏上证</w:t>
            </w:r>
            <w:r w:rsidRPr="00F74886">
              <w:rPr>
                <w:rFonts w:ascii="Times New Roman" w:hAnsi="Times New Roman"/>
                <w:bCs/>
                <w:kern w:val="0"/>
                <w:szCs w:val="21"/>
              </w:rPr>
              <w:t>50</w:t>
            </w:r>
            <w:r w:rsidRPr="00F74886">
              <w:rPr>
                <w:rFonts w:ascii="Times New Roman" w:hAnsi="Times New Roman"/>
                <w:bCs/>
                <w:kern w:val="0"/>
                <w:szCs w:val="21"/>
              </w:rPr>
              <w:t>交易型开放式指数证券投资基金联接基金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159983</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华夏粤港澳大湾区创新</w:t>
            </w:r>
            <w:r w:rsidRPr="00F74886">
              <w:rPr>
                <w:rFonts w:ascii="Times New Roman" w:hAnsi="Times New Roman"/>
                <w:bCs/>
                <w:kern w:val="0"/>
                <w:szCs w:val="21"/>
              </w:rPr>
              <w:t>100</w:t>
            </w:r>
            <w:r w:rsidRPr="00F74886">
              <w:rPr>
                <w:rFonts w:ascii="Times New Roman" w:hAnsi="Times New Roman"/>
                <w:bCs/>
                <w:kern w:val="0"/>
                <w:szCs w:val="21"/>
              </w:rPr>
              <w:t>交易型开</w:t>
            </w:r>
            <w:r w:rsidRPr="00F74886">
              <w:rPr>
                <w:rFonts w:ascii="Times New Roman" w:hAnsi="Times New Roman"/>
                <w:bCs/>
                <w:kern w:val="0"/>
                <w:szCs w:val="21"/>
              </w:rPr>
              <w:lastRenderedPageBreak/>
              <w:t>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lastRenderedPageBreak/>
              <w:t>000975</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w:t>
            </w:r>
            <w:r w:rsidRPr="00F74886">
              <w:rPr>
                <w:rFonts w:ascii="Times New Roman" w:hAnsi="Times New Roman"/>
                <w:bCs/>
                <w:kern w:val="0"/>
                <w:szCs w:val="21"/>
              </w:rPr>
              <w:t>MSCI</w:t>
            </w:r>
            <w:r w:rsidRPr="00F74886">
              <w:rPr>
                <w:rFonts w:ascii="Times New Roman" w:hAnsi="Times New Roman"/>
                <w:bCs/>
                <w:kern w:val="0"/>
                <w:szCs w:val="21"/>
              </w:rPr>
              <w:t>中国</w:t>
            </w:r>
            <w:r w:rsidRPr="00F74886">
              <w:rPr>
                <w:rFonts w:ascii="Times New Roman" w:hAnsi="Times New Roman"/>
                <w:bCs/>
                <w:kern w:val="0"/>
                <w:szCs w:val="21"/>
              </w:rPr>
              <w:t>A</w:t>
            </w:r>
            <w:r w:rsidRPr="00F74886">
              <w:rPr>
                <w:rFonts w:ascii="Times New Roman" w:hAnsi="Times New Roman"/>
                <w:bCs/>
                <w:kern w:val="0"/>
                <w:szCs w:val="21"/>
              </w:rPr>
              <w:t>股国际通交易型开放式指数</w:t>
            </w:r>
            <w:r w:rsidRPr="00F74886">
              <w:rPr>
                <w:rFonts w:ascii="Times New Roman" w:hAnsi="Times New Roman"/>
                <w:bCs/>
                <w:kern w:val="0"/>
                <w:szCs w:val="21"/>
              </w:rPr>
              <w:lastRenderedPageBreak/>
              <w:t>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lastRenderedPageBreak/>
              <w:t>515030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华夏中证新能源汽车交易型开放式指数证券投资基金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512990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w:t>
            </w:r>
            <w:r w:rsidRPr="00F74886">
              <w:rPr>
                <w:rFonts w:ascii="Times New Roman" w:hAnsi="Times New Roman"/>
                <w:bCs/>
                <w:kern w:val="0"/>
                <w:szCs w:val="21"/>
              </w:rPr>
              <w:t>MSCI</w:t>
            </w:r>
            <w:r w:rsidRPr="00F74886">
              <w:rPr>
                <w:rFonts w:ascii="Times New Roman" w:hAnsi="Times New Roman"/>
                <w:bCs/>
                <w:kern w:val="0"/>
                <w:szCs w:val="21"/>
              </w:rPr>
              <w:t>中国</w:t>
            </w:r>
            <w:r w:rsidRPr="00F74886">
              <w:rPr>
                <w:rFonts w:ascii="Times New Roman" w:hAnsi="Times New Roman"/>
                <w:bCs/>
                <w:kern w:val="0"/>
                <w:szCs w:val="21"/>
              </w:rPr>
              <w:t>A</w:t>
            </w:r>
            <w:r w:rsidRPr="00F74886">
              <w:rPr>
                <w:rFonts w:ascii="Times New Roman" w:hAnsi="Times New Roman"/>
                <w:bCs/>
                <w:kern w:val="0"/>
                <w:szCs w:val="21"/>
              </w:rPr>
              <w:t>股国际通交易型开放式指数证券投资基金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159995</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华夏国证半导体芯片交易型开放式指数证券投资基金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001015</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华夏沪深</w:t>
            </w:r>
            <w:r w:rsidRPr="00F74886">
              <w:rPr>
                <w:rFonts w:ascii="Times New Roman" w:hAnsi="Times New Roman"/>
                <w:bCs/>
                <w:kern w:val="0"/>
                <w:szCs w:val="21"/>
              </w:rPr>
              <w:t>300</w:t>
            </w:r>
            <w:r w:rsidRPr="00F74886">
              <w:rPr>
                <w:rFonts w:ascii="Times New Roman" w:hAnsi="Times New Roman"/>
                <w:bCs/>
                <w:kern w:val="0"/>
                <w:szCs w:val="21"/>
              </w:rPr>
              <w:t>指数增强型证券投资基金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008086</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5G</w:t>
            </w:r>
            <w:r w:rsidRPr="00F74886">
              <w:rPr>
                <w:rFonts w:ascii="Times New Roman" w:hAnsi="Times New Roman"/>
                <w:bCs/>
                <w:kern w:val="0"/>
                <w:szCs w:val="21"/>
              </w:rPr>
              <w:t>通信主题交易型开放式指数证券投资基金发起式联接基金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513300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华夏纳斯达克</w:t>
            </w:r>
            <w:r w:rsidRPr="00F74886">
              <w:rPr>
                <w:rFonts w:ascii="Times New Roman" w:hAnsi="Times New Roman"/>
                <w:bCs/>
                <w:kern w:val="0"/>
                <w:szCs w:val="21"/>
              </w:rPr>
              <w:t>100</w:t>
            </w:r>
            <w:r w:rsidRPr="00F74886">
              <w:rPr>
                <w:rFonts w:ascii="Times New Roman" w:hAnsi="Times New Roman"/>
                <w:bCs/>
                <w:kern w:val="0"/>
                <w:szCs w:val="21"/>
              </w:rPr>
              <w:t>交易型开放式指数证券投资基金（</w:t>
            </w:r>
            <w:r w:rsidRPr="00F74886">
              <w:rPr>
                <w:rFonts w:ascii="Times New Roman" w:hAnsi="Times New Roman"/>
                <w:bCs/>
                <w:kern w:val="0"/>
                <w:szCs w:val="21"/>
              </w:rPr>
              <w:t>QDII</w:t>
            </w:r>
            <w:r w:rsidRPr="00F74886">
              <w:rPr>
                <w:rFonts w:ascii="Times New Roman" w:hAnsi="Times New Roman"/>
                <w:bCs/>
                <w:kern w:val="0"/>
                <w:szCs w:val="21"/>
              </w:rPr>
              <w:t>）</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515070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华夏中证人工智能主题交易型开放式指数证券投资基金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000948</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华夏沪港通恒生交易型开放式指数证券投资基金联接基金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008298</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华夏中证银行交易型开放式指数证券投资基金发起式联接基金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513660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华夏沪港通恒生交易型开放式指数证券投资基金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008088</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华夏中证全指房地产交易型开放式指数证券投资基金发起式联接基金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510630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上证主要消费交易型开放式指数发起式证券投资基金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515060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华夏中证全指房地产交易型开放式指数证券投资基金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510650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上证金融地产交易型开放式指数发起式证券投资基金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515020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华夏中证银行交易型开放式指数证券投资基金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510660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上证医药卫生交易型开放式指数发起式证券投资基金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515010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华夏中证全指证券公司交易型开放式指数证券投资基金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510330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华夏沪深</w:t>
            </w:r>
            <w:r w:rsidRPr="00F74886">
              <w:rPr>
                <w:rFonts w:ascii="Times New Roman" w:hAnsi="Times New Roman"/>
                <w:bCs/>
                <w:kern w:val="0"/>
                <w:szCs w:val="21"/>
              </w:rPr>
              <w:t>300</w:t>
            </w:r>
            <w:r w:rsidRPr="00F74886">
              <w:rPr>
                <w:rFonts w:ascii="Times New Roman" w:hAnsi="Times New Roman"/>
                <w:bCs/>
                <w:kern w:val="0"/>
                <w:szCs w:val="21"/>
              </w:rPr>
              <w:t>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515050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5G</w:t>
            </w:r>
            <w:r w:rsidRPr="00F74886">
              <w:rPr>
                <w:rFonts w:ascii="Times New Roman" w:hAnsi="Times New Roman"/>
                <w:bCs/>
                <w:kern w:val="0"/>
                <w:szCs w:val="21"/>
              </w:rPr>
              <w:t>通信主题交易型开放式指数证券投资基金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000071</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恒生交易型开放式指数证券投资基金联接基金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007505</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AH</w:t>
            </w:r>
            <w:r w:rsidRPr="00F74886">
              <w:rPr>
                <w:rFonts w:ascii="Times New Roman" w:hAnsi="Times New Roman"/>
                <w:bCs/>
                <w:kern w:val="0"/>
                <w:szCs w:val="21"/>
              </w:rPr>
              <w:t>经济蓝筹股票指数发起式证券投资基金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159920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恒生交易型开放式指数证券投资基金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007186</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华夏中债</w:t>
            </w:r>
            <w:r w:rsidRPr="00F74886">
              <w:rPr>
                <w:rFonts w:ascii="Times New Roman" w:hAnsi="Times New Roman"/>
                <w:bCs/>
                <w:kern w:val="0"/>
                <w:szCs w:val="21"/>
              </w:rPr>
              <w:t>3-5</w:t>
            </w:r>
            <w:r w:rsidRPr="00F74886">
              <w:rPr>
                <w:rFonts w:ascii="Times New Roman" w:hAnsi="Times New Roman"/>
                <w:bCs/>
                <w:kern w:val="0"/>
                <w:szCs w:val="21"/>
              </w:rPr>
              <w:t>年政策性金融债指数证券投资基金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001021</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亚债中国债券指数基金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007472</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华夏创业板低波蓝筹交易型开放式指数证券投资基金发起式联接基金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000051</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华夏沪深</w:t>
            </w:r>
            <w:r w:rsidRPr="00F74886">
              <w:rPr>
                <w:rFonts w:ascii="Times New Roman" w:hAnsi="Times New Roman"/>
                <w:bCs/>
                <w:kern w:val="0"/>
                <w:szCs w:val="21"/>
              </w:rPr>
              <w:t>300</w:t>
            </w:r>
            <w:r w:rsidRPr="00F74886">
              <w:rPr>
                <w:rFonts w:ascii="Times New Roman" w:hAnsi="Times New Roman"/>
                <w:bCs/>
                <w:kern w:val="0"/>
                <w:szCs w:val="21"/>
              </w:rPr>
              <w:t>交易型开放式指数证券投资基金联接基金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007474</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华夏创业板动量成长交易型开放式指数证券投资基金发起式联接基金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159902</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中小企业板交易型开放式指数基金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159967</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华夏创业板动量成长交易型开放式指数证券投资基金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510050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上证</w:t>
            </w:r>
            <w:r w:rsidRPr="00F74886">
              <w:rPr>
                <w:rFonts w:ascii="Times New Roman" w:hAnsi="Times New Roman"/>
                <w:bCs/>
                <w:kern w:val="0"/>
                <w:szCs w:val="21"/>
              </w:rPr>
              <w:t>50</w:t>
            </w:r>
            <w:r w:rsidRPr="00F74886">
              <w:rPr>
                <w:rFonts w:ascii="Times New Roman" w:hAnsi="Times New Roman"/>
                <w:bCs/>
                <w:kern w:val="0"/>
                <w:szCs w:val="21"/>
              </w:rPr>
              <w:t>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159966</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华夏创业板低波蓝筹交易型开放式指数证券投资基金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159850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华夏恒生中国企业交易型开放式指数证券投资基金（</w:t>
            </w:r>
            <w:r w:rsidRPr="00F74886">
              <w:rPr>
                <w:rFonts w:ascii="Times New Roman" w:hAnsi="Times New Roman"/>
                <w:bCs/>
                <w:kern w:val="0"/>
                <w:szCs w:val="21"/>
              </w:rPr>
              <w:t>QDII</w:t>
            </w:r>
            <w:r w:rsidRPr="00F74886">
              <w:rPr>
                <w:rFonts w:ascii="Times New Roman" w:hAnsi="Times New Roman"/>
                <w:bCs/>
                <w:kern w:val="0"/>
                <w:szCs w:val="21"/>
              </w:rPr>
              <w:t>）</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513520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华夏野村日经</w:t>
            </w:r>
            <w:r w:rsidRPr="00F74886">
              <w:rPr>
                <w:rFonts w:ascii="Times New Roman" w:hAnsi="Times New Roman"/>
                <w:bCs/>
                <w:kern w:val="0"/>
                <w:szCs w:val="21"/>
              </w:rPr>
              <w:t>225</w:t>
            </w:r>
            <w:r w:rsidRPr="00F74886">
              <w:rPr>
                <w:rFonts w:ascii="Times New Roman" w:hAnsi="Times New Roman"/>
                <w:bCs/>
                <w:kern w:val="0"/>
                <w:szCs w:val="21"/>
              </w:rPr>
              <w:t>交易型开放式指数证券投资基金（</w:t>
            </w:r>
            <w:r w:rsidRPr="00F74886">
              <w:rPr>
                <w:rFonts w:ascii="Times New Roman" w:hAnsi="Times New Roman"/>
                <w:bCs/>
                <w:kern w:val="0"/>
                <w:szCs w:val="21"/>
              </w:rPr>
              <w:t>QDII</w:t>
            </w:r>
            <w:r w:rsidRPr="00F74886">
              <w:rPr>
                <w:rFonts w:ascii="Times New Roman" w:hAnsi="Times New Roman"/>
                <w:bCs/>
                <w:kern w:val="0"/>
                <w:szCs w:val="21"/>
              </w:rPr>
              <w:t>）</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516000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华夏中证大数据产业交易型开放式指数证券投资基金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006909</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战略新兴成指交易型开放式指数证券投资基金发起式联接基金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159869</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华夏中证动漫游戏交易型开放式指数证券投资基金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007165</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华夏中债</w:t>
            </w:r>
            <w:r w:rsidRPr="00F74886">
              <w:rPr>
                <w:rFonts w:ascii="Times New Roman" w:hAnsi="Times New Roman"/>
                <w:bCs/>
                <w:kern w:val="0"/>
                <w:szCs w:val="21"/>
              </w:rPr>
              <w:t>1-3</w:t>
            </w:r>
            <w:r w:rsidRPr="00F74886">
              <w:rPr>
                <w:rFonts w:ascii="Times New Roman" w:hAnsi="Times New Roman"/>
                <w:bCs/>
                <w:kern w:val="0"/>
                <w:szCs w:val="21"/>
              </w:rPr>
              <w:t>年政策性金融债指数证券投资基金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516500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华夏中证生物科技主题交易型开放式指数证券投资基金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159962</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华夏中证四川国企改革交易型开放式指数证券投资基金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159845</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w:t>
            </w:r>
            <w:r w:rsidRPr="00F74886">
              <w:rPr>
                <w:rFonts w:ascii="Times New Roman" w:hAnsi="Times New Roman"/>
                <w:bCs/>
                <w:kern w:val="0"/>
                <w:szCs w:val="21"/>
              </w:rPr>
              <w:t>1000</w:t>
            </w:r>
            <w:r w:rsidRPr="00F74886">
              <w:rPr>
                <w:rFonts w:ascii="Times New Roman" w:hAnsi="Times New Roman"/>
                <w:bCs/>
                <w:kern w:val="0"/>
                <w:szCs w:val="21"/>
              </w:rPr>
              <w:t>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006560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华夏中证四川国企改革交易型开放式</w:t>
            </w:r>
            <w:r w:rsidRPr="00F74886">
              <w:rPr>
                <w:rFonts w:ascii="Times New Roman" w:hAnsi="Times New Roman"/>
                <w:bCs/>
                <w:kern w:val="0"/>
                <w:szCs w:val="21"/>
              </w:rPr>
              <w:lastRenderedPageBreak/>
              <w:t>指数证券投资基金发起式联接基金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lastRenderedPageBreak/>
              <w:t>011612</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华夏上证科创板</w:t>
            </w:r>
            <w:r w:rsidRPr="00F74886">
              <w:rPr>
                <w:rFonts w:ascii="Times New Roman" w:hAnsi="Times New Roman"/>
                <w:bCs/>
                <w:kern w:val="0"/>
                <w:szCs w:val="21"/>
              </w:rPr>
              <w:t>50</w:t>
            </w:r>
            <w:r w:rsidRPr="00F74886">
              <w:rPr>
                <w:rFonts w:ascii="Times New Roman" w:hAnsi="Times New Roman"/>
                <w:bCs/>
                <w:kern w:val="0"/>
                <w:szCs w:val="21"/>
              </w:rPr>
              <w:t>成份交易型开放式指数证</w:t>
            </w:r>
            <w:r w:rsidRPr="00F74886">
              <w:rPr>
                <w:rFonts w:ascii="Times New Roman" w:hAnsi="Times New Roman"/>
                <w:bCs/>
                <w:kern w:val="0"/>
                <w:szCs w:val="21"/>
              </w:rPr>
              <w:lastRenderedPageBreak/>
              <w:t>券投资基金发起式联接基金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lastRenderedPageBreak/>
              <w:t>006196</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华夏中证央企结构调整交易型开放式指数证券投资基金联接基金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516850</w:t>
            </w: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华夏中证新能源交易型开放式指数证券投资基金</w:t>
            </w:r>
          </w:p>
        </w:tc>
      </w:tr>
      <w:tr w:rsidR="001D01E5" w:rsidRPr="008545BE" w:rsidTr="003821E3">
        <w:trP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r w:rsidRPr="00F74886">
              <w:rPr>
                <w:rFonts w:ascii="Times New Roman" w:hAnsi="Times New Roman"/>
                <w:bCs/>
                <w:kern w:val="0"/>
                <w:szCs w:val="21"/>
              </w:rPr>
              <w:t>512950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r w:rsidRPr="00F74886">
              <w:rPr>
                <w:rFonts w:ascii="Times New Roman" w:hAnsi="Times New Roman"/>
                <w:bCs/>
                <w:kern w:val="0"/>
                <w:szCs w:val="21"/>
              </w:rPr>
              <w:t>华夏中证央企结构调整交易型开放式指数证券投资基金</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jc w:val="center"/>
              <w:rPr>
                <w:rFonts w:ascii="Times New Roman" w:hAnsi="Times New Roman"/>
                <w:bCs/>
                <w:kern w:val="0"/>
                <w:szCs w:val="21"/>
              </w:rPr>
            </w:pPr>
          </w:p>
        </w:tc>
        <w:tc>
          <w:tcPr>
            <w:tcW w:w="4256" w:type="dxa"/>
            <w:tcBorders>
              <w:top w:val="single" w:sz="4" w:space="0" w:color="auto"/>
              <w:left w:val="nil"/>
              <w:bottom w:val="single" w:sz="4" w:space="0" w:color="auto"/>
              <w:right w:val="single" w:sz="4" w:space="0" w:color="auto"/>
            </w:tcBorders>
            <w:shd w:val="clear" w:color="auto" w:fill="auto"/>
            <w:noWrap/>
            <w:vAlign w:val="center"/>
          </w:tcPr>
          <w:p w:rsidR="001D01E5" w:rsidRPr="00F74886" w:rsidRDefault="001D01E5" w:rsidP="00A33F5F">
            <w:pPr>
              <w:autoSpaceDE w:val="0"/>
              <w:autoSpaceDN w:val="0"/>
              <w:adjustRightInd w:val="0"/>
              <w:rPr>
                <w:rFonts w:ascii="Times New Roman" w:hAnsi="Times New Roman"/>
                <w:bCs/>
                <w:kern w:val="0"/>
                <w:szCs w:val="21"/>
              </w:rPr>
            </w:pPr>
          </w:p>
        </w:tc>
      </w:tr>
    </w:tbl>
    <w:p w:rsidR="00B33D8C" w:rsidRDefault="00D65634" w:rsidP="00A33F5F">
      <w:pPr>
        <w:autoSpaceDE w:val="0"/>
        <w:autoSpaceDN w:val="0"/>
        <w:adjustRightInd w:val="0"/>
        <w:spacing w:line="360" w:lineRule="auto"/>
        <w:ind w:firstLineChars="200" w:firstLine="480"/>
        <w:rPr>
          <w:rFonts w:ascii="Times New Roman" w:hAnsi="Times New Roman"/>
          <w:kern w:val="0"/>
          <w:sz w:val="24"/>
          <w:szCs w:val="24"/>
        </w:rPr>
      </w:pPr>
      <w:r w:rsidRPr="009D1B86">
        <w:rPr>
          <w:rFonts w:ascii="Times New Roman" w:hAnsi="Times New Roman" w:hint="eastAsia"/>
          <w:kern w:val="0"/>
          <w:sz w:val="24"/>
          <w:szCs w:val="24"/>
        </w:rPr>
        <w:t>二、</w:t>
      </w:r>
      <w:r w:rsidR="00515D56">
        <w:rPr>
          <w:rFonts w:ascii="Times New Roman" w:hAnsi="Times New Roman" w:hint="eastAsia"/>
          <w:kern w:val="0"/>
          <w:sz w:val="24"/>
          <w:szCs w:val="24"/>
        </w:rPr>
        <w:t>对</w:t>
      </w:r>
      <w:r w:rsidRPr="009D1B86">
        <w:rPr>
          <w:rFonts w:ascii="Times New Roman" w:hAnsi="Times New Roman" w:hint="eastAsia"/>
          <w:kern w:val="0"/>
          <w:sz w:val="24"/>
          <w:szCs w:val="24"/>
        </w:rPr>
        <w:t>基金合同</w:t>
      </w:r>
      <w:r w:rsidR="00515D56">
        <w:rPr>
          <w:rFonts w:ascii="Times New Roman" w:hAnsi="Times New Roman" w:hint="eastAsia"/>
          <w:kern w:val="0"/>
          <w:sz w:val="24"/>
          <w:szCs w:val="24"/>
        </w:rPr>
        <w:t>和招募说明书</w:t>
      </w:r>
      <w:r w:rsidR="00CE26C1">
        <w:rPr>
          <w:rFonts w:ascii="Times New Roman" w:hAnsi="Times New Roman" w:hint="eastAsia"/>
          <w:kern w:val="0"/>
          <w:sz w:val="24"/>
          <w:szCs w:val="24"/>
        </w:rPr>
        <w:t>的</w:t>
      </w:r>
      <w:r w:rsidRPr="009D1B86">
        <w:rPr>
          <w:rFonts w:ascii="Times New Roman" w:hAnsi="Times New Roman" w:hint="eastAsia"/>
          <w:kern w:val="0"/>
          <w:sz w:val="24"/>
          <w:szCs w:val="24"/>
        </w:rPr>
        <w:t>修订</w:t>
      </w:r>
    </w:p>
    <w:p w:rsidR="00D57439" w:rsidRDefault="00D57439" w:rsidP="00A33F5F">
      <w:pPr>
        <w:autoSpaceDE w:val="0"/>
        <w:autoSpaceDN w:val="0"/>
        <w:adjustRightInd w:val="0"/>
        <w:spacing w:line="360" w:lineRule="auto"/>
        <w:ind w:firstLineChars="200" w:firstLine="480"/>
        <w:rPr>
          <w:rFonts w:ascii="Times New Roman" w:hAnsi="Times New Roman"/>
          <w:sz w:val="24"/>
          <w:szCs w:val="24"/>
        </w:rPr>
      </w:pPr>
      <w:r>
        <w:rPr>
          <w:rFonts w:ascii="Times New Roman" w:hAnsi="Times New Roman" w:hint="eastAsia"/>
          <w:sz w:val="24"/>
          <w:szCs w:val="24"/>
        </w:rPr>
        <w:t>（一）</w:t>
      </w:r>
      <w:r w:rsidRPr="006D56C7">
        <w:rPr>
          <w:rFonts w:ascii="Times New Roman" w:hAnsi="Times New Roman" w:hint="eastAsia"/>
          <w:sz w:val="24"/>
          <w:szCs w:val="24"/>
        </w:rPr>
        <w:t>在</w:t>
      </w:r>
      <w:r w:rsidRPr="00656029">
        <w:rPr>
          <w:rFonts w:ascii="Times New Roman" w:hAnsi="Times New Roman" w:hint="eastAsia"/>
          <w:sz w:val="24"/>
          <w:szCs w:val="24"/>
        </w:rPr>
        <w:t>基金合同“前言”</w:t>
      </w:r>
      <w:r w:rsidR="004E6BC1">
        <w:rPr>
          <w:rFonts w:ascii="Times New Roman" w:hAnsi="Times New Roman" w:hint="eastAsia"/>
          <w:sz w:val="24"/>
          <w:szCs w:val="24"/>
        </w:rPr>
        <w:t>章节</w:t>
      </w:r>
      <w:r w:rsidRPr="00656029">
        <w:rPr>
          <w:rFonts w:ascii="Times New Roman" w:hAnsi="Times New Roman" w:hint="eastAsia"/>
          <w:sz w:val="24"/>
          <w:szCs w:val="24"/>
        </w:rPr>
        <w:t>中增加有关风险提示内容如下：</w:t>
      </w:r>
    </w:p>
    <w:p w:rsidR="00884A4F" w:rsidRDefault="00884A4F" w:rsidP="00A33F5F">
      <w:pPr>
        <w:autoSpaceDE w:val="0"/>
        <w:autoSpaceDN w:val="0"/>
        <w:adjustRightIn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sidRPr="00620C01">
        <w:rPr>
          <w:rFonts w:ascii="Times New Roman" w:hAnsi="Times New Roman" w:hint="eastAsia"/>
          <w:b/>
          <w:sz w:val="24"/>
          <w:szCs w:val="24"/>
        </w:rPr>
        <w:t>本基金可能出现跟踪误差控制未达约定目标、指数编制机构停止服务、成份券停牌或违约等风险，具体见本基金招募说明书。</w:t>
      </w:r>
      <w:r>
        <w:rPr>
          <w:rFonts w:ascii="Times New Roman" w:hAnsi="Times New Roman" w:hint="eastAsia"/>
          <w:sz w:val="24"/>
          <w:szCs w:val="24"/>
        </w:rPr>
        <w:t>”</w:t>
      </w:r>
    </w:p>
    <w:p w:rsidR="00E627F4" w:rsidRDefault="00884A4F" w:rsidP="00A33F5F">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5256F">
        <w:rPr>
          <w:rFonts w:ascii="Times New Roman" w:hAnsi="Times New Roman" w:hint="eastAsia"/>
          <w:sz w:val="24"/>
          <w:szCs w:val="24"/>
        </w:rPr>
        <w:t>对</w:t>
      </w:r>
      <w:r w:rsidRPr="00656029">
        <w:rPr>
          <w:rFonts w:ascii="Times New Roman" w:hAnsi="Times New Roman" w:hint="eastAsia"/>
          <w:sz w:val="24"/>
          <w:szCs w:val="24"/>
        </w:rPr>
        <w:t>基金合同</w:t>
      </w:r>
      <w:r w:rsidR="00F422DC">
        <w:rPr>
          <w:rFonts w:ascii="Times New Roman" w:hAnsi="Times New Roman" w:hint="eastAsia"/>
          <w:sz w:val="24"/>
          <w:szCs w:val="24"/>
        </w:rPr>
        <w:t>“基金的基本情况”</w:t>
      </w:r>
      <w:r w:rsidR="00971FFD">
        <w:rPr>
          <w:rFonts w:ascii="Times New Roman" w:hAnsi="Times New Roman" w:hint="eastAsia"/>
          <w:sz w:val="24"/>
          <w:szCs w:val="24"/>
        </w:rPr>
        <w:t>和</w:t>
      </w:r>
      <w:r w:rsidR="00971FFD">
        <w:rPr>
          <w:rFonts w:ascii="Times New Roman" w:hAnsi="Times New Roman" w:hint="eastAsia"/>
          <w:sz w:val="24"/>
          <w:szCs w:val="24"/>
        </w:rPr>
        <w:t>/</w:t>
      </w:r>
      <w:r w:rsidR="00971FFD">
        <w:rPr>
          <w:rFonts w:ascii="Times New Roman" w:hAnsi="Times New Roman" w:hint="eastAsia"/>
          <w:sz w:val="24"/>
          <w:szCs w:val="24"/>
        </w:rPr>
        <w:t>或</w:t>
      </w:r>
      <w:r w:rsidR="00F422DC">
        <w:rPr>
          <w:rFonts w:ascii="Times New Roman" w:hAnsi="Times New Roman" w:hint="eastAsia"/>
          <w:sz w:val="24"/>
          <w:szCs w:val="24"/>
        </w:rPr>
        <w:t>“基金的投资”章节中</w:t>
      </w:r>
      <w:r w:rsidR="00874736">
        <w:rPr>
          <w:rFonts w:ascii="Times New Roman" w:hAnsi="Times New Roman" w:hint="eastAsia"/>
          <w:sz w:val="24"/>
          <w:szCs w:val="24"/>
        </w:rPr>
        <w:t>有关</w:t>
      </w:r>
      <w:r>
        <w:rPr>
          <w:rFonts w:ascii="Times New Roman" w:hAnsi="Times New Roman" w:hint="eastAsia"/>
          <w:sz w:val="24"/>
          <w:szCs w:val="24"/>
        </w:rPr>
        <w:t>标的指数</w:t>
      </w:r>
      <w:r w:rsidR="00874736">
        <w:rPr>
          <w:rFonts w:ascii="Times New Roman" w:hAnsi="Times New Roman" w:hint="eastAsia"/>
          <w:sz w:val="24"/>
          <w:szCs w:val="24"/>
        </w:rPr>
        <w:t>发生</w:t>
      </w:r>
      <w:r w:rsidR="00E97806">
        <w:rPr>
          <w:rFonts w:ascii="Times New Roman" w:hAnsi="Times New Roman" w:hint="eastAsia"/>
          <w:sz w:val="24"/>
          <w:szCs w:val="24"/>
        </w:rPr>
        <w:t>特定情形时的处置安排</w:t>
      </w:r>
      <w:r w:rsidR="00B5256F">
        <w:rPr>
          <w:rFonts w:ascii="Times New Roman" w:hAnsi="Times New Roman" w:hint="eastAsia"/>
          <w:sz w:val="24"/>
          <w:szCs w:val="24"/>
        </w:rPr>
        <w:t>进行修订</w:t>
      </w:r>
      <w:r w:rsidR="00E627F4">
        <w:rPr>
          <w:rFonts w:ascii="Times New Roman" w:hAnsi="Times New Roman" w:hint="eastAsia"/>
          <w:sz w:val="24"/>
          <w:szCs w:val="24"/>
        </w:rPr>
        <w:t>，</w:t>
      </w:r>
      <w:r w:rsidR="00F422DC">
        <w:rPr>
          <w:rFonts w:ascii="Times New Roman" w:hAnsi="Times New Roman" w:hint="eastAsia"/>
          <w:sz w:val="24"/>
          <w:szCs w:val="24"/>
        </w:rPr>
        <w:t>各基金基金合同中</w:t>
      </w:r>
      <w:r w:rsidR="00B95A64">
        <w:rPr>
          <w:rFonts w:ascii="Times New Roman" w:hAnsi="Times New Roman" w:hint="eastAsia"/>
          <w:sz w:val="24"/>
          <w:szCs w:val="24"/>
        </w:rPr>
        <w:t>该部分内容</w:t>
      </w:r>
      <w:r w:rsidR="00F422DC">
        <w:rPr>
          <w:rFonts w:ascii="Times New Roman" w:hAnsi="Times New Roman" w:hint="eastAsia"/>
          <w:sz w:val="24"/>
          <w:szCs w:val="24"/>
        </w:rPr>
        <w:t>列示章节</w:t>
      </w:r>
      <w:r w:rsidR="00132F71">
        <w:rPr>
          <w:rFonts w:ascii="Times New Roman" w:hAnsi="Times New Roman" w:hint="eastAsia"/>
          <w:sz w:val="24"/>
          <w:szCs w:val="24"/>
        </w:rPr>
        <w:t>可能</w:t>
      </w:r>
      <w:r w:rsidR="00F422DC">
        <w:rPr>
          <w:rFonts w:ascii="Times New Roman" w:hAnsi="Times New Roman" w:hint="eastAsia"/>
          <w:sz w:val="24"/>
          <w:szCs w:val="24"/>
        </w:rPr>
        <w:t>存在差异，</w:t>
      </w:r>
      <w:r w:rsidR="00E627F4">
        <w:rPr>
          <w:rFonts w:ascii="Times New Roman" w:hAnsi="Times New Roman" w:hint="eastAsia"/>
          <w:sz w:val="24"/>
          <w:szCs w:val="24"/>
        </w:rPr>
        <w:t>具体修订详见各基金基金合同。</w:t>
      </w:r>
      <w:r w:rsidR="00E77205">
        <w:rPr>
          <w:rFonts w:ascii="Times New Roman" w:hAnsi="Times New Roman" w:hint="eastAsia"/>
          <w:sz w:val="24"/>
          <w:szCs w:val="24"/>
        </w:rPr>
        <w:t>有关标的指数发生特定情形时的处置安排修订如下：</w:t>
      </w:r>
    </w:p>
    <w:p w:rsidR="002D48CE" w:rsidRPr="003821E3" w:rsidRDefault="00884A4F" w:rsidP="00A33F5F">
      <w:pPr>
        <w:spacing w:line="360" w:lineRule="auto"/>
        <w:ind w:firstLineChars="200" w:firstLine="480"/>
        <w:rPr>
          <w:rFonts w:ascii="Times New Roman" w:hAnsi="Times New Roman"/>
          <w:b/>
          <w:sz w:val="24"/>
          <w:szCs w:val="24"/>
        </w:rPr>
      </w:pPr>
      <w:r w:rsidRPr="00C26DE2">
        <w:rPr>
          <w:rFonts w:ascii="Times New Roman" w:hAnsi="Times New Roman" w:hint="eastAsia"/>
          <w:sz w:val="24"/>
          <w:szCs w:val="24"/>
        </w:rPr>
        <w:t>“</w:t>
      </w:r>
      <w:r w:rsidR="002D48CE" w:rsidRPr="003821E3">
        <w:rPr>
          <w:rFonts w:ascii="Times New Roman" w:hAnsi="Times New Roman" w:hint="eastAsia"/>
          <w:b/>
          <w:sz w:val="24"/>
          <w:szCs w:val="24"/>
        </w:rPr>
        <w:t>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002D48CE" w:rsidRPr="003821E3">
        <w:rPr>
          <w:rFonts w:ascii="Times New Roman" w:hAnsi="Times New Roman" w:hint="eastAsia"/>
          <w:b/>
          <w:sz w:val="24"/>
          <w:szCs w:val="24"/>
        </w:rPr>
        <w:t>6</w:t>
      </w:r>
      <w:r w:rsidR="002D48CE" w:rsidRPr="003821E3">
        <w:rPr>
          <w:rFonts w:ascii="Times New Roman" w:hAnsi="Times New Roman" w:hint="eastAsia"/>
          <w:b/>
          <w:sz w:val="24"/>
          <w:szCs w:val="24"/>
        </w:rPr>
        <w:t>个月内召集基金份额持有人大会进行表决。</w:t>
      </w:r>
    </w:p>
    <w:p w:rsidR="002D48CE" w:rsidRPr="003821E3" w:rsidRDefault="002D48CE" w:rsidP="00A33F5F">
      <w:pPr>
        <w:spacing w:line="360" w:lineRule="auto"/>
        <w:ind w:firstLineChars="200" w:firstLine="482"/>
        <w:rPr>
          <w:rFonts w:ascii="Times New Roman" w:hAnsi="Times New Roman"/>
          <w:b/>
          <w:sz w:val="24"/>
          <w:szCs w:val="24"/>
        </w:rPr>
      </w:pPr>
      <w:r w:rsidRPr="003821E3">
        <w:rPr>
          <w:rFonts w:ascii="Times New Roman" w:hAnsi="Times New Roman" w:hint="eastAsia"/>
          <w:b/>
          <w:sz w:val="24"/>
          <w:szCs w:val="24"/>
        </w:rPr>
        <w:t>在指数停止编制发布至解决方案确定期间，基金管理人应按照最近一个交易日的指数信息维持基金投资运作。</w:t>
      </w:r>
    </w:p>
    <w:p w:rsidR="00884A4F" w:rsidRDefault="002D48CE" w:rsidP="00A33F5F">
      <w:pPr>
        <w:spacing w:line="360" w:lineRule="auto"/>
        <w:ind w:firstLineChars="200" w:firstLine="482"/>
        <w:rPr>
          <w:rFonts w:ascii="Times New Roman" w:hAnsi="Times New Roman"/>
          <w:sz w:val="24"/>
          <w:szCs w:val="24"/>
        </w:rPr>
      </w:pPr>
      <w:r w:rsidRPr="003821E3">
        <w:rPr>
          <w:rFonts w:ascii="Times New Roman" w:hAnsi="Times New Roman" w:hint="eastAsia"/>
          <w:b/>
          <w:sz w:val="24"/>
          <w:szCs w:val="24"/>
        </w:rPr>
        <w:t>法律法规或监管机构另有规定的，从其规定。</w:t>
      </w:r>
      <w:r w:rsidR="00884A4F" w:rsidRPr="006A6CA5">
        <w:rPr>
          <w:rFonts w:ascii="Times New Roman" w:hAnsi="Times New Roman" w:hint="eastAsia"/>
          <w:sz w:val="24"/>
          <w:szCs w:val="24"/>
        </w:rPr>
        <w:t>”</w:t>
      </w:r>
    </w:p>
    <w:p w:rsidR="005F1C9B" w:rsidRDefault="005F1C9B" w:rsidP="00A33F5F">
      <w:pPr>
        <w:spacing w:line="360" w:lineRule="auto"/>
        <w:ind w:firstLineChars="200" w:firstLine="480"/>
        <w:rPr>
          <w:rFonts w:ascii="Times New Roman" w:hAnsi="Times New Roman"/>
          <w:sz w:val="24"/>
          <w:szCs w:val="24"/>
        </w:rPr>
      </w:pPr>
      <w:r w:rsidRPr="006A6CA5">
        <w:rPr>
          <w:rFonts w:ascii="Times New Roman" w:hAnsi="Times New Roman" w:hint="eastAsia"/>
          <w:sz w:val="24"/>
          <w:szCs w:val="24"/>
        </w:rPr>
        <w:t>（三）对于采取抽样复制策略进行投资的指数证券投资基金，</w:t>
      </w:r>
      <w:r>
        <w:rPr>
          <w:rFonts w:ascii="Times New Roman" w:hAnsi="Times New Roman" w:hint="eastAsia"/>
          <w:sz w:val="24"/>
          <w:szCs w:val="24"/>
        </w:rPr>
        <w:t>在</w:t>
      </w:r>
      <w:r w:rsidRPr="00656029">
        <w:rPr>
          <w:rFonts w:ascii="Times New Roman" w:hAnsi="Times New Roman" w:hint="eastAsia"/>
          <w:sz w:val="24"/>
          <w:szCs w:val="24"/>
        </w:rPr>
        <w:t>基金合同</w:t>
      </w:r>
      <w:r>
        <w:rPr>
          <w:rFonts w:ascii="Times New Roman" w:hAnsi="Times New Roman" w:hint="eastAsia"/>
          <w:sz w:val="24"/>
          <w:szCs w:val="24"/>
        </w:rPr>
        <w:t>“基金的投资”章节</w:t>
      </w:r>
      <w:r w:rsidR="00CC0748">
        <w:rPr>
          <w:rFonts w:ascii="Times New Roman" w:hAnsi="Times New Roman" w:hint="eastAsia"/>
          <w:sz w:val="24"/>
          <w:szCs w:val="24"/>
        </w:rPr>
        <w:t>中</w:t>
      </w:r>
      <w:r>
        <w:rPr>
          <w:rFonts w:ascii="Times New Roman" w:hAnsi="Times New Roman" w:hint="eastAsia"/>
          <w:sz w:val="24"/>
          <w:szCs w:val="24"/>
        </w:rPr>
        <w:t>增加</w:t>
      </w:r>
      <w:r w:rsidR="00CC0748">
        <w:rPr>
          <w:rFonts w:ascii="Times New Roman" w:hAnsi="Times New Roman" w:hint="eastAsia"/>
          <w:sz w:val="24"/>
          <w:szCs w:val="24"/>
        </w:rPr>
        <w:t>有关投资比例限制如下：</w:t>
      </w:r>
    </w:p>
    <w:p w:rsidR="00CC0748" w:rsidRPr="003821E3" w:rsidRDefault="00CC0748" w:rsidP="00A33F5F">
      <w:pPr>
        <w:spacing w:line="360" w:lineRule="auto"/>
        <w:ind w:firstLineChars="200" w:firstLine="480"/>
        <w:rPr>
          <w:rFonts w:ascii="Times New Roman" w:hAnsi="Times New Roman"/>
          <w:b/>
          <w:sz w:val="24"/>
          <w:szCs w:val="24"/>
        </w:rPr>
      </w:pPr>
      <w:r>
        <w:rPr>
          <w:rFonts w:ascii="Times New Roman" w:hAnsi="Times New Roman" w:hint="eastAsia"/>
          <w:sz w:val="24"/>
          <w:szCs w:val="24"/>
        </w:rPr>
        <w:t>“</w:t>
      </w:r>
      <w:r w:rsidRPr="003821E3">
        <w:rPr>
          <w:rFonts w:ascii="Times New Roman" w:hAnsi="Times New Roman" w:hint="eastAsia"/>
          <w:b/>
          <w:sz w:val="24"/>
          <w:szCs w:val="24"/>
        </w:rPr>
        <w:t>本基金持有一家公司发行的证券，其市值不超过基金资产净值的</w:t>
      </w:r>
      <w:r w:rsidRPr="003821E3">
        <w:rPr>
          <w:rFonts w:ascii="Times New Roman" w:hAnsi="Times New Roman" w:hint="eastAsia"/>
          <w:b/>
          <w:sz w:val="24"/>
          <w:szCs w:val="24"/>
        </w:rPr>
        <w:t>10%</w:t>
      </w:r>
      <w:r w:rsidRPr="003821E3">
        <w:rPr>
          <w:rFonts w:ascii="Times New Roman" w:hAnsi="Times New Roman" w:hint="eastAsia"/>
          <w:b/>
          <w:sz w:val="24"/>
          <w:szCs w:val="24"/>
        </w:rPr>
        <w:t>；但本基金跟踪标的指数的指数化投资部分不计入本项限制</w:t>
      </w:r>
      <w:r w:rsidR="00A331AC" w:rsidRPr="003821E3">
        <w:rPr>
          <w:rFonts w:ascii="Times New Roman" w:hAnsi="Times New Roman" w:hint="eastAsia"/>
          <w:b/>
          <w:sz w:val="24"/>
          <w:szCs w:val="24"/>
        </w:rPr>
        <w:t>；</w:t>
      </w:r>
    </w:p>
    <w:p w:rsidR="00CC0748" w:rsidRPr="006A6CA5" w:rsidRDefault="00CC0748" w:rsidP="00A33F5F">
      <w:pPr>
        <w:spacing w:line="360" w:lineRule="auto"/>
        <w:ind w:firstLineChars="200" w:firstLine="482"/>
        <w:rPr>
          <w:rFonts w:ascii="Times New Roman" w:hAnsi="Times New Roman"/>
          <w:sz w:val="24"/>
          <w:szCs w:val="24"/>
        </w:rPr>
      </w:pPr>
      <w:r w:rsidRPr="003821E3">
        <w:rPr>
          <w:rFonts w:ascii="Times New Roman" w:hAnsi="Times New Roman" w:hint="eastAsia"/>
          <w:b/>
          <w:sz w:val="24"/>
          <w:szCs w:val="24"/>
        </w:rPr>
        <w:t>本基金管理人管理的全部基金持有一家公司发行的证券，不超过该证券的</w:t>
      </w:r>
      <w:r w:rsidRPr="003821E3">
        <w:rPr>
          <w:rFonts w:ascii="Times New Roman" w:hAnsi="Times New Roman" w:hint="eastAsia"/>
          <w:b/>
          <w:sz w:val="24"/>
          <w:szCs w:val="24"/>
        </w:rPr>
        <w:t>10%</w:t>
      </w:r>
      <w:r w:rsidRPr="003821E3">
        <w:rPr>
          <w:rFonts w:ascii="Times New Roman" w:hAnsi="Times New Roman" w:hint="eastAsia"/>
          <w:b/>
          <w:sz w:val="24"/>
          <w:szCs w:val="24"/>
        </w:rPr>
        <w:t>；但本基金跟踪标的指数的指数化投资部分不计入本项限制</w:t>
      </w:r>
      <w:r w:rsidR="0006797A" w:rsidRPr="003821E3">
        <w:rPr>
          <w:rFonts w:ascii="Times New Roman" w:hAnsi="Times New Roman" w:hint="eastAsia"/>
          <w:b/>
          <w:sz w:val="24"/>
          <w:szCs w:val="24"/>
        </w:rPr>
        <w:t>。</w:t>
      </w:r>
      <w:r>
        <w:rPr>
          <w:rFonts w:ascii="Times New Roman" w:hAnsi="Times New Roman" w:hint="eastAsia"/>
          <w:sz w:val="24"/>
          <w:szCs w:val="24"/>
        </w:rPr>
        <w:t>”</w:t>
      </w:r>
    </w:p>
    <w:p w:rsidR="009B2D18" w:rsidRPr="006A6CA5" w:rsidRDefault="009B2D18" w:rsidP="00A33F5F">
      <w:pPr>
        <w:spacing w:line="360" w:lineRule="auto"/>
        <w:ind w:firstLineChars="200" w:firstLine="480"/>
        <w:rPr>
          <w:rFonts w:ascii="Times New Roman" w:hAnsi="Times New Roman"/>
          <w:sz w:val="24"/>
          <w:szCs w:val="24"/>
        </w:rPr>
      </w:pPr>
      <w:r w:rsidRPr="006A6CA5">
        <w:rPr>
          <w:rFonts w:ascii="Times New Roman" w:hAnsi="Times New Roman" w:hint="eastAsia"/>
          <w:sz w:val="24"/>
          <w:szCs w:val="24"/>
        </w:rPr>
        <w:t>（</w:t>
      </w:r>
      <w:r w:rsidR="00C2514D">
        <w:rPr>
          <w:rFonts w:ascii="Times New Roman" w:hAnsi="Times New Roman" w:hint="eastAsia"/>
          <w:sz w:val="24"/>
          <w:szCs w:val="24"/>
        </w:rPr>
        <w:t>四</w:t>
      </w:r>
      <w:r w:rsidRPr="006A6CA5">
        <w:rPr>
          <w:rFonts w:ascii="Times New Roman" w:hAnsi="Times New Roman" w:hint="eastAsia"/>
          <w:sz w:val="24"/>
          <w:szCs w:val="24"/>
        </w:rPr>
        <w:t>）基金管理人已根据基金合同修订内容相应修改了各基金招募说明书或其更新，并在招募说明书或其更新中新增了如下</w:t>
      </w:r>
      <w:r w:rsidR="00AA6CBC" w:rsidRPr="006A6CA5">
        <w:rPr>
          <w:rFonts w:ascii="Times New Roman" w:hAnsi="Times New Roman" w:hint="eastAsia"/>
          <w:sz w:val="24"/>
          <w:szCs w:val="24"/>
        </w:rPr>
        <w:t>内容</w:t>
      </w:r>
      <w:r w:rsidRPr="006A6CA5">
        <w:rPr>
          <w:rFonts w:ascii="Times New Roman" w:hAnsi="Times New Roman" w:hint="eastAsia"/>
          <w:sz w:val="24"/>
          <w:szCs w:val="24"/>
        </w:rPr>
        <w:t>：</w:t>
      </w:r>
    </w:p>
    <w:p w:rsidR="00884A4F" w:rsidRPr="008215C6" w:rsidRDefault="009B2D18" w:rsidP="00A33F5F">
      <w:pPr>
        <w:spacing w:line="360" w:lineRule="auto"/>
        <w:ind w:firstLineChars="200" w:firstLine="480"/>
        <w:rPr>
          <w:rFonts w:ascii="Times New Roman" w:hAnsi="宋体"/>
          <w:sz w:val="24"/>
          <w:szCs w:val="24"/>
        </w:rPr>
      </w:pPr>
      <w:r>
        <w:rPr>
          <w:rFonts w:ascii="Times New Roman" w:hAnsi="宋体" w:hint="eastAsia"/>
          <w:sz w:val="24"/>
          <w:szCs w:val="24"/>
        </w:rPr>
        <w:t>1</w:t>
      </w:r>
      <w:r>
        <w:rPr>
          <w:rFonts w:ascii="Times New Roman" w:hAnsi="宋体" w:hint="eastAsia"/>
          <w:sz w:val="24"/>
          <w:szCs w:val="24"/>
        </w:rPr>
        <w:t>、在</w:t>
      </w:r>
      <w:r w:rsidR="00884A4F" w:rsidRPr="008215C6">
        <w:rPr>
          <w:rFonts w:ascii="Times New Roman" w:hAnsi="宋体" w:hint="eastAsia"/>
          <w:sz w:val="24"/>
          <w:szCs w:val="24"/>
        </w:rPr>
        <w:t>“基金的投资</w:t>
      </w:r>
      <w:r w:rsidR="00884A4F" w:rsidRPr="005B5495">
        <w:rPr>
          <w:rFonts w:ascii="Times New Roman" w:hAnsi="宋体" w:hint="eastAsia"/>
          <w:sz w:val="24"/>
          <w:szCs w:val="24"/>
        </w:rPr>
        <w:t>”</w:t>
      </w:r>
      <w:r>
        <w:rPr>
          <w:rFonts w:ascii="Times New Roman" w:hAnsi="宋体" w:hint="eastAsia"/>
          <w:sz w:val="24"/>
          <w:szCs w:val="24"/>
        </w:rPr>
        <w:t>章节中</w:t>
      </w:r>
      <w:r w:rsidR="009F0100" w:rsidRPr="003821E3">
        <w:rPr>
          <w:rFonts w:ascii="Times New Roman" w:hAnsi="宋体" w:hint="eastAsia"/>
          <w:b/>
          <w:sz w:val="24"/>
          <w:szCs w:val="24"/>
        </w:rPr>
        <w:t>新增</w:t>
      </w:r>
      <w:r w:rsidR="00C32EB8" w:rsidRPr="003821E3">
        <w:rPr>
          <w:rFonts w:ascii="Times New Roman" w:hAnsi="宋体" w:hint="eastAsia"/>
          <w:b/>
          <w:sz w:val="24"/>
          <w:szCs w:val="24"/>
        </w:rPr>
        <w:t>列明了</w:t>
      </w:r>
      <w:r w:rsidRPr="003821E3">
        <w:rPr>
          <w:rFonts w:ascii="Times New Roman" w:hAnsi="宋体" w:hint="eastAsia"/>
          <w:b/>
          <w:sz w:val="24"/>
          <w:szCs w:val="24"/>
        </w:rPr>
        <w:t>有关指数</w:t>
      </w:r>
      <w:r w:rsidR="00C774AF">
        <w:rPr>
          <w:rFonts w:ascii="Times New Roman" w:hAnsi="宋体" w:hint="eastAsia"/>
          <w:b/>
          <w:sz w:val="24"/>
          <w:szCs w:val="24"/>
        </w:rPr>
        <w:t>信息</w:t>
      </w:r>
      <w:r w:rsidR="00642AF9" w:rsidRPr="003821E3">
        <w:rPr>
          <w:rFonts w:ascii="Times New Roman" w:hAnsi="宋体" w:hint="eastAsia"/>
          <w:b/>
          <w:sz w:val="24"/>
          <w:szCs w:val="24"/>
        </w:rPr>
        <w:t>的查询途径，</w:t>
      </w:r>
      <w:r w:rsidR="00642AF9" w:rsidRPr="00081F7F">
        <w:rPr>
          <w:rFonts w:ascii="Times New Roman" w:hAnsi="宋体" w:hint="eastAsia"/>
          <w:sz w:val="24"/>
          <w:szCs w:val="24"/>
        </w:rPr>
        <w:t>并在招募说明书全文后</w:t>
      </w:r>
      <w:r w:rsidR="00642AF9" w:rsidRPr="003821E3">
        <w:rPr>
          <w:rFonts w:ascii="Times New Roman" w:hAnsi="宋体" w:hint="eastAsia"/>
          <w:b/>
          <w:sz w:val="24"/>
          <w:szCs w:val="24"/>
        </w:rPr>
        <w:t>新增标的指数编制方案</w:t>
      </w:r>
      <w:r w:rsidR="009D590B">
        <w:rPr>
          <w:rFonts w:ascii="Times New Roman" w:hAnsi="宋体" w:hint="eastAsia"/>
          <w:sz w:val="24"/>
          <w:szCs w:val="24"/>
        </w:rPr>
        <w:t>的附件</w:t>
      </w:r>
      <w:r w:rsidR="00642AF9" w:rsidRPr="00642AF9">
        <w:rPr>
          <w:rFonts w:ascii="Times New Roman" w:hAnsi="宋体" w:hint="eastAsia"/>
          <w:sz w:val="24"/>
          <w:szCs w:val="24"/>
        </w:rPr>
        <w:t>。</w:t>
      </w:r>
      <w:r w:rsidR="00642AF9">
        <w:rPr>
          <w:rFonts w:ascii="Times New Roman" w:hAnsi="宋体" w:hint="eastAsia"/>
          <w:sz w:val="24"/>
          <w:szCs w:val="24"/>
        </w:rPr>
        <w:t>具体详见各基金招募说明书（更新）</w:t>
      </w:r>
      <w:r w:rsidR="00F1400D">
        <w:rPr>
          <w:rFonts w:ascii="Times New Roman" w:hAnsi="宋体" w:hint="eastAsia"/>
          <w:sz w:val="24"/>
          <w:szCs w:val="24"/>
        </w:rPr>
        <w:t>。</w:t>
      </w:r>
    </w:p>
    <w:p w:rsidR="00884A4F" w:rsidRDefault="000E1385" w:rsidP="00A33F5F">
      <w:pPr>
        <w:spacing w:line="360" w:lineRule="auto"/>
        <w:ind w:firstLineChars="200" w:firstLine="480"/>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884A4F">
        <w:rPr>
          <w:rFonts w:ascii="Times New Roman" w:hAnsi="宋体" w:hint="eastAsia"/>
          <w:sz w:val="24"/>
          <w:szCs w:val="24"/>
        </w:rPr>
        <w:t>在</w:t>
      </w:r>
      <w:r w:rsidR="00884A4F" w:rsidRPr="00760CE0">
        <w:rPr>
          <w:rFonts w:ascii="Times New Roman" w:hAnsi="宋体" w:hint="eastAsia"/>
          <w:sz w:val="24"/>
          <w:szCs w:val="24"/>
        </w:rPr>
        <w:t>“</w:t>
      </w:r>
      <w:r w:rsidR="00884A4F">
        <w:rPr>
          <w:rFonts w:ascii="Times New Roman" w:hAnsi="宋体" w:hint="eastAsia"/>
          <w:sz w:val="24"/>
          <w:szCs w:val="24"/>
        </w:rPr>
        <w:t>风险揭示”中</w:t>
      </w:r>
      <w:r w:rsidR="00884A4F" w:rsidRPr="003821E3">
        <w:rPr>
          <w:rFonts w:ascii="Times New Roman" w:hAnsi="宋体" w:hint="eastAsia"/>
          <w:b/>
          <w:sz w:val="24"/>
          <w:szCs w:val="24"/>
        </w:rPr>
        <w:t>新增基金跟踪误差控制未达约定目标、指数编制机构停止服务、成份券停牌或违约的风险揭示内容</w:t>
      </w:r>
      <w:r w:rsidR="004C5AEC">
        <w:rPr>
          <w:rFonts w:ascii="Times New Roman" w:hAnsi="宋体" w:hint="eastAsia"/>
          <w:sz w:val="24"/>
          <w:szCs w:val="24"/>
        </w:rPr>
        <w:t>，各基金具体修订详见其招募说明书（更新）</w:t>
      </w:r>
      <w:r w:rsidR="0059607E">
        <w:rPr>
          <w:rFonts w:ascii="Times New Roman" w:hAnsi="宋体" w:hint="eastAsia"/>
          <w:sz w:val="24"/>
          <w:szCs w:val="24"/>
        </w:rPr>
        <w:t>。</w:t>
      </w:r>
      <w:r w:rsidR="0018177C">
        <w:rPr>
          <w:rFonts w:ascii="Times New Roman" w:hAnsi="宋体" w:hint="eastAsia"/>
          <w:sz w:val="24"/>
          <w:szCs w:val="24"/>
        </w:rPr>
        <w:t>此处</w:t>
      </w:r>
      <w:r w:rsidR="00C2514D" w:rsidRPr="006A6CA5">
        <w:rPr>
          <w:rFonts w:ascii="Times New Roman" w:hAnsi="宋体" w:hint="eastAsia"/>
          <w:sz w:val="24"/>
          <w:szCs w:val="24"/>
        </w:rPr>
        <w:t>以</w:t>
      </w:r>
      <w:r w:rsidR="00DD4D61" w:rsidRPr="00DD4D61">
        <w:rPr>
          <w:rFonts w:ascii="Times New Roman" w:hAnsi="宋体" w:hint="eastAsia"/>
          <w:sz w:val="24"/>
          <w:szCs w:val="24"/>
        </w:rPr>
        <w:t>华夏中证生物科技主题交易型开放式指数证券投资基金</w:t>
      </w:r>
      <w:r w:rsidR="0059607E" w:rsidRPr="006A6CA5">
        <w:rPr>
          <w:rFonts w:ascii="Times New Roman" w:hAnsi="宋体" w:hint="eastAsia"/>
          <w:sz w:val="24"/>
          <w:szCs w:val="24"/>
        </w:rPr>
        <w:t>修订为例</w:t>
      </w:r>
      <w:r w:rsidR="00884A4F" w:rsidRPr="00760CE0">
        <w:rPr>
          <w:rFonts w:ascii="Times New Roman" w:hAnsi="宋体" w:hint="eastAsia"/>
          <w:sz w:val="24"/>
          <w:szCs w:val="24"/>
        </w:rPr>
        <w:t>：</w:t>
      </w:r>
    </w:p>
    <w:p w:rsidR="00DD4D61" w:rsidRPr="00DD4D61" w:rsidRDefault="00884A4F" w:rsidP="00A33F5F">
      <w:pPr>
        <w:spacing w:line="360" w:lineRule="auto"/>
        <w:ind w:firstLineChars="200" w:firstLine="480"/>
        <w:rPr>
          <w:rFonts w:ascii="Times New Roman" w:hAnsi="Times New Roman"/>
          <w:bCs/>
          <w:color w:val="000000" w:themeColor="text1"/>
          <w:sz w:val="24"/>
          <w:szCs w:val="24"/>
        </w:rPr>
      </w:pPr>
      <w:r>
        <w:rPr>
          <w:rFonts w:ascii="Times New Roman" w:hAnsi="宋体" w:hint="eastAsia"/>
          <w:sz w:val="24"/>
          <w:szCs w:val="24"/>
        </w:rPr>
        <w:t>“</w:t>
      </w:r>
      <w:r w:rsidR="00DD4D61" w:rsidRPr="00DD4D61">
        <w:rPr>
          <w:rFonts w:ascii="Times New Roman" w:hAnsi="Times New Roman"/>
          <w:bCs/>
          <w:color w:val="000000" w:themeColor="text1"/>
          <w:sz w:val="24"/>
          <w:szCs w:val="24"/>
        </w:rPr>
        <w:t>3</w:t>
      </w:r>
      <w:r w:rsidR="00DD4D61" w:rsidRPr="00DD4D61">
        <w:rPr>
          <w:rFonts w:ascii="Times New Roman" w:hAnsi="Times New Roman"/>
          <w:bCs/>
          <w:color w:val="000000" w:themeColor="text1"/>
          <w:sz w:val="24"/>
          <w:szCs w:val="24"/>
        </w:rPr>
        <w:t>、基金投资组合回报与标的指数回报偏离的风险</w:t>
      </w:r>
    </w:p>
    <w:p w:rsidR="00DD4D61" w:rsidRPr="00DD4D61" w:rsidRDefault="00DD4D61" w:rsidP="00A33F5F">
      <w:pPr>
        <w:spacing w:line="360" w:lineRule="auto"/>
        <w:ind w:firstLineChars="200" w:firstLine="480"/>
        <w:rPr>
          <w:rFonts w:ascii="Times New Roman" w:hAnsi="Times New Roman"/>
          <w:b/>
          <w:bCs/>
          <w:color w:val="000000" w:themeColor="text1"/>
          <w:sz w:val="24"/>
          <w:szCs w:val="24"/>
        </w:rPr>
      </w:pPr>
      <w:r w:rsidRPr="00DD4D61">
        <w:rPr>
          <w:rFonts w:ascii="Times New Roman" w:hAnsi="Times New Roman"/>
          <w:bCs/>
          <w:color w:val="000000" w:themeColor="text1"/>
          <w:sz w:val="24"/>
          <w:szCs w:val="24"/>
        </w:rPr>
        <w:t>以下因素可能使基金投资组合的收益率与标的指数的收益率发生偏离，</w:t>
      </w:r>
      <w:r w:rsidRPr="00DD4D61">
        <w:rPr>
          <w:rFonts w:ascii="Times New Roman" w:hAnsi="Times New Roman"/>
          <w:b/>
          <w:bCs/>
          <w:color w:val="000000" w:themeColor="text1"/>
          <w:sz w:val="24"/>
          <w:szCs w:val="24"/>
        </w:rPr>
        <w:t>也可能使基金的跟踪误差控制未达约定目标：</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1</w:t>
      </w:r>
      <w:r w:rsidRPr="00DD4D61">
        <w:rPr>
          <w:rFonts w:ascii="Times New Roman" w:hAnsi="Times New Roman"/>
          <w:bCs/>
          <w:color w:val="000000" w:themeColor="text1"/>
          <w:sz w:val="24"/>
          <w:szCs w:val="24"/>
        </w:rPr>
        <w:t>）由于标的指数调整成份股或变更编制方法，使基金在相应的组合调整中产生跟踪偏离度与跟踪误差。</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2</w:t>
      </w:r>
      <w:r w:rsidRPr="00DD4D61">
        <w:rPr>
          <w:rFonts w:ascii="Times New Roman" w:hAnsi="Times New Roman"/>
          <w:bCs/>
          <w:color w:val="000000" w:themeColor="text1"/>
          <w:sz w:val="24"/>
          <w:szCs w:val="24"/>
        </w:rPr>
        <w:t>）由于标的指数成份股发生配股、增发等行为导致成份股在标的指数中的权重发生变化，使基金在相应的组合调整中产生跟踪偏离度和跟踪误差。</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3</w:t>
      </w:r>
      <w:r w:rsidRPr="00DD4D61">
        <w:rPr>
          <w:rFonts w:ascii="Times New Roman" w:hAnsi="Times New Roman"/>
          <w:bCs/>
          <w:color w:val="000000" w:themeColor="text1"/>
          <w:sz w:val="24"/>
          <w:szCs w:val="24"/>
        </w:rPr>
        <w:t>）成份股派发现金红利、新股市值配售收益将导致基金收益率超过标的指数收益率，产生正的跟踪偏离度。</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4</w:t>
      </w:r>
      <w:r w:rsidRPr="00DD4D61">
        <w:rPr>
          <w:rFonts w:ascii="Times New Roman" w:hAnsi="Times New Roman"/>
          <w:bCs/>
          <w:color w:val="000000" w:themeColor="text1"/>
          <w:sz w:val="24"/>
          <w:szCs w:val="24"/>
        </w:rPr>
        <w:t>）由于成份股停牌、摘牌或流动性差等原因使基金无法及时调整投资组合或承担冲击成本而产生跟踪偏离度和跟踪误差。</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5</w:t>
      </w:r>
      <w:r w:rsidRPr="00DD4D61">
        <w:rPr>
          <w:rFonts w:ascii="Times New Roman" w:hAnsi="Times New Roman"/>
          <w:bCs/>
          <w:color w:val="000000" w:themeColor="text1"/>
          <w:sz w:val="24"/>
          <w:szCs w:val="24"/>
        </w:rPr>
        <w:t>）由于基金投资过程中的证券交易成本，以及基金管理费和托管费的存在，使基金投资组合与标的指数产生跟踪偏离度与跟踪误差。</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6</w:t>
      </w:r>
      <w:r w:rsidRPr="00DD4D61">
        <w:rPr>
          <w:rFonts w:ascii="Times New Roman" w:hAnsi="Times New Roman"/>
          <w:bCs/>
          <w:color w:val="000000" w:themeColor="text1"/>
          <w:sz w:val="24"/>
          <w:szCs w:val="24"/>
        </w:rPr>
        <w:t>）在基金指数化投资过程中，基金管理人的管理能力，例如跟踪指数的水平、技术手段、买入卖出的时机选择等，都会对基金的收益产生影响，从而影响基金对标的指数的跟踪程度。</w:t>
      </w:r>
    </w:p>
    <w:p w:rsidR="00DD4D61" w:rsidRPr="00DD4D61" w:rsidRDefault="00DD4D61" w:rsidP="00A33F5F">
      <w:pPr>
        <w:spacing w:line="360" w:lineRule="auto"/>
        <w:ind w:firstLineChars="200" w:firstLine="480"/>
        <w:rPr>
          <w:rFonts w:ascii="Times New Roman" w:hAnsi="Times New Roman"/>
          <w:bCs/>
          <w:color w:val="000000" w:themeColor="text1"/>
          <w:sz w:val="24"/>
          <w:szCs w:val="24"/>
        </w:rPr>
      </w:pPr>
      <w:r w:rsidRPr="00DD4D61">
        <w:rPr>
          <w:rFonts w:ascii="Times New Roman" w:hAnsi="Times New Roman"/>
          <w:bCs/>
          <w:color w:val="000000" w:themeColor="text1"/>
          <w:sz w:val="24"/>
          <w:szCs w:val="24"/>
        </w:rPr>
        <w:t>（</w:t>
      </w:r>
      <w:r w:rsidRPr="00DD4D61">
        <w:rPr>
          <w:rFonts w:ascii="Times New Roman" w:hAnsi="Times New Roman"/>
          <w:bCs/>
          <w:color w:val="000000" w:themeColor="text1"/>
          <w:sz w:val="24"/>
          <w:szCs w:val="24"/>
        </w:rPr>
        <w:t>7</w:t>
      </w:r>
      <w:r w:rsidRPr="00DD4D61">
        <w:rPr>
          <w:rFonts w:ascii="Times New Roman" w:hAnsi="Times New Roman"/>
          <w:bCs/>
          <w:color w:val="000000" w:themeColor="text1"/>
          <w:sz w:val="24"/>
          <w:szCs w:val="24"/>
        </w:rPr>
        <w:t>）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DD4D61" w:rsidRPr="00DD4D61" w:rsidRDefault="00DD4D61" w:rsidP="00A33F5F">
      <w:pPr>
        <w:spacing w:line="360" w:lineRule="auto"/>
        <w:ind w:firstLineChars="200" w:firstLine="482"/>
        <w:rPr>
          <w:rFonts w:ascii="Times New Roman" w:hAnsi="Times New Roman"/>
          <w:b/>
          <w:bCs/>
          <w:color w:val="000000" w:themeColor="text1"/>
          <w:sz w:val="24"/>
          <w:szCs w:val="24"/>
        </w:rPr>
      </w:pPr>
      <w:r w:rsidRPr="00DD4D61">
        <w:rPr>
          <w:rFonts w:ascii="Times New Roman" w:hAnsi="Times New Roman"/>
          <w:b/>
          <w:bCs/>
          <w:color w:val="000000" w:themeColor="text1"/>
          <w:sz w:val="24"/>
          <w:szCs w:val="24"/>
        </w:rPr>
        <w:t>4</w:t>
      </w:r>
      <w:r w:rsidRPr="00DD4D61">
        <w:rPr>
          <w:rFonts w:ascii="Times New Roman" w:hAnsi="Times New Roman"/>
          <w:b/>
          <w:bCs/>
          <w:color w:val="000000" w:themeColor="text1"/>
          <w:sz w:val="24"/>
          <w:szCs w:val="24"/>
        </w:rPr>
        <w:t>、指数编制机构停止服务的风险</w:t>
      </w:r>
    </w:p>
    <w:p w:rsidR="00DD4D61" w:rsidRPr="00DD4D61" w:rsidRDefault="00DD4D61" w:rsidP="00A33F5F">
      <w:pPr>
        <w:spacing w:line="360" w:lineRule="auto"/>
        <w:ind w:firstLineChars="200" w:firstLine="482"/>
        <w:rPr>
          <w:rFonts w:ascii="Times New Roman" w:hAnsi="Times New Roman"/>
          <w:b/>
          <w:bCs/>
          <w:color w:val="000000" w:themeColor="text1"/>
          <w:sz w:val="24"/>
          <w:szCs w:val="24"/>
        </w:rPr>
      </w:pPr>
      <w:r w:rsidRPr="00DD4D61">
        <w:rPr>
          <w:rFonts w:ascii="Times New Roman" w:hAnsi="Times New Roman"/>
          <w:b/>
          <w:bCs/>
          <w:color w:val="000000" w:themeColor="text1"/>
          <w:sz w:val="24"/>
          <w:szCs w:val="24"/>
        </w:rPr>
        <w:t>本基金的标的指数编制机构可能停止该指数的服务，从而会对基金投资运作造成不利影响。此外，根据基金合同的约定，出现指数发布机构变更或停止指数发布等情形，基金可能变更标的指数等，从而可能面临标的指数变更等的风险。</w:t>
      </w:r>
    </w:p>
    <w:p w:rsidR="00DD4D61" w:rsidRPr="00DD4D61" w:rsidRDefault="003D335B" w:rsidP="00A33F5F">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w:t>
      </w:r>
    </w:p>
    <w:p w:rsidR="00DD4D61" w:rsidRPr="00DD4D61" w:rsidRDefault="00DD4D61" w:rsidP="00A33F5F">
      <w:pPr>
        <w:spacing w:line="360" w:lineRule="auto"/>
        <w:ind w:firstLineChars="200" w:firstLine="482"/>
        <w:rPr>
          <w:rFonts w:ascii="Times New Roman" w:hAnsi="Times New Roman"/>
          <w:b/>
          <w:bCs/>
          <w:color w:val="000000" w:themeColor="text1"/>
          <w:sz w:val="24"/>
          <w:szCs w:val="24"/>
        </w:rPr>
      </w:pPr>
      <w:r w:rsidRPr="00DD4D61">
        <w:rPr>
          <w:rFonts w:ascii="Times New Roman" w:hAnsi="Times New Roman"/>
          <w:b/>
          <w:bCs/>
          <w:color w:val="000000" w:themeColor="text1"/>
          <w:sz w:val="24"/>
          <w:szCs w:val="24"/>
        </w:rPr>
        <w:t>6</w:t>
      </w:r>
      <w:r w:rsidRPr="00DD4D61">
        <w:rPr>
          <w:rFonts w:ascii="Times New Roman" w:hAnsi="Times New Roman"/>
          <w:b/>
          <w:bCs/>
          <w:color w:val="000000" w:themeColor="text1"/>
          <w:sz w:val="24"/>
          <w:szCs w:val="24"/>
        </w:rPr>
        <w:t>、成份券停牌或违约的风险</w:t>
      </w:r>
    </w:p>
    <w:p w:rsidR="00884A4F" w:rsidRDefault="00DD4D61" w:rsidP="00A33F5F">
      <w:pPr>
        <w:spacing w:line="360" w:lineRule="auto"/>
        <w:ind w:firstLineChars="200" w:firstLine="482"/>
        <w:rPr>
          <w:rFonts w:ascii="Times New Roman" w:hAnsi="宋体"/>
          <w:sz w:val="24"/>
          <w:szCs w:val="24"/>
        </w:rPr>
      </w:pPr>
      <w:r w:rsidRPr="00DD4D61">
        <w:rPr>
          <w:rFonts w:ascii="Times New Roman" w:hAnsi="Times New Roman"/>
          <w:b/>
          <w:bCs/>
          <w:color w:val="000000" w:themeColor="text1"/>
          <w:sz w:val="24"/>
          <w:szCs w:val="24"/>
        </w:rPr>
        <w:t>本基金的标的指数成份券可能出现停牌或违约，从而使基金的部分资产无法变现或出现大幅折价，存在对基金净值产生冲击的风险。此外，根据相关规定，本基金运作过程中，当指数成份券发生明显负面事件面临退市或违约风险，且指数编制机构暂未作出调整的，基金管理人将按照持有人利益优先的原则，履行内部决策程序后可对相关成份券进行调整，从而可能产生跟踪偏离、跟踪误差控制未达约定目标的风险。</w:t>
      </w:r>
      <w:r w:rsidR="00884A4F">
        <w:rPr>
          <w:rFonts w:ascii="Times New Roman" w:hAnsi="宋体" w:hint="eastAsia"/>
          <w:sz w:val="24"/>
          <w:szCs w:val="24"/>
        </w:rPr>
        <w:t>”</w:t>
      </w:r>
    </w:p>
    <w:p w:rsidR="00884A4F" w:rsidRPr="00884A4F" w:rsidRDefault="00884A4F" w:rsidP="00A33F5F">
      <w:pPr>
        <w:autoSpaceDE w:val="0"/>
        <w:autoSpaceDN w:val="0"/>
        <w:adjustRightInd w:val="0"/>
        <w:spacing w:line="360" w:lineRule="auto"/>
        <w:ind w:firstLineChars="200" w:firstLine="480"/>
        <w:rPr>
          <w:rFonts w:ascii="Times New Roman" w:hAnsi="Times New Roman"/>
          <w:kern w:val="0"/>
          <w:sz w:val="24"/>
          <w:szCs w:val="24"/>
        </w:rPr>
      </w:pPr>
      <w:r w:rsidRPr="006A6CA5">
        <w:rPr>
          <w:rFonts w:hAnsi="宋体" w:hint="eastAsia"/>
          <w:sz w:val="24"/>
        </w:rPr>
        <w:t>基金管理人可在不涉及基金合同当事人权利义务</w:t>
      </w:r>
      <w:r w:rsidRPr="005D771B">
        <w:rPr>
          <w:rFonts w:hAnsi="宋体" w:hint="eastAsia"/>
          <w:sz w:val="24"/>
        </w:rPr>
        <w:t>关系变化或对基金份额持有人利益无实质性不利影响的前提下，根据现时有效的法律法规</w:t>
      </w:r>
      <w:r w:rsidRPr="006A6CA5">
        <w:rPr>
          <w:rFonts w:hAnsi="宋体" w:hint="eastAsia"/>
          <w:sz w:val="24"/>
        </w:rPr>
        <w:t>对</w:t>
      </w:r>
      <w:r w:rsidRPr="006A6CA5">
        <w:rPr>
          <w:rFonts w:hAnsi="宋体"/>
          <w:sz w:val="24"/>
        </w:rPr>
        <w:t>基金合同</w:t>
      </w:r>
      <w:r w:rsidRPr="006A6CA5">
        <w:rPr>
          <w:rFonts w:hAnsi="宋体" w:hint="eastAsia"/>
          <w:sz w:val="24"/>
        </w:rPr>
        <w:t>、招募说明书等</w:t>
      </w:r>
      <w:r w:rsidRPr="005D771B">
        <w:rPr>
          <w:rFonts w:hAnsi="宋体" w:hint="eastAsia"/>
          <w:sz w:val="24"/>
        </w:rPr>
        <w:t>进行其他修订或必要补充</w:t>
      </w:r>
      <w:r w:rsidRPr="005D771B">
        <w:rPr>
          <w:rFonts w:ascii="宋体" w:hAnsi="宋体" w:hint="eastAsia"/>
          <w:sz w:val="24"/>
        </w:rPr>
        <w:t>。</w:t>
      </w:r>
      <w:r w:rsidRPr="00AC5E3F">
        <w:rPr>
          <w:rFonts w:ascii="Times New Roman" w:hAnsi="Times New Roman"/>
          <w:sz w:val="24"/>
          <w:szCs w:val="24"/>
        </w:rPr>
        <w:t>本次修订对基金份额持有人利益无实质性不利影响，并已履行了规定的程序，符合相关法律法规及</w:t>
      </w:r>
      <w:r w:rsidR="00CE4A11">
        <w:rPr>
          <w:rFonts w:ascii="Times New Roman" w:hAnsi="Times New Roman" w:hint="eastAsia"/>
          <w:sz w:val="24"/>
          <w:szCs w:val="24"/>
        </w:rPr>
        <w:t>各</w:t>
      </w:r>
      <w:r>
        <w:rPr>
          <w:rFonts w:ascii="Times New Roman" w:hAnsi="Times New Roman" w:hint="eastAsia"/>
          <w:sz w:val="24"/>
          <w:szCs w:val="24"/>
        </w:rPr>
        <w:t>基金</w:t>
      </w:r>
      <w:r w:rsidRPr="00AC5E3F">
        <w:rPr>
          <w:rFonts w:ascii="Times New Roman" w:hAnsi="Times New Roman"/>
          <w:sz w:val="24"/>
          <w:szCs w:val="24"/>
        </w:rPr>
        <w:t>基金合同的规定。本次修订自</w:t>
      </w:r>
      <w:r w:rsidRPr="00AC5E3F">
        <w:rPr>
          <w:rFonts w:ascii="Times New Roman" w:hAnsi="Times New Roman"/>
          <w:sz w:val="24"/>
          <w:szCs w:val="24"/>
        </w:rPr>
        <w:t>2021</w:t>
      </w:r>
      <w:r w:rsidRPr="00AC5E3F">
        <w:rPr>
          <w:rFonts w:ascii="Times New Roman" w:hAnsi="Times New Roman"/>
          <w:sz w:val="24"/>
          <w:szCs w:val="24"/>
        </w:rPr>
        <w:t>年</w:t>
      </w:r>
      <w:r w:rsidR="006B36B8">
        <w:rPr>
          <w:rFonts w:ascii="Times New Roman" w:hAnsi="Times New Roman" w:hint="eastAsia"/>
          <w:sz w:val="24"/>
          <w:szCs w:val="24"/>
        </w:rPr>
        <w:t>3</w:t>
      </w:r>
      <w:r w:rsidRPr="00AC5E3F">
        <w:rPr>
          <w:rFonts w:ascii="Times New Roman" w:hAnsi="Times New Roman"/>
          <w:sz w:val="24"/>
          <w:szCs w:val="24"/>
        </w:rPr>
        <w:t>月</w:t>
      </w:r>
      <w:r w:rsidR="00444BCD">
        <w:rPr>
          <w:rFonts w:ascii="Times New Roman" w:hAnsi="Times New Roman" w:hint="eastAsia"/>
          <w:sz w:val="24"/>
          <w:szCs w:val="24"/>
        </w:rPr>
        <w:t>31</w:t>
      </w:r>
      <w:r w:rsidRPr="00AC5E3F">
        <w:rPr>
          <w:rFonts w:ascii="Times New Roman" w:hAnsi="Times New Roman"/>
          <w:sz w:val="24"/>
          <w:szCs w:val="24"/>
        </w:rPr>
        <w:t>日起生效，投资者可登录基金管理人网站（</w:t>
      </w:r>
      <w:r w:rsidRPr="00AC5E3F">
        <w:rPr>
          <w:rFonts w:ascii="Times New Roman" w:hAnsi="Times New Roman"/>
          <w:sz w:val="24"/>
          <w:szCs w:val="24"/>
        </w:rPr>
        <w:t>www.ChinaAMC.com</w:t>
      </w:r>
      <w:r w:rsidRPr="00AC5E3F">
        <w:rPr>
          <w:rFonts w:ascii="Times New Roman" w:hAnsi="Times New Roman"/>
          <w:sz w:val="24"/>
          <w:szCs w:val="24"/>
        </w:rPr>
        <w:t>）查阅</w:t>
      </w:r>
      <w:r w:rsidR="001A2ED5">
        <w:rPr>
          <w:rFonts w:ascii="Times New Roman" w:hAnsi="Times New Roman" w:hint="eastAsia"/>
          <w:sz w:val="24"/>
          <w:szCs w:val="24"/>
        </w:rPr>
        <w:t>各</w:t>
      </w:r>
      <w:r w:rsidRPr="00AC5E3F">
        <w:rPr>
          <w:rFonts w:ascii="Times New Roman" w:hAnsi="Times New Roman"/>
          <w:sz w:val="24"/>
          <w:szCs w:val="24"/>
        </w:rPr>
        <w:t>基金修订后的基金合同、招募说明书</w:t>
      </w:r>
      <w:r w:rsidR="00444BCD">
        <w:rPr>
          <w:rFonts w:ascii="Times New Roman" w:hAnsi="Times New Roman" w:hint="eastAsia"/>
          <w:sz w:val="24"/>
          <w:szCs w:val="24"/>
        </w:rPr>
        <w:t>（更新）</w:t>
      </w:r>
      <w:r w:rsidRPr="00AC5E3F">
        <w:rPr>
          <w:rFonts w:ascii="Times New Roman" w:hAnsi="Times New Roman"/>
          <w:sz w:val="24"/>
          <w:szCs w:val="24"/>
        </w:rPr>
        <w:t>及产品资料概要等。</w:t>
      </w:r>
      <w:r w:rsidRPr="005D124B">
        <w:rPr>
          <w:rFonts w:ascii="Times New Roman" w:hAnsi="Times New Roman"/>
          <w:bCs/>
          <w:kern w:val="0"/>
          <w:sz w:val="24"/>
        </w:rPr>
        <w:t>投资者可登录本基金管理人网站（</w:t>
      </w:r>
      <w:r w:rsidRPr="005D124B">
        <w:rPr>
          <w:rFonts w:ascii="Times New Roman" w:hAnsi="Times New Roman"/>
          <w:bCs/>
          <w:kern w:val="0"/>
          <w:sz w:val="24"/>
        </w:rPr>
        <w:t>www.ChinaAMC.com</w:t>
      </w:r>
      <w:r w:rsidRPr="005D124B">
        <w:rPr>
          <w:rFonts w:ascii="Times New Roman" w:hAnsi="Times New Roman"/>
          <w:bCs/>
          <w:kern w:val="0"/>
          <w:sz w:val="24"/>
        </w:rPr>
        <w:t>）或拨打本基金管理人客户服务电话（</w:t>
      </w:r>
      <w:r w:rsidRPr="005D124B">
        <w:rPr>
          <w:rFonts w:ascii="Times New Roman" w:hAnsi="Times New Roman"/>
          <w:bCs/>
          <w:kern w:val="0"/>
          <w:sz w:val="24"/>
        </w:rPr>
        <w:t>400-818-6666</w:t>
      </w:r>
      <w:r w:rsidRPr="005D124B">
        <w:rPr>
          <w:rFonts w:ascii="Times New Roman" w:hAnsi="Times New Roman"/>
          <w:bCs/>
          <w:kern w:val="0"/>
          <w:sz w:val="24"/>
        </w:rPr>
        <w:t>）了解</w:t>
      </w:r>
      <w:r>
        <w:rPr>
          <w:rFonts w:ascii="Times New Roman" w:hAnsi="Times New Roman" w:hint="eastAsia"/>
          <w:bCs/>
          <w:kern w:val="0"/>
          <w:sz w:val="24"/>
        </w:rPr>
        <w:t>、咨询</w:t>
      </w:r>
      <w:r w:rsidRPr="005D124B">
        <w:rPr>
          <w:rFonts w:ascii="Times New Roman" w:hAnsi="Times New Roman"/>
          <w:bCs/>
          <w:kern w:val="0"/>
          <w:sz w:val="24"/>
        </w:rPr>
        <w:t>相关信息</w:t>
      </w:r>
      <w:r w:rsidRPr="00A8022F">
        <w:rPr>
          <w:rFonts w:hint="eastAsia"/>
          <w:bCs/>
          <w:kern w:val="0"/>
          <w:sz w:val="24"/>
        </w:rPr>
        <w:t>。</w:t>
      </w:r>
    </w:p>
    <w:p w:rsidR="0052565B" w:rsidRPr="00712841" w:rsidRDefault="0052565B" w:rsidP="00A33F5F">
      <w:pPr>
        <w:autoSpaceDE w:val="0"/>
        <w:autoSpaceDN w:val="0"/>
        <w:adjustRightInd w:val="0"/>
        <w:spacing w:line="360" w:lineRule="auto"/>
        <w:ind w:firstLineChars="200" w:firstLine="482"/>
        <w:rPr>
          <w:rFonts w:ascii="Times New Roman" w:hAnsi="宋体"/>
          <w:b/>
          <w:color w:val="000000"/>
          <w:kern w:val="0"/>
          <w:sz w:val="24"/>
          <w:szCs w:val="24"/>
        </w:rPr>
      </w:pPr>
      <w:r w:rsidRPr="00712841">
        <w:rPr>
          <w:rFonts w:ascii="Times New Roman" w:hAnsi="宋体" w:hint="eastAsia"/>
          <w:b/>
          <w:color w:val="000000"/>
          <w:kern w:val="0"/>
          <w:sz w:val="24"/>
          <w:szCs w:val="24"/>
        </w:rPr>
        <w:t>风险</w:t>
      </w:r>
      <w:r w:rsidRPr="00712841">
        <w:rPr>
          <w:rFonts w:ascii="Times New Roman" w:hAnsi="宋体"/>
          <w:b/>
          <w:color w:val="000000"/>
          <w:kern w:val="0"/>
          <w:sz w:val="24"/>
          <w:szCs w:val="24"/>
        </w:rPr>
        <w:t>提示</w:t>
      </w:r>
      <w:r w:rsidR="00DA170B">
        <w:rPr>
          <w:rFonts w:ascii="Times New Roman" w:hAnsi="宋体" w:hint="eastAsia"/>
          <w:b/>
          <w:color w:val="000000"/>
          <w:kern w:val="0"/>
          <w:sz w:val="24"/>
          <w:szCs w:val="24"/>
        </w:rPr>
        <w:t>：</w:t>
      </w:r>
    </w:p>
    <w:p w:rsidR="006F0228" w:rsidRDefault="00782282" w:rsidP="00A33F5F">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color w:val="000000"/>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买者自负</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原则，在做出投资决策后，基金运营状况与基金净值变化引致的投资风险，由投资者自行负担。</w:t>
      </w:r>
      <w:r w:rsidRPr="00712841">
        <w:rPr>
          <w:rFonts w:ascii="Times New Roman" w:hAnsi="宋体" w:hint="eastAsia"/>
          <w:color w:val="000000"/>
          <w:kern w:val="0"/>
          <w:sz w:val="24"/>
          <w:szCs w:val="24"/>
        </w:rPr>
        <w:t>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331C90" w:rsidRPr="00712841" w:rsidRDefault="00C91E15" w:rsidP="00A33F5F">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特此公告</w:t>
      </w:r>
    </w:p>
    <w:p w:rsidR="00331C90" w:rsidRPr="00712841" w:rsidRDefault="00331C90" w:rsidP="00A33F5F"/>
    <w:p w:rsidR="00331C90" w:rsidRPr="00712841" w:rsidRDefault="00331C90" w:rsidP="00A33F5F">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华夏基金管理有限公司</w:t>
      </w:r>
    </w:p>
    <w:p w:rsidR="00E86A8E" w:rsidRPr="00E86A8E" w:rsidRDefault="003E428B" w:rsidP="00A33F5F">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二〇二</w:t>
      </w:r>
      <w:r w:rsidR="009C3553">
        <w:rPr>
          <w:rFonts w:ascii="Times New Roman" w:hAnsi="宋体" w:hint="eastAsia"/>
          <w:color w:val="000000"/>
          <w:kern w:val="0"/>
          <w:sz w:val="24"/>
          <w:szCs w:val="24"/>
        </w:rPr>
        <w:t>一</w:t>
      </w:r>
      <w:r w:rsidRPr="00712841">
        <w:rPr>
          <w:rFonts w:ascii="Times New Roman" w:hAnsi="宋体" w:hint="eastAsia"/>
          <w:color w:val="000000"/>
          <w:kern w:val="0"/>
          <w:sz w:val="24"/>
          <w:szCs w:val="24"/>
        </w:rPr>
        <w:t>年</w:t>
      </w:r>
      <w:r w:rsidR="006A6CA5">
        <w:rPr>
          <w:rFonts w:ascii="Times New Roman" w:hAnsi="宋体" w:hint="eastAsia"/>
          <w:color w:val="000000"/>
          <w:kern w:val="0"/>
          <w:sz w:val="24"/>
          <w:szCs w:val="24"/>
        </w:rPr>
        <w:t>三</w:t>
      </w:r>
      <w:r w:rsidRPr="00712841">
        <w:rPr>
          <w:rFonts w:ascii="Times New Roman" w:hAnsi="宋体" w:hint="eastAsia"/>
          <w:color w:val="000000"/>
          <w:kern w:val="0"/>
          <w:sz w:val="24"/>
          <w:szCs w:val="24"/>
        </w:rPr>
        <w:t>月</w:t>
      </w:r>
      <w:r w:rsidR="00EA1CBC">
        <w:rPr>
          <w:rFonts w:ascii="Times New Roman" w:hAnsi="宋体" w:hint="eastAsia"/>
          <w:color w:val="000000"/>
          <w:kern w:val="0"/>
          <w:sz w:val="24"/>
          <w:szCs w:val="24"/>
        </w:rPr>
        <w:t>二十九</w:t>
      </w:r>
      <w:r w:rsidRPr="00712841">
        <w:rPr>
          <w:rFonts w:ascii="Times New Roman" w:hAnsi="宋体" w:hint="eastAsia"/>
          <w:color w:val="000000"/>
          <w:kern w:val="0"/>
          <w:sz w:val="24"/>
          <w:szCs w:val="24"/>
        </w:rPr>
        <w:t>日</w:t>
      </w:r>
      <w:bookmarkEnd w:id="0"/>
    </w:p>
    <w:sectPr w:rsidR="00E86A8E" w:rsidRPr="00E86A8E" w:rsidSect="00A33F5F">
      <w:headerReference w:type="even" r:id="rId8"/>
      <w:headerReference w:type="default" r:id="rId9"/>
      <w:foot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EC" w:rsidRDefault="00435CEC" w:rsidP="00331C90">
      <w:r>
        <w:separator/>
      </w:r>
    </w:p>
  </w:endnote>
  <w:endnote w:type="continuationSeparator" w:id="0">
    <w:p w:rsidR="00435CEC" w:rsidRDefault="00435CEC" w:rsidP="00331C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2007"/>
      <w:docPartObj>
        <w:docPartGallery w:val="Page Numbers (Bottom of Page)"/>
        <w:docPartUnique/>
      </w:docPartObj>
    </w:sdtPr>
    <w:sdtContent>
      <w:p w:rsidR="00B33D8C" w:rsidRDefault="00AA01EB">
        <w:pPr>
          <w:pStyle w:val="a4"/>
          <w:jc w:val="center"/>
        </w:pPr>
        <w:r>
          <w:fldChar w:fldCharType="begin"/>
        </w:r>
        <w:r w:rsidR="00B33D8C">
          <w:instrText>PAGE   \* MERGEFORMAT</w:instrText>
        </w:r>
        <w:r>
          <w:fldChar w:fldCharType="separate"/>
        </w:r>
        <w:r w:rsidR="0021126A" w:rsidRPr="0021126A">
          <w:rPr>
            <w:noProof/>
            <w:lang w:val="zh-CN"/>
          </w:rPr>
          <w:t>1</w:t>
        </w:r>
        <w:r>
          <w:fldChar w:fldCharType="end"/>
        </w:r>
      </w:p>
    </w:sdtContent>
  </w:sdt>
  <w:p w:rsidR="00B33D8C" w:rsidRDefault="00B33D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EC" w:rsidRDefault="00435CEC" w:rsidP="00331C90">
      <w:r>
        <w:separator/>
      </w:r>
    </w:p>
  </w:footnote>
  <w:footnote w:type="continuationSeparator" w:id="0">
    <w:p w:rsidR="00435CEC" w:rsidRDefault="00435CEC" w:rsidP="00331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A33F5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A33F5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213"/>
  <w:drawingGridVerticalSpacing w:val="317"/>
  <w:displayHorizontalDrawingGridEvery w:val="0"/>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FD9"/>
    <w:rsid w:val="00001D34"/>
    <w:rsid w:val="000079E0"/>
    <w:rsid w:val="00010623"/>
    <w:rsid w:val="000107D6"/>
    <w:rsid w:val="00012FBD"/>
    <w:rsid w:val="00014117"/>
    <w:rsid w:val="00015A95"/>
    <w:rsid w:val="00021CB6"/>
    <w:rsid w:val="0002554E"/>
    <w:rsid w:val="00034CBA"/>
    <w:rsid w:val="00035080"/>
    <w:rsid w:val="0003640B"/>
    <w:rsid w:val="00065313"/>
    <w:rsid w:val="0006797A"/>
    <w:rsid w:val="00080112"/>
    <w:rsid w:val="00081F7F"/>
    <w:rsid w:val="000831DF"/>
    <w:rsid w:val="00093945"/>
    <w:rsid w:val="00093BAD"/>
    <w:rsid w:val="00093E28"/>
    <w:rsid w:val="000947A8"/>
    <w:rsid w:val="000B012C"/>
    <w:rsid w:val="000B3D23"/>
    <w:rsid w:val="000C08C4"/>
    <w:rsid w:val="000C3000"/>
    <w:rsid w:val="000D1E1B"/>
    <w:rsid w:val="000D5AE0"/>
    <w:rsid w:val="000E1385"/>
    <w:rsid w:val="000E2AFF"/>
    <w:rsid w:val="000E34BC"/>
    <w:rsid w:val="000F7012"/>
    <w:rsid w:val="000F71B6"/>
    <w:rsid w:val="001045DF"/>
    <w:rsid w:val="001107B9"/>
    <w:rsid w:val="0012482E"/>
    <w:rsid w:val="00132F71"/>
    <w:rsid w:val="00133B21"/>
    <w:rsid w:val="001357AF"/>
    <w:rsid w:val="001370CD"/>
    <w:rsid w:val="00170B34"/>
    <w:rsid w:val="00171411"/>
    <w:rsid w:val="00176191"/>
    <w:rsid w:val="00180573"/>
    <w:rsid w:val="0018177C"/>
    <w:rsid w:val="00196A84"/>
    <w:rsid w:val="001A2ED5"/>
    <w:rsid w:val="001A4EC8"/>
    <w:rsid w:val="001A6A26"/>
    <w:rsid w:val="001C1D5B"/>
    <w:rsid w:val="001D01E5"/>
    <w:rsid w:val="001D4F37"/>
    <w:rsid w:val="001F5EDE"/>
    <w:rsid w:val="00200244"/>
    <w:rsid w:val="00205439"/>
    <w:rsid w:val="00205B53"/>
    <w:rsid w:val="00210D04"/>
    <w:rsid w:val="00210DBF"/>
    <w:rsid w:val="0021126A"/>
    <w:rsid w:val="0022290F"/>
    <w:rsid w:val="00225862"/>
    <w:rsid w:val="00233A82"/>
    <w:rsid w:val="00235B42"/>
    <w:rsid w:val="00242D7B"/>
    <w:rsid w:val="0025399C"/>
    <w:rsid w:val="00253BAB"/>
    <w:rsid w:val="002542CA"/>
    <w:rsid w:val="00254CA7"/>
    <w:rsid w:val="00270A2E"/>
    <w:rsid w:val="00271329"/>
    <w:rsid w:val="0027195B"/>
    <w:rsid w:val="00275B5C"/>
    <w:rsid w:val="00283A9A"/>
    <w:rsid w:val="00286AC7"/>
    <w:rsid w:val="00287FB3"/>
    <w:rsid w:val="00290E08"/>
    <w:rsid w:val="00294CFE"/>
    <w:rsid w:val="0029545C"/>
    <w:rsid w:val="002A4EC1"/>
    <w:rsid w:val="002A7416"/>
    <w:rsid w:val="002B2672"/>
    <w:rsid w:val="002D48CE"/>
    <w:rsid w:val="002E4390"/>
    <w:rsid w:val="002E54EA"/>
    <w:rsid w:val="002F3732"/>
    <w:rsid w:val="002F3D7B"/>
    <w:rsid w:val="002F617D"/>
    <w:rsid w:val="002F71FB"/>
    <w:rsid w:val="00303C28"/>
    <w:rsid w:val="0031577D"/>
    <w:rsid w:val="0032252F"/>
    <w:rsid w:val="00322866"/>
    <w:rsid w:val="00331C90"/>
    <w:rsid w:val="003334FE"/>
    <w:rsid w:val="00337938"/>
    <w:rsid w:val="003430CF"/>
    <w:rsid w:val="003514FC"/>
    <w:rsid w:val="00352845"/>
    <w:rsid w:val="00353E97"/>
    <w:rsid w:val="00354D7C"/>
    <w:rsid w:val="00362D7B"/>
    <w:rsid w:val="003758F9"/>
    <w:rsid w:val="00380642"/>
    <w:rsid w:val="0038177D"/>
    <w:rsid w:val="00381BE5"/>
    <w:rsid w:val="003821E3"/>
    <w:rsid w:val="00382BCC"/>
    <w:rsid w:val="00383B38"/>
    <w:rsid w:val="00390ECD"/>
    <w:rsid w:val="003973DC"/>
    <w:rsid w:val="003A7B89"/>
    <w:rsid w:val="003D12AA"/>
    <w:rsid w:val="003D1668"/>
    <w:rsid w:val="003D335B"/>
    <w:rsid w:val="003D39A1"/>
    <w:rsid w:val="003D40F2"/>
    <w:rsid w:val="003E428B"/>
    <w:rsid w:val="003E563E"/>
    <w:rsid w:val="003E6681"/>
    <w:rsid w:val="003E79C9"/>
    <w:rsid w:val="003E7D2E"/>
    <w:rsid w:val="003F15CE"/>
    <w:rsid w:val="003F2FE2"/>
    <w:rsid w:val="004003A4"/>
    <w:rsid w:val="00400465"/>
    <w:rsid w:val="0041217F"/>
    <w:rsid w:val="00414EA0"/>
    <w:rsid w:val="004167C4"/>
    <w:rsid w:val="00416AFB"/>
    <w:rsid w:val="00435CEC"/>
    <w:rsid w:val="00444BCD"/>
    <w:rsid w:val="00453912"/>
    <w:rsid w:val="0045401C"/>
    <w:rsid w:val="00457436"/>
    <w:rsid w:val="0046576C"/>
    <w:rsid w:val="00465B57"/>
    <w:rsid w:val="0047417F"/>
    <w:rsid w:val="0048157E"/>
    <w:rsid w:val="00481A06"/>
    <w:rsid w:val="00484BE1"/>
    <w:rsid w:val="00486AC0"/>
    <w:rsid w:val="00487F0E"/>
    <w:rsid w:val="004904A3"/>
    <w:rsid w:val="0049424D"/>
    <w:rsid w:val="00495803"/>
    <w:rsid w:val="004A66C9"/>
    <w:rsid w:val="004B2A35"/>
    <w:rsid w:val="004B68EB"/>
    <w:rsid w:val="004C4997"/>
    <w:rsid w:val="004C5AEC"/>
    <w:rsid w:val="004D053F"/>
    <w:rsid w:val="004D3829"/>
    <w:rsid w:val="004D48BB"/>
    <w:rsid w:val="004D6F21"/>
    <w:rsid w:val="004E0C67"/>
    <w:rsid w:val="004E0D51"/>
    <w:rsid w:val="004E23CE"/>
    <w:rsid w:val="004E6BC1"/>
    <w:rsid w:val="004F4C73"/>
    <w:rsid w:val="0050479A"/>
    <w:rsid w:val="00513F9E"/>
    <w:rsid w:val="00515D56"/>
    <w:rsid w:val="0051681B"/>
    <w:rsid w:val="0051764D"/>
    <w:rsid w:val="0052292D"/>
    <w:rsid w:val="0052565B"/>
    <w:rsid w:val="0053011E"/>
    <w:rsid w:val="00535AC3"/>
    <w:rsid w:val="00536CCB"/>
    <w:rsid w:val="00560791"/>
    <w:rsid w:val="00564904"/>
    <w:rsid w:val="005724C2"/>
    <w:rsid w:val="00575335"/>
    <w:rsid w:val="005812D6"/>
    <w:rsid w:val="005909C5"/>
    <w:rsid w:val="0059303E"/>
    <w:rsid w:val="0059607E"/>
    <w:rsid w:val="00596AC4"/>
    <w:rsid w:val="005A1D23"/>
    <w:rsid w:val="005B7905"/>
    <w:rsid w:val="005C0941"/>
    <w:rsid w:val="005C4140"/>
    <w:rsid w:val="005C47A2"/>
    <w:rsid w:val="005C52CE"/>
    <w:rsid w:val="005C6934"/>
    <w:rsid w:val="005D4A34"/>
    <w:rsid w:val="005D60D4"/>
    <w:rsid w:val="005D7318"/>
    <w:rsid w:val="005E6091"/>
    <w:rsid w:val="005F1A07"/>
    <w:rsid w:val="005F1C9B"/>
    <w:rsid w:val="005F2C8B"/>
    <w:rsid w:val="005F4812"/>
    <w:rsid w:val="005F77FD"/>
    <w:rsid w:val="00607714"/>
    <w:rsid w:val="00610680"/>
    <w:rsid w:val="00620C01"/>
    <w:rsid w:val="006213E4"/>
    <w:rsid w:val="006236A2"/>
    <w:rsid w:val="00625EFB"/>
    <w:rsid w:val="00627EA1"/>
    <w:rsid w:val="0063419A"/>
    <w:rsid w:val="00642AF9"/>
    <w:rsid w:val="00644A7B"/>
    <w:rsid w:val="006454BE"/>
    <w:rsid w:val="00647B2F"/>
    <w:rsid w:val="00653D58"/>
    <w:rsid w:val="00656197"/>
    <w:rsid w:val="00662614"/>
    <w:rsid w:val="0066304D"/>
    <w:rsid w:val="006724CB"/>
    <w:rsid w:val="006919F9"/>
    <w:rsid w:val="006924DD"/>
    <w:rsid w:val="006929A2"/>
    <w:rsid w:val="006A4947"/>
    <w:rsid w:val="006A5040"/>
    <w:rsid w:val="006A6CA5"/>
    <w:rsid w:val="006B36B8"/>
    <w:rsid w:val="006C72D3"/>
    <w:rsid w:val="006D0FB4"/>
    <w:rsid w:val="006E0DB9"/>
    <w:rsid w:val="006E3157"/>
    <w:rsid w:val="006E3C0A"/>
    <w:rsid w:val="006F0228"/>
    <w:rsid w:val="006F0FD9"/>
    <w:rsid w:val="006F5E98"/>
    <w:rsid w:val="006F65CF"/>
    <w:rsid w:val="00706048"/>
    <w:rsid w:val="007125A5"/>
    <w:rsid w:val="00712841"/>
    <w:rsid w:val="00721D0C"/>
    <w:rsid w:val="00726A03"/>
    <w:rsid w:val="007344E4"/>
    <w:rsid w:val="007423C9"/>
    <w:rsid w:val="00744289"/>
    <w:rsid w:val="00745A97"/>
    <w:rsid w:val="00747D5C"/>
    <w:rsid w:val="0075193C"/>
    <w:rsid w:val="007624DE"/>
    <w:rsid w:val="00762851"/>
    <w:rsid w:val="00764123"/>
    <w:rsid w:val="00765D18"/>
    <w:rsid w:val="00766B78"/>
    <w:rsid w:val="00767265"/>
    <w:rsid w:val="00770FA9"/>
    <w:rsid w:val="00776B1C"/>
    <w:rsid w:val="00780FE2"/>
    <w:rsid w:val="00782282"/>
    <w:rsid w:val="00786775"/>
    <w:rsid w:val="0078760F"/>
    <w:rsid w:val="00792D86"/>
    <w:rsid w:val="00793403"/>
    <w:rsid w:val="00797CCE"/>
    <w:rsid w:val="007B5F32"/>
    <w:rsid w:val="007B695C"/>
    <w:rsid w:val="007C0EEF"/>
    <w:rsid w:val="007C5410"/>
    <w:rsid w:val="007D2D90"/>
    <w:rsid w:val="007D51A2"/>
    <w:rsid w:val="007D7295"/>
    <w:rsid w:val="007E0840"/>
    <w:rsid w:val="007E0BCC"/>
    <w:rsid w:val="007E1362"/>
    <w:rsid w:val="007E1715"/>
    <w:rsid w:val="007E5CF2"/>
    <w:rsid w:val="007E6D09"/>
    <w:rsid w:val="007E6FCE"/>
    <w:rsid w:val="007F125E"/>
    <w:rsid w:val="008035B9"/>
    <w:rsid w:val="00806AE0"/>
    <w:rsid w:val="00807953"/>
    <w:rsid w:val="00812AAD"/>
    <w:rsid w:val="008225CB"/>
    <w:rsid w:val="0082367B"/>
    <w:rsid w:val="00823712"/>
    <w:rsid w:val="00827483"/>
    <w:rsid w:val="00830098"/>
    <w:rsid w:val="008364FC"/>
    <w:rsid w:val="00850EF8"/>
    <w:rsid w:val="00851BED"/>
    <w:rsid w:val="008545BE"/>
    <w:rsid w:val="00874736"/>
    <w:rsid w:val="00884A4F"/>
    <w:rsid w:val="00885C2B"/>
    <w:rsid w:val="008934BF"/>
    <w:rsid w:val="008B662C"/>
    <w:rsid w:val="008C0DCE"/>
    <w:rsid w:val="008C1DCD"/>
    <w:rsid w:val="008C33B9"/>
    <w:rsid w:val="008D1847"/>
    <w:rsid w:val="008E0DEA"/>
    <w:rsid w:val="008E29E0"/>
    <w:rsid w:val="008F56D7"/>
    <w:rsid w:val="008F5FAE"/>
    <w:rsid w:val="009130AD"/>
    <w:rsid w:val="0091743E"/>
    <w:rsid w:val="00921226"/>
    <w:rsid w:val="00921D4C"/>
    <w:rsid w:val="00925A1D"/>
    <w:rsid w:val="00926999"/>
    <w:rsid w:val="00930610"/>
    <w:rsid w:val="00931DDD"/>
    <w:rsid w:val="009351AB"/>
    <w:rsid w:val="009400BC"/>
    <w:rsid w:val="00944020"/>
    <w:rsid w:val="009452E8"/>
    <w:rsid w:val="00951423"/>
    <w:rsid w:val="009518AB"/>
    <w:rsid w:val="009524C5"/>
    <w:rsid w:val="00971FFD"/>
    <w:rsid w:val="00983AAC"/>
    <w:rsid w:val="009857A1"/>
    <w:rsid w:val="00986353"/>
    <w:rsid w:val="00992CAF"/>
    <w:rsid w:val="00995080"/>
    <w:rsid w:val="00997742"/>
    <w:rsid w:val="009B2D18"/>
    <w:rsid w:val="009B305D"/>
    <w:rsid w:val="009B74B8"/>
    <w:rsid w:val="009C3553"/>
    <w:rsid w:val="009C7876"/>
    <w:rsid w:val="009D1B86"/>
    <w:rsid w:val="009D5795"/>
    <w:rsid w:val="009D590B"/>
    <w:rsid w:val="009E0E2E"/>
    <w:rsid w:val="009E595E"/>
    <w:rsid w:val="009F0100"/>
    <w:rsid w:val="009F202C"/>
    <w:rsid w:val="009F2060"/>
    <w:rsid w:val="009F53F0"/>
    <w:rsid w:val="009F6618"/>
    <w:rsid w:val="009F7B08"/>
    <w:rsid w:val="009F7F52"/>
    <w:rsid w:val="00A121ED"/>
    <w:rsid w:val="00A154BE"/>
    <w:rsid w:val="00A16360"/>
    <w:rsid w:val="00A20302"/>
    <w:rsid w:val="00A21D87"/>
    <w:rsid w:val="00A30C9B"/>
    <w:rsid w:val="00A331AC"/>
    <w:rsid w:val="00A33F5F"/>
    <w:rsid w:val="00A34DDB"/>
    <w:rsid w:val="00A35DB4"/>
    <w:rsid w:val="00A36378"/>
    <w:rsid w:val="00A44573"/>
    <w:rsid w:val="00A44F89"/>
    <w:rsid w:val="00A464D2"/>
    <w:rsid w:val="00A52F25"/>
    <w:rsid w:val="00A5391B"/>
    <w:rsid w:val="00A60D45"/>
    <w:rsid w:val="00A74432"/>
    <w:rsid w:val="00A80414"/>
    <w:rsid w:val="00A80842"/>
    <w:rsid w:val="00A84821"/>
    <w:rsid w:val="00A9011C"/>
    <w:rsid w:val="00AA01EB"/>
    <w:rsid w:val="00AA11E1"/>
    <w:rsid w:val="00AA5DB7"/>
    <w:rsid w:val="00AA6CBC"/>
    <w:rsid w:val="00AA7811"/>
    <w:rsid w:val="00AB0B38"/>
    <w:rsid w:val="00AD3987"/>
    <w:rsid w:val="00AF0F8F"/>
    <w:rsid w:val="00AF59BB"/>
    <w:rsid w:val="00B101CB"/>
    <w:rsid w:val="00B12FA1"/>
    <w:rsid w:val="00B15591"/>
    <w:rsid w:val="00B20A47"/>
    <w:rsid w:val="00B25241"/>
    <w:rsid w:val="00B310D5"/>
    <w:rsid w:val="00B33D8C"/>
    <w:rsid w:val="00B47823"/>
    <w:rsid w:val="00B5256F"/>
    <w:rsid w:val="00B52CA5"/>
    <w:rsid w:val="00B52D54"/>
    <w:rsid w:val="00B53119"/>
    <w:rsid w:val="00B5611B"/>
    <w:rsid w:val="00B63DD7"/>
    <w:rsid w:val="00B63E9B"/>
    <w:rsid w:val="00B73CF9"/>
    <w:rsid w:val="00B95A64"/>
    <w:rsid w:val="00BB6A56"/>
    <w:rsid w:val="00BC0BA2"/>
    <w:rsid w:val="00BC39AE"/>
    <w:rsid w:val="00BD0549"/>
    <w:rsid w:val="00BD14CF"/>
    <w:rsid w:val="00BD3755"/>
    <w:rsid w:val="00BD53A9"/>
    <w:rsid w:val="00BD703A"/>
    <w:rsid w:val="00BE652D"/>
    <w:rsid w:val="00BF602A"/>
    <w:rsid w:val="00BF769E"/>
    <w:rsid w:val="00C013B9"/>
    <w:rsid w:val="00C01656"/>
    <w:rsid w:val="00C01AD0"/>
    <w:rsid w:val="00C06D6B"/>
    <w:rsid w:val="00C11A73"/>
    <w:rsid w:val="00C123AB"/>
    <w:rsid w:val="00C1252D"/>
    <w:rsid w:val="00C2514D"/>
    <w:rsid w:val="00C26DE2"/>
    <w:rsid w:val="00C32EB8"/>
    <w:rsid w:val="00C37D2B"/>
    <w:rsid w:val="00C4115C"/>
    <w:rsid w:val="00C4740A"/>
    <w:rsid w:val="00C53568"/>
    <w:rsid w:val="00C64F35"/>
    <w:rsid w:val="00C67691"/>
    <w:rsid w:val="00C774AF"/>
    <w:rsid w:val="00C91E15"/>
    <w:rsid w:val="00C97C1C"/>
    <w:rsid w:val="00CC0748"/>
    <w:rsid w:val="00CC3CBF"/>
    <w:rsid w:val="00CC72A1"/>
    <w:rsid w:val="00CD45CD"/>
    <w:rsid w:val="00CE026F"/>
    <w:rsid w:val="00CE26C1"/>
    <w:rsid w:val="00CE4A11"/>
    <w:rsid w:val="00CE7296"/>
    <w:rsid w:val="00CF5605"/>
    <w:rsid w:val="00D01BD7"/>
    <w:rsid w:val="00D0653E"/>
    <w:rsid w:val="00D11E82"/>
    <w:rsid w:val="00D16DC5"/>
    <w:rsid w:val="00D208ED"/>
    <w:rsid w:val="00D264D8"/>
    <w:rsid w:val="00D30A26"/>
    <w:rsid w:val="00D50C9F"/>
    <w:rsid w:val="00D5300C"/>
    <w:rsid w:val="00D53360"/>
    <w:rsid w:val="00D57439"/>
    <w:rsid w:val="00D57EFD"/>
    <w:rsid w:val="00D602F5"/>
    <w:rsid w:val="00D629B5"/>
    <w:rsid w:val="00D65634"/>
    <w:rsid w:val="00D7381E"/>
    <w:rsid w:val="00D75450"/>
    <w:rsid w:val="00D773E5"/>
    <w:rsid w:val="00D80B95"/>
    <w:rsid w:val="00D84709"/>
    <w:rsid w:val="00D92366"/>
    <w:rsid w:val="00DA170B"/>
    <w:rsid w:val="00DA2990"/>
    <w:rsid w:val="00DB04A4"/>
    <w:rsid w:val="00DB5435"/>
    <w:rsid w:val="00DC0F4F"/>
    <w:rsid w:val="00DD35F9"/>
    <w:rsid w:val="00DD4D61"/>
    <w:rsid w:val="00DF137F"/>
    <w:rsid w:val="00E0318A"/>
    <w:rsid w:val="00E07AC9"/>
    <w:rsid w:val="00E166A6"/>
    <w:rsid w:val="00E17509"/>
    <w:rsid w:val="00E36268"/>
    <w:rsid w:val="00E3755C"/>
    <w:rsid w:val="00E4679D"/>
    <w:rsid w:val="00E51671"/>
    <w:rsid w:val="00E54670"/>
    <w:rsid w:val="00E55EA3"/>
    <w:rsid w:val="00E56482"/>
    <w:rsid w:val="00E627F4"/>
    <w:rsid w:val="00E65568"/>
    <w:rsid w:val="00E66256"/>
    <w:rsid w:val="00E70D50"/>
    <w:rsid w:val="00E77205"/>
    <w:rsid w:val="00E81148"/>
    <w:rsid w:val="00E828DB"/>
    <w:rsid w:val="00E86A8E"/>
    <w:rsid w:val="00E959A1"/>
    <w:rsid w:val="00E97806"/>
    <w:rsid w:val="00E978BD"/>
    <w:rsid w:val="00EA1CBC"/>
    <w:rsid w:val="00EA1E77"/>
    <w:rsid w:val="00EA2F31"/>
    <w:rsid w:val="00EB300A"/>
    <w:rsid w:val="00EC4F2D"/>
    <w:rsid w:val="00EE0CA7"/>
    <w:rsid w:val="00EF6461"/>
    <w:rsid w:val="00F02EF0"/>
    <w:rsid w:val="00F0470E"/>
    <w:rsid w:val="00F1400D"/>
    <w:rsid w:val="00F2492E"/>
    <w:rsid w:val="00F300B8"/>
    <w:rsid w:val="00F311D5"/>
    <w:rsid w:val="00F35AD6"/>
    <w:rsid w:val="00F422DC"/>
    <w:rsid w:val="00F53725"/>
    <w:rsid w:val="00F5530E"/>
    <w:rsid w:val="00F62FA2"/>
    <w:rsid w:val="00F655D0"/>
    <w:rsid w:val="00F66422"/>
    <w:rsid w:val="00F67F07"/>
    <w:rsid w:val="00F71576"/>
    <w:rsid w:val="00F74512"/>
    <w:rsid w:val="00F74886"/>
    <w:rsid w:val="00F75744"/>
    <w:rsid w:val="00F925A1"/>
    <w:rsid w:val="00F9649C"/>
    <w:rsid w:val="00FA7D9C"/>
    <w:rsid w:val="00FB48C1"/>
    <w:rsid w:val="00FB6490"/>
    <w:rsid w:val="00FC7843"/>
    <w:rsid w:val="00FD08BD"/>
    <w:rsid w:val="00FD42AC"/>
    <w:rsid w:val="00FE0E8C"/>
    <w:rsid w:val="00FE46E4"/>
    <w:rsid w:val="00FF0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0"/>
    <w:pPr>
      <w:widowControl w:val="0"/>
      <w:jc w:val="both"/>
    </w:pPr>
    <w:rPr>
      <w:rFonts w:ascii="Calibri" w:eastAsia="宋体" w:hAnsi="Calibri" w:cs="Times New Roman"/>
    </w:rPr>
  </w:style>
  <w:style w:type="paragraph" w:styleId="2">
    <w:name w:val="heading 2"/>
    <w:basedOn w:val="a"/>
    <w:link w:val="2Char"/>
    <w:uiPriority w:val="9"/>
    <w:qFormat/>
    <w:rsid w:val="00DD35F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1C90"/>
    <w:rPr>
      <w:sz w:val="18"/>
      <w:szCs w:val="18"/>
    </w:rPr>
  </w:style>
  <w:style w:type="paragraph" w:styleId="a4">
    <w:name w:val="footer"/>
    <w:basedOn w:val="a"/>
    <w:link w:val="Char0"/>
    <w:uiPriority w:val="99"/>
    <w:unhideWhenUsed/>
    <w:rsid w:val="00331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1C90"/>
    <w:rPr>
      <w:sz w:val="18"/>
      <w:szCs w:val="18"/>
    </w:rPr>
  </w:style>
  <w:style w:type="paragraph" w:styleId="a5">
    <w:name w:val="Title"/>
    <w:aliases w:val="标题3"/>
    <w:basedOn w:val="a"/>
    <w:next w:val="a"/>
    <w:link w:val="Char1"/>
    <w:uiPriority w:val="10"/>
    <w:qFormat/>
    <w:rsid w:val="00331C90"/>
    <w:pPr>
      <w:spacing w:before="240" w:after="60"/>
      <w:jc w:val="center"/>
      <w:outlineLvl w:val="0"/>
    </w:pPr>
    <w:rPr>
      <w:rFonts w:ascii="Cambria" w:hAnsi="Cambria"/>
      <w:b/>
      <w:bCs/>
      <w:sz w:val="32"/>
      <w:szCs w:val="32"/>
    </w:rPr>
  </w:style>
  <w:style w:type="character" w:customStyle="1" w:styleId="Char1">
    <w:name w:val="标题 Char"/>
    <w:aliases w:val="标题3 Char"/>
    <w:basedOn w:val="a0"/>
    <w:link w:val="a5"/>
    <w:uiPriority w:val="10"/>
    <w:qFormat/>
    <w:rsid w:val="00331C90"/>
    <w:rPr>
      <w:rFonts w:ascii="Cambria" w:eastAsia="宋体" w:hAnsi="Cambria" w:cs="Times New Roman"/>
      <w:b/>
      <w:bCs/>
      <w:sz w:val="32"/>
      <w:szCs w:val="32"/>
    </w:rPr>
  </w:style>
  <w:style w:type="paragraph" w:styleId="a6">
    <w:name w:val="Balloon Text"/>
    <w:basedOn w:val="a"/>
    <w:link w:val="Char2"/>
    <w:uiPriority w:val="99"/>
    <w:semiHidden/>
    <w:unhideWhenUsed/>
    <w:rsid w:val="003D1668"/>
    <w:rPr>
      <w:sz w:val="18"/>
      <w:szCs w:val="18"/>
    </w:rPr>
  </w:style>
  <w:style w:type="character" w:customStyle="1" w:styleId="Char2">
    <w:name w:val="批注框文本 Char"/>
    <w:basedOn w:val="a0"/>
    <w:link w:val="a6"/>
    <w:uiPriority w:val="99"/>
    <w:semiHidden/>
    <w:rsid w:val="003D1668"/>
    <w:rPr>
      <w:rFonts w:ascii="Calibri" w:eastAsia="宋体" w:hAnsi="Calibri" w:cs="Times New Roman"/>
      <w:sz w:val="18"/>
      <w:szCs w:val="18"/>
    </w:rPr>
  </w:style>
  <w:style w:type="paragraph" w:styleId="a7">
    <w:name w:val="List Paragraph"/>
    <w:basedOn w:val="a"/>
    <w:uiPriority w:val="34"/>
    <w:qFormat/>
    <w:rsid w:val="00AF59BB"/>
    <w:pPr>
      <w:ind w:firstLineChars="200" w:firstLine="420"/>
    </w:pPr>
  </w:style>
  <w:style w:type="paragraph" w:styleId="a8">
    <w:name w:val="Date"/>
    <w:basedOn w:val="a"/>
    <w:next w:val="a"/>
    <w:link w:val="Char3"/>
    <w:uiPriority w:val="99"/>
    <w:semiHidden/>
    <w:unhideWhenUsed/>
    <w:rsid w:val="00930610"/>
    <w:pPr>
      <w:ind w:leftChars="2500" w:left="100"/>
    </w:pPr>
  </w:style>
  <w:style w:type="character" w:customStyle="1" w:styleId="Char3">
    <w:name w:val="日期 Char"/>
    <w:basedOn w:val="a0"/>
    <w:link w:val="a8"/>
    <w:uiPriority w:val="99"/>
    <w:semiHidden/>
    <w:rsid w:val="00930610"/>
    <w:rPr>
      <w:rFonts w:ascii="Calibri" w:eastAsia="宋体" w:hAnsi="Calibri" w:cs="Times New Roman"/>
    </w:rPr>
  </w:style>
  <w:style w:type="character" w:customStyle="1" w:styleId="2Char">
    <w:name w:val="标题 2 Char"/>
    <w:basedOn w:val="a0"/>
    <w:link w:val="2"/>
    <w:uiPriority w:val="9"/>
    <w:rsid w:val="00DD35F9"/>
    <w:rPr>
      <w:rFonts w:ascii="宋体" w:eastAsia="宋体" w:hAnsi="宋体" w:cs="宋体"/>
      <w:b/>
      <w:bCs/>
      <w:kern w:val="0"/>
      <w:sz w:val="36"/>
      <w:szCs w:val="36"/>
    </w:rPr>
  </w:style>
  <w:style w:type="character" w:customStyle="1" w:styleId="hitclass">
    <w:name w:val="hitclass"/>
    <w:basedOn w:val="a0"/>
    <w:rsid w:val="00DD35F9"/>
  </w:style>
  <w:style w:type="character" w:styleId="a9">
    <w:name w:val="annotation reference"/>
    <w:rsid w:val="00C64F35"/>
    <w:rPr>
      <w:sz w:val="21"/>
    </w:rPr>
  </w:style>
  <w:style w:type="character" w:customStyle="1" w:styleId="Char4">
    <w:name w:val="批注文字 Char"/>
    <w:link w:val="aa"/>
    <w:rsid w:val="00C64F35"/>
  </w:style>
  <w:style w:type="paragraph" w:styleId="aa">
    <w:name w:val="annotation text"/>
    <w:basedOn w:val="a"/>
    <w:link w:val="Char4"/>
    <w:rsid w:val="00C64F35"/>
    <w:pPr>
      <w:jc w:val="left"/>
    </w:pPr>
    <w:rPr>
      <w:rFonts w:asciiTheme="minorHAnsi" w:eastAsiaTheme="minorEastAsia" w:hAnsiTheme="minorHAnsi" w:cstheme="minorBidi"/>
    </w:rPr>
  </w:style>
  <w:style w:type="character" w:customStyle="1" w:styleId="1">
    <w:name w:val="批注文字 字符1"/>
    <w:basedOn w:val="a0"/>
    <w:uiPriority w:val="99"/>
    <w:semiHidden/>
    <w:rsid w:val="00C64F35"/>
    <w:rPr>
      <w:rFonts w:ascii="Calibri" w:eastAsia="宋体" w:hAnsi="Calibri" w:cs="Times New Roman"/>
    </w:rPr>
  </w:style>
  <w:style w:type="paragraph" w:styleId="ab">
    <w:name w:val="annotation subject"/>
    <w:basedOn w:val="aa"/>
    <w:next w:val="aa"/>
    <w:link w:val="Char5"/>
    <w:uiPriority w:val="99"/>
    <w:semiHidden/>
    <w:unhideWhenUsed/>
    <w:rsid w:val="008545BE"/>
    <w:rPr>
      <w:rFonts w:ascii="Calibri" w:eastAsia="宋体" w:hAnsi="Calibri" w:cs="Times New Roman"/>
      <w:b/>
      <w:bCs/>
    </w:rPr>
  </w:style>
  <w:style w:type="character" w:customStyle="1" w:styleId="Char5">
    <w:name w:val="批注主题 Char"/>
    <w:basedOn w:val="Char4"/>
    <w:link w:val="ab"/>
    <w:uiPriority w:val="99"/>
    <w:semiHidden/>
    <w:rsid w:val="008545BE"/>
    <w:rPr>
      <w:rFonts w:ascii="Calibri" w:eastAsia="宋体" w:hAnsi="Calibri" w:cs="Times New Roman"/>
      <w:b/>
      <w:bCs/>
    </w:rPr>
  </w:style>
  <w:style w:type="paragraph" w:styleId="ac">
    <w:name w:val="Revision"/>
    <w:hidden/>
    <w:uiPriority w:val="99"/>
    <w:semiHidden/>
    <w:rsid w:val="008545BE"/>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04811443">
      <w:bodyDiv w:val="1"/>
      <w:marLeft w:val="0"/>
      <w:marRight w:val="0"/>
      <w:marTop w:val="0"/>
      <w:marBottom w:val="0"/>
      <w:divBdr>
        <w:top w:val="none" w:sz="0" w:space="0" w:color="auto"/>
        <w:left w:val="none" w:sz="0" w:space="0" w:color="auto"/>
        <w:bottom w:val="none" w:sz="0" w:space="0" w:color="auto"/>
        <w:right w:val="none" w:sz="0" w:space="0" w:color="auto"/>
      </w:divBdr>
    </w:div>
    <w:div w:id="180824870">
      <w:bodyDiv w:val="1"/>
      <w:marLeft w:val="0"/>
      <w:marRight w:val="0"/>
      <w:marTop w:val="0"/>
      <w:marBottom w:val="0"/>
      <w:divBdr>
        <w:top w:val="none" w:sz="0" w:space="0" w:color="auto"/>
        <w:left w:val="none" w:sz="0" w:space="0" w:color="auto"/>
        <w:bottom w:val="none" w:sz="0" w:space="0" w:color="auto"/>
        <w:right w:val="none" w:sz="0" w:space="0" w:color="auto"/>
      </w:divBdr>
    </w:div>
    <w:div w:id="206725555">
      <w:bodyDiv w:val="1"/>
      <w:marLeft w:val="0"/>
      <w:marRight w:val="0"/>
      <w:marTop w:val="0"/>
      <w:marBottom w:val="0"/>
      <w:divBdr>
        <w:top w:val="none" w:sz="0" w:space="0" w:color="auto"/>
        <w:left w:val="none" w:sz="0" w:space="0" w:color="auto"/>
        <w:bottom w:val="none" w:sz="0" w:space="0" w:color="auto"/>
        <w:right w:val="none" w:sz="0" w:space="0" w:color="auto"/>
      </w:divBdr>
    </w:div>
    <w:div w:id="255211431">
      <w:bodyDiv w:val="1"/>
      <w:marLeft w:val="0"/>
      <w:marRight w:val="0"/>
      <w:marTop w:val="0"/>
      <w:marBottom w:val="0"/>
      <w:divBdr>
        <w:top w:val="none" w:sz="0" w:space="0" w:color="auto"/>
        <w:left w:val="none" w:sz="0" w:space="0" w:color="auto"/>
        <w:bottom w:val="none" w:sz="0" w:space="0" w:color="auto"/>
        <w:right w:val="none" w:sz="0" w:space="0" w:color="auto"/>
      </w:divBdr>
    </w:div>
    <w:div w:id="696658972">
      <w:bodyDiv w:val="1"/>
      <w:marLeft w:val="0"/>
      <w:marRight w:val="0"/>
      <w:marTop w:val="0"/>
      <w:marBottom w:val="0"/>
      <w:divBdr>
        <w:top w:val="none" w:sz="0" w:space="0" w:color="auto"/>
        <w:left w:val="none" w:sz="0" w:space="0" w:color="auto"/>
        <w:bottom w:val="none" w:sz="0" w:space="0" w:color="auto"/>
        <w:right w:val="none" w:sz="0" w:space="0" w:color="auto"/>
      </w:divBdr>
    </w:div>
    <w:div w:id="955407628">
      <w:bodyDiv w:val="1"/>
      <w:marLeft w:val="0"/>
      <w:marRight w:val="0"/>
      <w:marTop w:val="0"/>
      <w:marBottom w:val="0"/>
      <w:divBdr>
        <w:top w:val="none" w:sz="0" w:space="0" w:color="auto"/>
        <w:left w:val="none" w:sz="0" w:space="0" w:color="auto"/>
        <w:bottom w:val="none" w:sz="0" w:space="0" w:color="auto"/>
        <w:right w:val="none" w:sz="0" w:space="0" w:color="auto"/>
      </w:divBdr>
    </w:div>
    <w:div w:id="1078941840">
      <w:bodyDiv w:val="1"/>
      <w:marLeft w:val="0"/>
      <w:marRight w:val="0"/>
      <w:marTop w:val="0"/>
      <w:marBottom w:val="0"/>
      <w:divBdr>
        <w:top w:val="none" w:sz="0" w:space="0" w:color="auto"/>
        <w:left w:val="none" w:sz="0" w:space="0" w:color="auto"/>
        <w:bottom w:val="none" w:sz="0" w:space="0" w:color="auto"/>
        <w:right w:val="none" w:sz="0" w:space="0" w:color="auto"/>
      </w:divBdr>
    </w:div>
    <w:div w:id="1080256761">
      <w:bodyDiv w:val="1"/>
      <w:marLeft w:val="0"/>
      <w:marRight w:val="0"/>
      <w:marTop w:val="0"/>
      <w:marBottom w:val="0"/>
      <w:divBdr>
        <w:top w:val="none" w:sz="0" w:space="0" w:color="auto"/>
        <w:left w:val="none" w:sz="0" w:space="0" w:color="auto"/>
        <w:bottom w:val="none" w:sz="0" w:space="0" w:color="auto"/>
        <w:right w:val="none" w:sz="0" w:space="0" w:color="auto"/>
      </w:divBdr>
    </w:div>
    <w:div w:id="1242524484">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400590723">
      <w:bodyDiv w:val="1"/>
      <w:marLeft w:val="0"/>
      <w:marRight w:val="0"/>
      <w:marTop w:val="0"/>
      <w:marBottom w:val="0"/>
      <w:divBdr>
        <w:top w:val="none" w:sz="0" w:space="0" w:color="auto"/>
        <w:left w:val="none" w:sz="0" w:space="0" w:color="auto"/>
        <w:bottom w:val="none" w:sz="0" w:space="0" w:color="auto"/>
        <w:right w:val="none" w:sz="0" w:space="0" w:color="auto"/>
      </w:divBdr>
    </w:div>
    <w:div w:id="1534533393">
      <w:bodyDiv w:val="1"/>
      <w:marLeft w:val="0"/>
      <w:marRight w:val="0"/>
      <w:marTop w:val="0"/>
      <w:marBottom w:val="0"/>
      <w:divBdr>
        <w:top w:val="none" w:sz="0" w:space="0" w:color="auto"/>
        <w:left w:val="none" w:sz="0" w:space="0" w:color="auto"/>
        <w:bottom w:val="none" w:sz="0" w:space="0" w:color="auto"/>
        <w:right w:val="none" w:sz="0" w:space="0" w:color="auto"/>
      </w:divBdr>
    </w:div>
    <w:div w:id="1617980422">
      <w:bodyDiv w:val="1"/>
      <w:marLeft w:val="0"/>
      <w:marRight w:val="0"/>
      <w:marTop w:val="0"/>
      <w:marBottom w:val="0"/>
      <w:divBdr>
        <w:top w:val="none" w:sz="0" w:space="0" w:color="auto"/>
        <w:left w:val="none" w:sz="0" w:space="0" w:color="auto"/>
        <w:bottom w:val="none" w:sz="0" w:space="0" w:color="auto"/>
        <w:right w:val="none" w:sz="0" w:space="0" w:color="auto"/>
      </w:divBdr>
    </w:div>
    <w:div w:id="1676416160">
      <w:bodyDiv w:val="1"/>
      <w:marLeft w:val="0"/>
      <w:marRight w:val="0"/>
      <w:marTop w:val="0"/>
      <w:marBottom w:val="0"/>
      <w:divBdr>
        <w:top w:val="none" w:sz="0" w:space="0" w:color="auto"/>
        <w:left w:val="none" w:sz="0" w:space="0" w:color="auto"/>
        <w:bottom w:val="none" w:sz="0" w:space="0" w:color="auto"/>
        <w:right w:val="none" w:sz="0" w:space="0" w:color="auto"/>
      </w:divBdr>
    </w:div>
    <w:div w:id="2000692358">
      <w:bodyDiv w:val="1"/>
      <w:marLeft w:val="0"/>
      <w:marRight w:val="0"/>
      <w:marTop w:val="0"/>
      <w:marBottom w:val="0"/>
      <w:divBdr>
        <w:top w:val="none" w:sz="0" w:space="0" w:color="auto"/>
        <w:left w:val="none" w:sz="0" w:space="0" w:color="auto"/>
        <w:bottom w:val="none" w:sz="0" w:space="0" w:color="auto"/>
        <w:right w:val="none" w:sz="0" w:space="0" w:color="auto"/>
      </w:divBdr>
    </w:div>
    <w:div w:id="20042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6D3C-1041-493C-85A7-6617356D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Office Word</Application>
  <DocSecurity>4</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研究发展部-罗业超</dc:creator>
  <cp:keywords/>
  <dc:description/>
  <cp:lastModifiedBy>ZHONGM</cp:lastModifiedBy>
  <cp:revision>2</cp:revision>
  <cp:lastPrinted>2021-03-26T05:32:00Z</cp:lastPrinted>
  <dcterms:created xsi:type="dcterms:W3CDTF">2021-03-28T16:00:00Z</dcterms:created>
  <dcterms:modified xsi:type="dcterms:W3CDTF">2021-03-28T16:00:00Z</dcterms:modified>
</cp:coreProperties>
</file>