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5C" w:rsidRDefault="003B331D">
      <w:pPr>
        <w:pStyle w:val="a5"/>
        <w:widowControl/>
        <w:shd w:val="clear" w:color="auto" w:fill="FFFFFF"/>
        <w:spacing w:before="240" w:beforeAutospacing="0" w:afterAutospacing="0" w:line="20" w:lineRule="atLeast"/>
        <w:jc w:val="center"/>
        <w:rPr>
          <w:rFonts w:ascii="宋体" w:eastAsia="宋体" w:hAnsi="宋体" w:cs="宋体"/>
          <w:b/>
          <w:bCs/>
          <w:color w:val="333333"/>
          <w:sz w:val="30"/>
          <w:szCs w:val="30"/>
        </w:rPr>
      </w:pPr>
      <w:bookmarkStart w:id="0" w:name="_GoBack"/>
      <w:bookmarkEnd w:id="0"/>
      <w:r>
        <w:rPr>
          <w:rFonts w:ascii="宋体" w:eastAsia="宋体" w:hAnsi="宋体" w:cs="宋体" w:hint="eastAsia"/>
          <w:b/>
          <w:bCs/>
          <w:color w:val="333333"/>
          <w:sz w:val="30"/>
          <w:szCs w:val="30"/>
          <w:shd w:val="clear" w:color="auto" w:fill="FFFFFF"/>
        </w:rPr>
        <w:t>华商基金管理有限公司关于旗下部分基金增</w:t>
      </w:r>
    </w:p>
    <w:p w:rsidR="00CD065C" w:rsidRDefault="003B331D">
      <w:pPr>
        <w:pStyle w:val="a5"/>
        <w:widowControl/>
        <w:shd w:val="clear" w:color="auto" w:fill="FFFFFF"/>
        <w:spacing w:before="240" w:beforeAutospacing="0" w:afterAutospacing="0" w:line="20" w:lineRule="atLeast"/>
        <w:jc w:val="center"/>
        <w:rPr>
          <w:rFonts w:ascii="宋体" w:eastAsia="宋体" w:hAnsi="宋体" w:cs="宋体"/>
          <w:b/>
          <w:bCs/>
          <w:color w:val="333333"/>
          <w:sz w:val="30"/>
          <w:szCs w:val="30"/>
        </w:rPr>
      </w:pPr>
      <w:r>
        <w:rPr>
          <w:rFonts w:ascii="宋体" w:eastAsia="宋体" w:hAnsi="宋体" w:cs="宋体" w:hint="eastAsia"/>
          <w:b/>
          <w:bCs/>
          <w:color w:val="333333"/>
          <w:sz w:val="30"/>
          <w:szCs w:val="30"/>
          <w:shd w:val="clear" w:color="auto" w:fill="FFFFFF"/>
        </w:rPr>
        <w:t>加侧袋机制并相应修改法律文件的公告</w:t>
      </w:r>
    </w:p>
    <w:p w:rsidR="00CD065C" w:rsidRDefault="003B331D">
      <w:pPr>
        <w:pStyle w:val="a5"/>
        <w:widowControl/>
        <w:shd w:val="clear" w:color="auto" w:fill="FFFFFF"/>
        <w:adjustRightInd w:val="0"/>
        <w:snapToGrid w:val="0"/>
        <w:spacing w:before="45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根据《中华人民共和国证券法》、《中华人民共和国证券投资基金法》、《公开募集证券投资基金运作管理办法》、《公开募集证券投资基金信息披露管理办法》、《公开募集证券投资基金侧袋机制指引（试行）》等法律法规的规定和基金合同的约定，经与各基金托管人协商一致，并向中国证监会备案，华商基金管理有限公司(以下简称“本公司”)拟对旗下4只公募基金增加侧袋机制修订基金合同等法律文件。</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本次修订对基金份额持有人利益无实质性不利影响，无需召开份额持有人大会，修订将自2021年3月25日起正式生效。</w:t>
      </w:r>
    </w:p>
    <w:p w:rsidR="00CD065C" w:rsidRDefault="003B331D">
      <w:pPr>
        <w:pStyle w:val="5"/>
        <w:widowControl/>
        <w:shd w:val="clear" w:color="auto" w:fill="FFFFFF"/>
        <w:adjustRightInd w:val="0"/>
        <w:snapToGrid w:val="0"/>
        <w:spacing w:beforeAutospacing="0" w:afterAutospacing="0" w:line="360" w:lineRule="auto"/>
        <w:ind w:firstLineChars="200" w:firstLine="482"/>
        <w:rPr>
          <w:rFonts w:cs="宋体" w:hint="default"/>
          <w:color w:val="333333"/>
          <w:sz w:val="24"/>
          <w:szCs w:val="24"/>
        </w:rPr>
      </w:pPr>
      <w:r>
        <w:rPr>
          <w:rFonts w:cs="宋体"/>
          <w:color w:val="333333"/>
          <w:sz w:val="24"/>
          <w:szCs w:val="24"/>
          <w:shd w:val="clear" w:color="auto" w:fill="FFFFFF"/>
        </w:rPr>
        <w:t>一、本次修订的基金范围</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本次修订涉及基金管理人旗下4只公募基金，详细名单见本公告的附表。</w:t>
      </w:r>
    </w:p>
    <w:p w:rsidR="00CD065C" w:rsidRDefault="003B331D">
      <w:pPr>
        <w:pStyle w:val="5"/>
        <w:widowControl/>
        <w:shd w:val="clear" w:color="auto" w:fill="FFFFFF"/>
        <w:adjustRightInd w:val="0"/>
        <w:snapToGrid w:val="0"/>
        <w:spacing w:beforeAutospacing="0" w:afterAutospacing="0" w:line="360" w:lineRule="auto"/>
        <w:ind w:firstLineChars="200" w:firstLine="482"/>
        <w:rPr>
          <w:rFonts w:cs="宋体" w:hint="default"/>
          <w:color w:val="333333"/>
          <w:sz w:val="24"/>
          <w:szCs w:val="24"/>
        </w:rPr>
      </w:pPr>
      <w:r>
        <w:rPr>
          <w:rFonts w:cs="宋体"/>
          <w:color w:val="333333"/>
          <w:sz w:val="24"/>
          <w:szCs w:val="24"/>
          <w:shd w:val="clear" w:color="auto" w:fill="FFFFFF"/>
        </w:rPr>
        <w:t>二、增加侧袋机制的主要修订条款</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在基金合同的“前言”、“释义”、“基金份额的申购与赎回”、“基金合同当事人及权利义务”、“基金份额持有人大会”、“基金的投资”、“基金资产估值”、“基金费用与税收”、“基金的收益与分配”、“基金的信息披露”等章节增加侧袋机制相关内容。</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托管协议、招募说明书、基金产品资料概要涉及到上述修改的内容进行相应更新，在招募说明书中补充侧袋机制相关章节，并在基金招募说明书、基金产品资料概要中增加启用侧袋机制的风险揭示内容。</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此外，根据实际情况更新部分基金托管人信息。</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涉及上述修改的具体内容详见相关法律文件。</w:t>
      </w:r>
    </w:p>
    <w:p w:rsidR="00CD065C" w:rsidRDefault="003B331D">
      <w:pPr>
        <w:pStyle w:val="5"/>
        <w:widowControl/>
        <w:shd w:val="clear" w:color="auto" w:fill="FFFFFF"/>
        <w:adjustRightInd w:val="0"/>
        <w:snapToGrid w:val="0"/>
        <w:spacing w:beforeAutospacing="0" w:afterAutospacing="0" w:line="360" w:lineRule="auto"/>
        <w:ind w:firstLineChars="200" w:firstLine="482"/>
        <w:rPr>
          <w:rFonts w:cs="宋体" w:hint="default"/>
          <w:color w:val="333333"/>
          <w:sz w:val="24"/>
          <w:szCs w:val="24"/>
        </w:rPr>
      </w:pPr>
      <w:r>
        <w:rPr>
          <w:rFonts w:cs="宋体"/>
          <w:color w:val="333333"/>
          <w:sz w:val="24"/>
          <w:szCs w:val="24"/>
          <w:shd w:val="clear" w:color="auto" w:fill="FFFFFF"/>
        </w:rPr>
        <w:t>三、重要提示</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lastRenderedPageBreak/>
        <w:t>1、本次相关基金基金合同、托管协议、招募说明书和基金产品资料概要修订的内容和程序符合有关法律法规和基金合同的规定。本次修订后的基金合同、托管协议、招募说明书和基金产品资料概要将在本公司网站发布，供投资者查阅。</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2、投资者可以通过以下途径咨询有关详情：</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本公司客户服务电话：4007008880（免长途费），010－58573300</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本公司网站：www.hsfund.com</w:t>
      </w:r>
    </w:p>
    <w:p w:rsidR="00CD065C" w:rsidRDefault="003B331D">
      <w:pPr>
        <w:pStyle w:val="5"/>
        <w:widowControl/>
        <w:shd w:val="clear" w:color="auto" w:fill="FFFFFF"/>
        <w:adjustRightInd w:val="0"/>
        <w:snapToGrid w:val="0"/>
        <w:spacing w:beforeAutospacing="0" w:afterAutospacing="0" w:line="360" w:lineRule="auto"/>
        <w:ind w:firstLineChars="200" w:firstLine="482"/>
        <w:rPr>
          <w:rFonts w:cs="宋体" w:hint="default"/>
          <w:color w:val="333333"/>
          <w:sz w:val="24"/>
          <w:szCs w:val="24"/>
        </w:rPr>
      </w:pPr>
      <w:r>
        <w:rPr>
          <w:rFonts w:cs="宋体"/>
          <w:color w:val="333333"/>
          <w:sz w:val="24"/>
          <w:szCs w:val="24"/>
          <w:shd w:val="clear" w:color="auto" w:fill="FFFFFF"/>
        </w:rPr>
        <w:t>四、风险提示</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本基金管理人承诺以诚实信用、勤勉尽责的原则管理和运用基金资产，但不保证基金一定盈利，也不保证最低收益。投资者投资于本基金时应认真阅读基金合同、招募说明书、基金产品资料概要等文件，了解所投资基金的风险收益特征，并根据自身风险承受能力选择适合自己的基金产品。敬请投资者注意投资风险。</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rPr>
          <w:rFonts w:ascii="宋体" w:eastAsia="宋体" w:hAnsi="宋体" w:cs="宋体"/>
          <w:color w:val="333333"/>
        </w:rPr>
      </w:pPr>
      <w:r>
        <w:rPr>
          <w:rFonts w:ascii="宋体" w:eastAsia="宋体" w:hAnsi="宋体" w:cs="宋体" w:hint="eastAsia"/>
          <w:color w:val="333333"/>
          <w:shd w:val="clear" w:color="auto" w:fill="FFFFFF"/>
        </w:rPr>
        <w:t>特此公告。</w:t>
      </w:r>
    </w:p>
    <w:p w:rsidR="00CD065C" w:rsidRDefault="003B331D">
      <w:pPr>
        <w:pStyle w:val="a5"/>
        <w:widowControl/>
        <w:shd w:val="clear" w:color="auto" w:fill="FFFFFF"/>
        <w:adjustRightInd w:val="0"/>
        <w:snapToGrid w:val="0"/>
        <w:spacing w:before="750" w:beforeAutospacing="0" w:afterAutospacing="0" w:line="360" w:lineRule="auto"/>
        <w:ind w:firstLineChars="200" w:firstLine="480"/>
        <w:jc w:val="right"/>
        <w:rPr>
          <w:rFonts w:ascii="宋体" w:eastAsia="宋体" w:hAnsi="宋体" w:cs="宋体"/>
          <w:color w:val="333333"/>
        </w:rPr>
      </w:pPr>
      <w:r>
        <w:rPr>
          <w:rFonts w:ascii="宋体" w:eastAsia="宋体" w:hAnsi="宋体" w:cs="宋体" w:hint="eastAsia"/>
          <w:color w:val="333333"/>
          <w:shd w:val="clear" w:color="auto" w:fill="FFFFFF"/>
        </w:rPr>
        <w:t>华商基金管理有限公司</w:t>
      </w:r>
    </w:p>
    <w:p w:rsidR="00CD065C" w:rsidRDefault="003B331D">
      <w:pPr>
        <w:pStyle w:val="a5"/>
        <w:widowControl/>
        <w:shd w:val="clear" w:color="auto" w:fill="FFFFFF"/>
        <w:adjustRightInd w:val="0"/>
        <w:snapToGrid w:val="0"/>
        <w:spacing w:before="240" w:beforeAutospacing="0" w:afterAutospacing="0" w:line="360" w:lineRule="auto"/>
        <w:ind w:firstLineChars="200" w:firstLine="480"/>
        <w:jc w:val="right"/>
        <w:rPr>
          <w:rFonts w:ascii="宋体" w:eastAsia="宋体" w:hAnsi="宋体" w:cs="宋体"/>
          <w:color w:val="333333"/>
        </w:rPr>
      </w:pPr>
      <w:r>
        <w:rPr>
          <w:rFonts w:ascii="宋体" w:eastAsia="宋体" w:hAnsi="宋体" w:cs="宋体" w:hint="eastAsia"/>
          <w:color w:val="333333"/>
          <w:shd w:val="clear" w:color="auto" w:fill="FFFFFF"/>
        </w:rPr>
        <w:t>二〇二一年三月二十五日</w:t>
      </w:r>
    </w:p>
    <w:p w:rsidR="00CD065C" w:rsidRDefault="003B331D">
      <w:pPr>
        <w:adjustRightInd w:val="0"/>
        <w:snapToGrid w:val="0"/>
        <w:spacing w:line="360" w:lineRule="auto"/>
        <w:ind w:firstLineChars="200" w:firstLine="420"/>
        <w:rPr>
          <w:rFonts w:ascii="宋体" w:eastAsia="宋体" w:hAnsi="宋体" w:cs="宋体"/>
        </w:rPr>
      </w:pPr>
      <w:r>
        <w:rPr>
          <w:rFonts w:ascii="宋体" w:eastAsia="宋体" w:hAnsi="宋体" w:cs="宋体" w:hint="eastAsia"/>
        </w:rPr>
        <w:t>附表：</w:t>
      </w:r>
    </w:p>
    <w:tbl>
      <w:tblPr>
        <w:tblStyle w:val="a6"/>
        <w:tblW w:w="0" w:type="auto"/>
        <w:tblLook w:val="04A0"/>
      </w:tblPr>
      <w:tblGrid>
        <w:gridCol w:w="795"/>
        <w:gridCol w:w="4886"/>
        <w:gridCol w:w="2841"/>
      </w:tblGrid>
      <w:tr w:rsidR="00CD065C">
        <w:tc>
          <w:tcPr>
            <w:tcW w:w="795" w:type="dxa"/>
          </w:tcPr>
          <w:p w:rsidR="00CD065C" w:rsidRDefault="003B331D">
            <w:pPr>
              <w:adjustRightInd w:val="0"/>
              <w:snapToGrid w:val="0"/>
              <w:spacing w:line="360" w:lineRule="auto"/>
              <w:rPr>
                <w:rFonts w:ascii="宋体" w:eastAsia="宋体" w:hAnsi="宋体" w:cs="宋体"/>
                <w:szCs w:val="21"/>
              </w:rPr>
            </w:pPr>
            <w:r>
              <w:rPr>
                <w:rFonts w:ascii="宋体" w:eastAsia="宋体" w:hAnsi="宋体" w:cs="宋体" w:hint="eastAsia"/>
                <w:szCs w:val="21"/>
              </w:rPr>
              <w:t>序号</w:t>
            </w:r>
          </w:p>
        </w:tc>
        <w:tc>
          <w:tcPr>
            <w:tcW w:w="4886" w:type="dxa"/>
          </w:tcPr>
          <w:p w:rsidR="00CD065C" w:rsidRDefault="003B331D">
            <w:pPr>
              <w:adjustRightInd w:val="0"/>
              <w:snapToGrid w:val="0"/>
              <w:spacing w:line="360" w:lineRule="auto"/>
              <w:rPr>
                <w:rFonts w:ascii="宋体" w:eastAsia="宋体" w:hAnsi="宋体" w:cs="宋体"/>
                <w:szCs w:val="21"/>
              </w:rPr>
            </w:pPr>
            <w:r>
              <w:rPr>
                <w:rFonts w:ascii="宋体" w:eastAsia="宋体" w:hAnsi="宋体" w:cs="宋体" w:hint="eastAsia"/>
                <w:szCs w:val="21"/>
              </w:rPr>
              <w:t>基金名称</w:t>
            </w:r>
          </w:p>
        </w:tc>
        <w:tc>
          <w:tcPr>
            <w:tcW w:w="2841" w:type="dxa"/>
          </w:tcPr>
          <w:p w:rsidR="00CD065C" w:rsidRDefault="003B331D">
            <w:pPr>
              <w:adjustRightInd w:val="0"/>
              <w:snapToGrid w:val="0"/>
              <w:spacing w:line="360" w:lineRule="auto"/>
              <w:rPr>
                <w:rFonts w:ascii="宋体" w:eastAsia="宋体" w:hAnsi="宋体" w:cs="宋体"/>
                <w:szCs w:val="21"/>
              </w:rPr>
            </w:pPr>
            <w:r>
              <w:rPr>
                <w:rFonts w:ascii="宋体" w:eastAsia="宋体" w:hAnsi="宋体" w:cs="宋体" w:hint="eastAsia"/>
                <w:szCs w:val="21"/>
              </w:rPr>
              <w:t>基金托管人</w:t>
            </w:r>
          </w:p>
        </w:tc>
      </w:tr>
      <w:tr w:rsidR="00CD065C">
        <w:tc>
          <w:tcPr>
            <w:tcW w:w="795" w:type="dxa"/>
          </w:tcPr>
          <w:p w:rsidR="00CD065C" w:rsidRDefault="003B331D">
            <w:pPr>
              <w:adjustRightInd w:val="0"/>
              <w:snapToGrid w:val="0"/>
              <w:spacing w:line="360" w:lineRule="auto"/>
              <w:rPr>
                <w:rFonts w:ascii="宋体" w:eastAsia="宋体" w:hAnsi="宋体" w:cs="宋体"/>
                <w:szCs w:val="21"/>
              </w:rPr>
            </w:pPr>
            <w:r>
              <w:rPr>
                <w:rFonts w:ascii="宋体" w:eastAsia="宋体" w:hAnsi="宋体" w:cs="宋体" w:hint="eastAsia"/>
                <w:szCs w:val="21"/>
              </w:rPr>
              <w:t>1</w:t>
            </w:r>
          </w:p>
        </w:tc>
        <w:tc>
          <w:tcPr>
            <w:tcW w:w="4886" w:type="dxa"/>
            <w:vAlign w:val="center"/>
          </w:tcPr>
          <w:p w:rsidR="00CD065C" w:rsidRDefault="003B331D">
            <w:pPr>
              <w:widowControl/>
              <w:jc w:val="center"/>
              <w:rPr>
                <w:rFonts w:ascii="宋体" w:eastAsia="宋体" w:hAnsi="宋体" w:cs="宋体"/>
                <w:szCs w:val="21"/>
              </w:rPr>
            </w:pPr>
            <w:r>
              <w:rPr>
                <w:rFonts w:ascii="宋体" w:eastAsia="宋体" w:hAnsi="宋体" w:cs="宋体" w:hint="eastAsia"/>
                <w:color w:val="000000"/>
                <w:kern w:val="0"/>
                <w:szCs w:val="21"/>
                <w:lang/>
              </w:rPr>
              <w:t>华商丰利增强定期开放债券型证券投资基金</w:t>
            </w:r>
          </w:p>
        </w:tc>
        <w:tc>
          <w:tcPr>
            <w:tcW w:w="2841" w:type="dxa"/>
            <w:vAlign w:val="center"/>
          </w:tcPr>
          <w:p w:rsidR="00CD065C" w:rsidRDefault="003B331D">
            <w:pPr>
              <w:widowControl/>
              <w:jc w:val="center"/>
              <w:rPr>
                <w:rFonts w:ascii="宋体" w:eastAsia="宋体" w:hAnsi="宋体" w:cs="宋体"/>
                <w:szCs w:val="21"/>
              </w:rPr>
            </w:pPr>
            <w:r>
              <w:rPr>
                <w:rFonts w:ascii="宋体" w:eastAsia="宋体" w:hAnsi="宋体" w:cs="宋体" w:hint="eastAsia"/>
                <w:color w:val="000000"/>
                <w:kern w:val="0"/>
                <w:szCs w:val="21"/>
                <w:lang/>
              </w:rPr>
              <w:t>中国工商银行股份有限公司</w:t>
            </w:r>
          </w:p>
        </w:tc>
      </w:tr>
      <w:tr w:rsidR="00CD065C">
        <w:tc>
          <w:tcPr>
            <w:tcW w:w="795" w:type="dxa"/>
          </w:tcPr>
          <w:p w:rsidR="00CD065C" w:rsidRDefault="003B331D">
            <w:pPr>
              <w:adjustRightInd w:val="0"/>
              <w:snapToGrid w:val="0"/>
              <w:spacing w:line="360" w:lineRule="auto"/>
              <w:rPr>
                <w:rFonts w:ascii="宋体" w:eastAsia="宋体" w:hAnsi="宋体" w:cs="宋体"/>
                <w:szCs w:val="21"/>
              </w:rPr>
            </w:pPr>
            <w:r>
              <w:rPr>
                <w:rFonts w:ascii="宋体" w:eastAsia="宋体" w:hAnsi="宋体" w:cs="宋体" w:hint="eastAsia"/>
                <w:szCs w:val="21"/>
              </w:rPr>
              <w:t>2</w:t>
            </w:r>
          </w:p>
        </w:tc>
        <w:tc>
          <w:tcPr>
            <w:tcW w:w="4886" w:type="dxa"/>
            <w:vAlign w:val="center"/>
          </w:tcPr>
          <w:p w:rsidR="00CD065C" w:rsidRDefault="003B331D">
            <w:pPr>
              <w:widowControl/>
              <w:jc w:val="center"/>
              <w:rPr>
                <w:rFonts w:ascii="宋体" w:eastAsia="宋体" w:hAnsi="宋体" w:cs="宋体"/>
                <w:szCs w:val="21"/>
              </w:rPr>
            </w:pPr>
            <w:r>
              <w:rPr>
                <w:rFonts w:ascii="宋体" w:eastAsia="宋体" w:hAnsi="宋体" w:cs="宋体" w:hint="eastAsia"/>
                <w:color w:val="000000"/>
                <w:kern w:val="0"/>
                <w:szCs w:val="21"/>
                <w:lang/>
              </w:rPr>
              <w:t>华商瑞丰短债债券型证券投资基金</w:t>
            </w:r>
          </w:p>
        </w:tc>
        <w:tc>
          <w:tcPr>
            <w:tcW w:w="2841" w:type="dxa"/>
            <w:vAlign w:val="center"/>
          </w:tcPr>
          <w:p w:rsidR="00CD065C" w:rsidRDefault="003B331D">
            <w:pPr>
              <w:widowControl/>
              <w:jc w:val="center"/>
              <w:rPr>
                <w:rFonts w:ascii="宋体" w:eastAsia="宋体" w:hAnsi="宋体" w:cs="宋体"/>
                <w:szCs w:val="21"/>
              </w:rPr>
            </w:pPr>
            <w:r>
              <w:rPr>
                <w:rFonts w:ascii="宋体" w:eastAsia="宋体" w:hAnsi="宋体" w:cs="宋体" w:hint="eastAsia"/>
                <w:color w:val="000000"/>
                <w:kern w:val="0"/>
                <w:szCs w:val="21"/>
                <w:lang/>
              </w:rPr>
              <w:t>中国工商银行股份有限公司</w:t>
            </w:r>
          </w:p>
        </w:tc>
      </w:tr>
      <w:tr w:rsidR="00CD065C">
        <w:tc>
          <w:tcPr>
            <w:tcW w:w="795" w:type="dxa"/>
          </w:tcPr>
          <w:p w:rsidR="00CD065C" w:rsidRDefault="003B331D">
            <w:pPr>
              <w:adjustRightInd w:val="0"/>
              <w:snapToGrid w:val="0"/>
              <w:spacing w:line="360" w:lineRule="auto"/>
              <w:rPr>
                <w:rFonts w:ascii="宋体" w:eastAsia="宋体" w:hAnsi="宋体" w:cs="宋体"/>
                <w:szCs w:val="21"/>
              </w:rPr>
            </w:pPr>
            <w:r>
              <w:rPr>
                <w:rFonts w:ascii="宋体" w:eastAsia="宋体" w:hAnsi="宋体" w:cs="宋体" w:hint="eastAsia"/>
                <w:szCs w:val="21"/>
              </w:rPr>
              <w:t>3</w:t>
            </w:r>
          </w:p>
        </w:tc>
        <w:tc>
          <w:tcPr>
            <w:tcW w:w="4886" w:type="dxa"/>
            <w:vAlign w:val="center"/>
          </w:tcPr>
          <w:p w:rsidR="00CD065C" w:rsidRDefault="003B331D">
            <w:pPr>
              <w:widowControl/>
              <w:jc w:val="center"/>
              <w:rPr>
                <w:rFonts w:ascii="宋体" w:eastAsia="宋体" w:hAnsi="宋体" w:cs="宋体"/>
                <w:szCs w:val="21"/>
              </w:rPr>
            </w:pPr>
            <w:r>
              <w:rPr>
                <w:rFonts w:ascii="宋体" w:eastAsia="宋体" w:hAnsi="宋体" w:cs="宋体" w:hint="eastAsia"/>
                <w:color w:val="000000"/>
                <w:kern w:val="0"/>
                <w:szCs w:val="21"/>
                <w:lang/>
              </w:rPr>
              <w:t>华商可转债债券型证券投资基金</w:t>
            </w:r>
          </w:p>
        </w:tc>
        <w:tc>
          <w:tcPr>
            <w:tcW w:w="2841" w:type="dxa"/>
            <w:vAlign w:val="center"/>
          </w:tcPr>
          <w:p w:rsidR="00CD065C" w:rsidRDefault="003B331D">
            <w:pPr>
              <w:widowControl/>
              <w:jc w:val="center"/>
              <w:rPr>
                <w:rFonts w:ascii="宋体" w:eastAsia="宋体" w:hAnsi="宋体" w:cs="宋体"/>
                <w:szCs w:val="21"/>
              </w:rPr>
            </w:pPr>
            <w:r>
              <w:rPr>
                <w:rFonts w:ascii="宋体" w:eastAsia="宋体" w:hAnsi="宋体" w:cs="宋体" w:hint="eastAsia"/>
                <w:color w:val="000000"/>
                <w:kern w:val="0"/>
                <w:szCs w:val="21"/>
                <w:lang/>
              </w:rPr>
              <w:t>中国工商银行股份有限公司</w:t>
            </w:r>
          </w:p>
        </w:tc>
      </w:tr>
      <w:tr w:rsidR="00CD065C">
        <w:tc>
          <w:tcPr>
            <w:tcW w:w="795" w:type="dxa"/>
          </w:tcPr>
          <w:p w:rsidR="00CD065C" w:rsidRDefault="003B331D">
            <w:pPr>
              <w:adjustRightInd w:val="0"/>
              <w:snapToGrid w:val="0"/>
              <w:spacing w:line="360" w:lineRule="auto"/>
              <w:rPr>
                <w:rFonts w:ascii="宋体" w:eastAsia="宋体" w:hAnsi="宋体" w:cs="宋体"/>
                <w:szCs w:val="21"/>
              </w:rPr>
            </w:pPr>
            <w:r>
              <w:rPr>
                <w:rFonts w:ascii="宋体" w:eastAsia="宋体" w:hAnsi="宋体" w:cs="宋体" w:hint="eastAsia"/>
                <w:szCs w:val="21"/>
              </w:rPr>
              <w:t>4</w:t>
            </w:r>
          </w:p>
        </w:tc>
        <w:tc>
          <w:tcPr>
            <w:tcW w:w="4886" w:type="dxa"/>
            <w:vAlign w:val="center"/>
          </w:tcPr>
          <w:p w:rsidR="00CD065C" w:rsidRDefault="003B331D">
            <w:pPr>
              <w:widowControl/>
              <w:jc w:val="center"/>
              <w:rPr>
                <w:rFonts w:ascii="宋体" w:eastAsia="宋体" w:hAnsi="宋体" w:cs="宋体"/>
                <w:szCs w:val="21"/>
              </w:rPr>
            </w:pPr>
            <w:r>
              <w:rPr>
                <w:rFonts w:ascii="宋体" w:eastAsia="宋体" w:hAnsi="宋体" w:cs="宋体" w:hint="eastAsia"/>
                <w:color w:val="000000"/>
                <w:kern w:val="0"/>
                <w:szCs w:val="21"/>
                <w:lang/>
              </w:rPr>
              <w:t>华商元亨灵活配置混合型证券投资基金</w:t>
            </w:r>
          </w:p>
        </w:tc>
        <w:tc>
          <w:tcPr>
            <w:tcW w:w="2841" w:type="dxa"/>
            <w:vAlign w:val="center"/>
          </w:tcPr>
          <w:p w:rsidR="00CD065C" w:rsidRDefault="003B331D">
            <w:pPr>
              <w:widowControl/>
              <w:jc w:val="center"/>
              <w:rPr>
                <w:rFonts w:ascii="宋体" w:eastAsia="宋体" w:hAnsi="宋体" w:cs="宋体"/>
                <w:szCs w:val="21"/>
              </w:rPr>
            </w:pPr>
            <w:r>
              <w:rPr>
                <w:rFonts w:ascii="宋体" w:eastAsia="宋体" w:hAnsi="宋体" w:cs="宋体" w:hint="eastAsia"/>
                <w:color w:val="000000"/>
                <w:kern w:val="0"/>
                <w:szCs w:val="21"/>
                <w:lang/>
              </w:rPr>
              <w:t>国泰君安证券股份有限公司</w:t>
            </w:r>
          </w:p>
        </w:tc>
      </w:tr>
    </w:tbl>
    <w:p w:rsidR="00CD065C" w:rsidRDefault="00CD065C">
      <w:pPr>
        <w:adjustRightInd w:val="0"/>
        <w:snapToGrid w:val="0"/>
        <w:spacing w:line="360" w:lineRule="auto"/>
        <w:ind w:firstLineChars="200" w:firstLine="420"/>
        <w:rPr>
          <w:rFonts w:ascii="宋体" w:eastAsia="宋体" w:hAnsi="宋体" w:cs="宋体"/>
        </w:rPr>
      </w:pPr>
    </w:p>
    <w:p w:rsidR="00CD065C" w:rsidRDefault="00CD065C"/>
    <w:sectPr w:rsidR="00CD065C" w:rsidSect="005F6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1D" w:rsidRDefault="003B331D" w:rsidP="00610B14">
      <w:r>
        <w:separator/>
      </w:r>
    </w:p>
  </w:endnote>
  <w:endnote w:type="continuationSeparator" w:id="0">
    <w:p w:rsidR="003B331D" w:rsidRDefault="003B331D" w:rsidP="00610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1D" w:rsidRDefault="003B331D" w:rsidP="00610B14">
      <w:r>
        <w:separator/>
      </w:r>
    </w:p>
  </w:footnote>
  <w:footnote w:type="continuationSeparator" w:id="0">
    <w:p w:rsidR="003B331D" w:rsidRDefault="003B331D" w:rsidP="00610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B05E56"/>
    <w:rsid w:val="000243A2"/>
    <w:rsid w:val="000313EB"/>
    <w:rsid w:val="000B3CC3"/>
    <w:rsid w:val="00110262"/>
    <w:rsid w:val="003B331D"/>
    <w:rsid w:val="005F618D"/>
    <w:rsid w:val="00610B14"/>
    <w:rsid w:val="0067270B"/>
    <w:rsid w:val="00B05E56"/>
    <w:rsid w:val="00CD065C"/>
    <w:rsid w:val="04031ED6"/>
    <w:rsid w:val="046B2863"/>
    <w:rsid w:val="087E29B0"/>
    <w:rsid w:val="24EE2CD2"/>
    <w:rsid w:val="2C213CE5"/>
    <w:rsid w:val="369537B0"/>
    <w:rsid w:val="456942D9"/>
    <w:rsid w:val="4DCD2B04"/>
    <w:rsid w:val="5C241507"/>
    <w:rsid w:val="5C86151F"/>
    <w:rsid w:val="686D6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618D"/>
    <w:pPr>
      <w:widowControl w:val="0"/>
      <w:jc w:val="both"/>
    </w:pPr>
    <w:rPr>
      <w:rFonts w:asciiTheme="minorHAnsi" w:hAnsiTheme="minorHAnsi" w:cstheme="minorBidi"/>
      <w:kern w:val="2"/>
      <w:sz w:val="21"/>
      <w:szCs w:val="24"/>
    </w:rPr>
  </w:style>
  <w:style w:type="paragraph" w:styleId="5">
    <w:name w:val="heading 5"/>
    <w:basedOn w:val="a"/>
    <w:next w:val="a"/>
    <w:semiHidden/>
    <w:unhideWhenUsed/>
    <w:qFormat/>
    <w:rsid w:val="005F618D"/>
    <w:pPr>
      <w:spacing w:beforeAutospacing="1" w:afterAutospacing="1"/>
      <w:jc w:val="left"/>
      <w:outlineLvl w:val="4"/>
    </w:pPr>
    <w:rPr>
      <w:rFonts w:ascii="宋体" w:eastAsia="宋体" w:hAnsi="宋体" w:cs="Times New Roman" w:hint="eastAsia"/>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F618D"/>
    <w:pPr>
      <w:tabs>
        <w:tab w:val="center" w:pos="4153"/>
        <w:tab w:val="right" w:pos="8306"/>
      </w:tabs>
      <w:snapToGrid w:val="0"/>
      <w:jc w:val="left"/>
    </w:pPr>
    <w:rPr>
      <w:sz w:val="18"/>
      <w:szCs w:val="18"/>
    </w:rPr>
  </w:style>
  <w:style w:type="paragraph" w:styleId="a4">
    <w:name w:val="header"/>
    <w:basedOn w:val="a"/>
    <w:link w:val="Char0"/>
    <w:rsid w:val="005F618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F618D"/>
    <w:pPr>
      <w:spacing w:beforeAutospacing="1" w:afterAutospacing="1"/>
      <w:jc w:val="left"/>
    </w:pPr>
    <w:rPr>
      <w:rFonts w:cs="Times New Roman"/>
      <w:kern w:val="0"/>
      <w:sz w:val="24"/>
    </w:rPr>
  </w:style>
  <w:style w:type="table" w:styleId="a6">
    <w:name w:val="Table Grid"/>
    <w:basedOn w:val="a1"/>
    <w:qFormat/>
    <w:rsid w:val="005F61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5F618D"/>
    <w:rPr>
      <w:rFonts w:asciiTheme="minorHAnsi" w:eastAsiaTheme="minorEastAsia" w:hAnsiTheme="minorHAnsi" w:cstheme="minorBidi"/>
      <w:kern w:val="2"/>
      <w:sz w:val="18"/>
      <w:szCs w:val="18"/>
    </w:rPr>
  </w:style>
  <w:style w:type="character" w:customStyle="1" w:styleId="Char">
    <w:name w:val="页脚 Char"/>
    <w:basedOn w:val="a0"/>
    <w:link w:val="a3"/>
    <w:qFormat/>
    <w:rsid w:val="005F618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4</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dc:creator>
  <cp:lastModifiedBy>ZHONGM</cp:lastModifiedBy>
  <cp:revision>2</cp:revision>
  <cp:lastPrinted>2021-03-24T05:19:00Z</cp:lastPrinted>
  <dcterms:created xsi:type="dcterms:W3CDTF">2021-03-24T16:00:00Z</dcterms:created>
  <dcterms:modified xsi:type="dcterms:W3CDTF">2021-03-24T16:00:00Z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861E8840A8614076B926068A4F1AC4B5</vt:lpwstr>
  </property>
</Properties>
</file>