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64" w:rsidRPr="00A34F85" w:rsidRDefault="00265F9A" w:rsidP="00A34F85">
      <w:pPr>
        <w:spacing w:line="360" w:lineRule="auto"/>
        <w:jc w:val="center"/>
        <w:rPr>
          <w:rFonts w:asciiTheme="minorEastAsia" w:hAnsiTheme="minorEastAsia"/>
          <w:b/>
          <w:bCs/>
          <w:szCs w:val="21"/>
        </w:rPr>
      </w:pPr>
      <w:r w:rsidRPr="00A34F85">
        <w:rPr>
          <w:rFonts w:asciiTheme="minorEastAsia" w:hAnsiTheme="minorEastAsia" w:cs="宋体" w:hint="eastAsia"/>
          <w:b/>
          <w:bCs/>
          <w:color w:val="000000"/>
          <w:kern w:val="0"/>
          <w:szCs w:val="21"/>
        </w:rPr>
        <w:t>中欧基金管理有限公司</w:t>
      </w:r>
      <w:r w:rsidR="00711F1E" w:rsidRPr="00A34F85">
        <w:rPr>
          <w:rFonts w:asciiTheme="minorEastAsia" w:hAnsiTheme="minorEastAsia" w:cs="宋体" w:hint="eastAsia"/>
          <w:b/>
          <w:bCs/>
          <w:color w:val="000000"/>
          <w:kern w:val="0"/>
          <w:szCs w:val="21"/>
        </w:rPr>
        <w:t>关于</w:t>
      </w:r>
      <w:r w:rsidR="00CA00D1" w:rsidRPr="00A34F85">
        <w:rPr>
          <w:rFonts w:asciiTheme="minorEastAsia" w:hAnsiTheme="minorEastAsia" w:cs="宋体" w:hint="eastAsia"/>
          <w:b/>
          <w:bCs/>
          <w:color w:val="000000"/>
          <w:kern w:val="0"/>
          <w:szCs w:val="21"/>
        </w:rPr>
        <w:t>旗下基金投资非公开发行股票的公告</w:t>
      </w:r>
    </w:p>
    <w:p w:rsidR="00861A3F" w:rsidRPr="00A34F85" w:rsidRDefault="00CA00D1" w:rsidP="00A34F85">
      <w:pPr>
        <w:pStyle w:val="a8"/>
        <w:shd w:val="clear" w:color="auto" w:fill="FFFFFF"/>
        <w:spacing w:before="240" w:beforeAutospacing="0" w:after="0" w:afterAutospacing="0" w:line="360" w:lineRule="auto"/>
        <w:ind w:firstLineChars="200" w:firstLine="420"/>
        <w:rPr>
          <w:rFonts w:asciiTheme="minorEastAsia" w:eastAsiaTheme="minorEastAsia" w:hAnsiTheme="minorEastAsia" w:cs="Times New Roman"/>
          <w:sz w:val="21"/>
          <w:szCs w:val="21"/>
        </w:rPr>
      </w:pPr>
      <w:r w:rsidRPr="00A34F85">
        <w:rPr>
          <w:rFonts w:asciiTheme="minorEastAsia" w:eastAsiaTheme="minorEastAsia" w:hAnsiTheme="minorEastAsia" w:cs="Times New Roman" w:hint="eastAsia"/>
          <w:sz w:val="21"/>
          <w:szCs w:val="21"/>
        </w:rPr>
        <w:t>中欧基金管理有限公司（以下简称“本公司”）旗下部分基金参加了</w:t>
      </w:r>
      <w:r w:rsidR="00BC2A71" w:rsidRPr="00A34F85">
        <w:rPr>
          <w:rFonts w:asciiTheme="minorEastAsia" w:eastAsiaTheme="minorEastAsia" w:hAnsiTheme="minorEastAsia" w:cs="Times New Roman" w:hint="eastAsia"/>
          <w:sz w:val="21"/>
          <w:szCs w:val="21"/>
        </w:rPr>
        <w:t>上海锦江国际酒店股份有限公司</w:t>
      </w:r>
      <w:r w:rsidRPr="00A34F85">
        <w:rPr>
          <w:rFonts w:asciiTheme="minorEastAsia" w:eastAsiaTheme="minorEastAsia" w:hAnsiTheme="minorEastAsia" w:cs="Times New Roman" w:hint="eastAsia"/>
          <w:sz w:val="21"/>
          <w:szCs w:val="21"/>
        </w:rPr>
        <w:t>（</w:t>
      </w:r>
      <w:r w:rsidR="00BC2A71" w:rsidRPr="00A34F85">
        <w:rPr>
          <w:rFonts w:asciiTheme="minorEastAsia" w:eastAsiaTheme="minorEastAsia" w:hAnsiTheme="minorEastAsia" w:cs="Times New Roman" w:hint="eastAsia"/>
          <w:sz w:val="21"/>
          <w:szCs w:val="21"/>
        </w:rPr>
        <w:t>锦江酒店</w:t>
      </w:r>
      <w:r w:rsidRPr="00A34F85">
        <w:rPr>
          <w:rFonts w:asciiTheme="minorEastAsia" w:eastAsiaTheme="minorEastAsia" w:hAnsiTheme="minorEastAsia" w:cs="Times New Roman" w:hint="eastAsia"/>
          <w:sz w:val="21"/>
          <w:szCs w:val="21"/>
        </w:rPr>
        <w:t>，代码</w:t>
      </w:r>
      <w:r w:rsidR="00BC2A71" w:rsidRPr="00A34F85">
        <w:rPr>
          <w:rFonts w:asciiTheme="minorEastAsia" w:eastAsiaTheme="minorEastAsia" w:hAnsiTheme="minorEastAsia" w:cs="Times New Roman" w:hint="eastAsia"/>
          <w:sz w:val="21"/>
          <w:szCs w:val="21"/>
        </w:rPr>
        <w:t>600754</w:t>
      </w:r>
      <w:r w:rsidRPr="00A34F85">
        <w:rPr>
          <w:rFonts w:asciiTheme="minorEastAsia" w:eastAsiaTheme="minorEastAsia" w:hAnsiTheme="minorEastAsia" w:cs="Times New Roman" w:hint="eastAsia"/>
          <w:sz w:val="21"/>
          <w:szCs w:val="21"/>
        </w:rPr>
        <w:t>）非公开发行股票的认购。</w:t>
      </w:r>
      <w:r w:rsidR="00BC2A71" w:rsidRPr="00A34F85">
        <w:rPr>
          <w:rFonts w:asciiTheme="minorEastAsia" w:eastAsiaTheme="minorEastAsia" w:hAnsiTheme="minorEastAsia" w:cs="Times New Roman" w:hint="eastAsia"/>
          <w:sz w:val="21"/>
          <w:szCs w:val="21"/>
        </w:rPr>
        <w:t>上海锦江国际酒店股份有限公司</w:t>
      </w:r>
      <w:r w:rsidRPr="00A34F85">
        <w:rPr>
          <w:rFonts w:asciiTheme="minorEastAsia" w:eastAsiaTheme="minorEastAsia" w:hAnsiTheme="minorEastAsia" w:cs="Times New Roman" w:hint="eastAsia"/>
          <w:sz w:val="21"/>
          <w:szCs w:val="21"/>
        </w:rPr>
        <w:t>已发布《</w:t>
      </w:r>
      <w:r w:rsidR="00BC2A71" w:rsidRPr="00A34F85">
        <w:rPr>
          <w:rFonts w:asciiTheme="minorEastAsia" w:eastAsiaTheme="minorEastAsia" w:hAnsiTheme="minorEastAsia" w:cs="Times New Roman" w:hint="eastAsia"/>
          <w:sz w:val="21"/>
          <w:szCs w:val="21"/>
        </w:rPr>
        <w:t>上海锦江国际酒店股份有限公司关于非公开发行股票结果暨股本变动公告</w:t>
      </w:r>
      <w:r w:rsidRPr="00A34F85">
        <w:rPr>
          <w:rFonts w:asciiTheme="minorEastAsia" w:eastAsiaTheme="minorEastAsia" w:hAnsiTheme="minorEastAsia" w:cs="Times New Roman" w:hint="eastAsia"/>
          <w:sz w:val="21"/>
          <w:szCs w:val="21"/>
        </w:rPr>
        <w:t>》，公布了本次非公开发行结果。根据中国证监会《关于基金投资非公开发行股票等流通受限证券有关问题的通知》等有关规定，本公司现将旗下基金投资</w:t>
      </w:r>
      <w:r w:rsidR="00FF7067" w:rsidRPr="00A34F85">
        <w:rPr>
          <w:rFonts w:asciiTheme="minorEastAsia" w:eastAsiaTheme="minorEastAsia" w:hAnsiTheme="minorEastAsia" w:cs="Times New Roman" w:hint="eastAsia"/>
          <w:sz w:val="21"/>
          <w:szCs w:val="21"/>
        </w:rPr>
        <w:t>此</w:t>
      </w:r>
      <w:r w:rsidRPr="00A34F85">
        <w:rPr>
          <w:rFonts w:asciiTheme="minorEastAsia" w:eastAsiaTheme="minorEastAsia" w:hAnsiTheme="minorEastAsia" w:cs="Times New Roman" w:hint="eastAsia"/>
          <w:sz w:val="21"/>
          <w:szCs w:val="21"/>
        </w:rPr>
        <w:t>非公开发行股票的相关信息公告如下：</w:t>
      </w:r>
    </w:p>
    <w:tbl>
      <w:tblPr>
        <w:tblStyle w:val="a7"/>
        <w:tblW w:w="9611" w:type="dxa"/>
        <w:tblInd w:w="-572" w:type="dxa"/>
        <w:tblLook w:val="04A0"/>
      </w:tblPr>
      <w:tblGrid>
        <w:gridCol w:w="2090"/>
        <w:gridCol w:w="1161"/>
        <w:gridCol w:w="1686"/>
        <w:gridCol w:w="1100"/>
        <w:gridCol w:w="1699"/>
        <w:gridCol w:w="1058"/>
        <w:gridCol w:w="817"/>
      </w:tblGrid>
      <w:tr w:rsidR="007713A3" w:rsidRPr="00A34F85" w:rsidTr="0063510B">
        <w:trPr>
          <w:trHeight w:val="1667"/>
        </w:trPr>
        <w:tc>
          <w:tcPr>
            <w:tcW w:w="2090" w:type="dxa"/>
            <w:vAlign w:val="center"/>
          </w:tcPr>
          <w:p w:rsidR="00083926" w:rsidRPr="00A34F85" w:rsidRDefault="00083926"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hint="eastAsia"/>
                <w:color w:val="000000"/>
                <w:sz w:val="21"/>
                <w:szCs w:val="21"/>
              </w:rPr>
              <w:t>基金名称</w:t>
            </w:r>
          </w:p>
        </w:tc>
        <w:tc>
          <w:tcPr>
            <w:tcW w:w="1161" w:type="dxa"/>
            <w:vAlign w:val="center"/>
          </w:tcPr>
          <w:p w:rsidR="00083926" w:rsidRPr="00A34F85" w:rsidRDefault="00FF7067"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hint="eastAsia"/>
                <w:color w:val="000000"/>
                <w:sz w:val="21"/>
                <w:szCs w:val="21"/>
              </w:rPr>
              <w:t>认购数量</w:t>
            </w:r>
            <w:r w:rsidR="00083926" w:rsidRPr="00A34F85">
              <w:rPr>
                <w:rFonts w:asciiTheme="minorEastAsia" w:eastAsiaTheme="minorEastAsia" w:hAnsiTheme="minorEastAsia" w:cs="Arial"/>
                <w:color w:val="000000"/>
                <w:sz w:val="21"/>
                <w:szCs w:val="21"/>
              </w:rPr>
              <w:t>（股）</w:t>
            </w:r>
          </w:p>
        </w:tc>
        <w:tc>
          <w:tcPr>
            <w:tcW w:w="1686" w:type="dxa"/>
            <w:vAlign w:val="center"/>
          </w:tcPr>
          <w:p w:rsidR="00083926" w:rsidRPr="00A34F85" w:rsidRDefault="00083926"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color w:val="000000"/>
                <w:sz w:val="21"/>
                <w:szCs w:val="21"/>
              </w:rPr>
              <w:t>总成本（元）</w:t>
            </w:r>
          </w:p>
        </w:tc>
        <w:tc>
          <w:tcPr>
            <w:tcW w:w="1100" w:type="dxa"/>
            <w:vAlign w:val="center"/>
          </w:tcPr>
          <w:p w:rsidR="00083926" w:rsidRPr="00A34F85" w:rsidRDefault="00083926"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color w:val="000000"/>
                <w:sz w:val="21"/>
                <w:szCs w:val="21"/>
              </w:rPr>
              <w:t>总成本占基金资产净值比例</w:t>
            </w:r>
            <w:r w:rsidR="00BC7F0A" w:rsidRPr="00A34F85">
              <w:rPr>
                <w:rFonts w:asciiTheme="minorEastAsia" w:eastAsiaTheme="minorEastAsia" w:hAnsiTheme="minorEastAsia" w:cs="Arial" w:hint="eastAsia"/>
                <w:color w:val="000000"/>
                <w:sz w:val="21"/>
                <w:szCs w:val="21"/>
              </w:rPr>
              <w:t>(</w:t>
            </w:r>
            <w:r w:rsidR="00BC7F0A" w:rsidRPr="00A34F85">
              <w:rPr>
                <w:rFonts w:asciiTheme="minorEastAsia" w:eastAsiaTheme="minorEastAsia" w:hAnsiTheme="minorEastAsia" w:cs="Arial"/>
                <w:color w:val="000000"/>
                <w:sz w:val="21"/>
                <w:szCs w:val="21"/>
              </w:rPr>
              <w:t>%</w:t>
            </w:r>
            <w:r w:rsidR="00BC7F0A" w:rsidRPr="00A34F85">
              <w:rPr>
                <w:rFonts w:asciiTheme="minorEastAsia" w:eastAsiaTheme="minorEastAsia" w:hAnsiTheme="minorEastAsia" w:cs="Arial" w:hint="eastAsia"/>
                <w:color w:val="000000"/>
                <w:sz w:val="21"/>
                <w:szCs w:val="21"/>
              </w:rPr>
              <w:t>)</w:t>
            </w:r>
          </w:p>
        </w:tc>
        <w:tc>
          <w:tcPr>
            <w:tcW w:w="1699" w:type="dxa"/>
            <w:vAlign w:val="center"/>
          </w:tcPr>
          <w:p w:rsidR="00083926" w:rsidRPr="00A34F85" w:rsidRDefault="00083926"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color w:val="000000"/>
                <w:sz w:val="21"/>
                <w:szCs w:val="21"/>
              </w:rPr>
              <w:t>账面价值（元）</w:t>
            </w:r>
          </w:p>
        </w:tc>
        <w:tc>
          <w:tcPr>
            <w:tcW w:w="1058" w:type="dxa"/>
            <w:vAlign w:val="center"/>
          </w:tcPr>
          <w:p w:rsidR="00083926" w:rsidRPr="00A34F85" w:rsidRDefault="00083926"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color w:val="000000"/>
                <w:sz w:val="21"/>
                <w:szCs w:val="21"/>
              </w:rPr>
              <w:t>账面价值占基金资产净值比例</w:t>
            </w:r>
            <w:r w:rsidR="00BC7F0A" w:rsidRPr="00A34F85">
              <w:rPr>
                <w:rFonts w:asciiTheme="minorEastAsia" w:eastAsiaTheme="minorEastAsia" w:hAnsiTheme="minorEastAsia" w:cs="Arial" w:hint="eastAsia"/>
                <w:color w:val="000000"/>
                <w:sz w:val="21"/>
                <w:szCs w:val="21"/>
              </w:rPr>
              <w:t>(</w:t>
            </w:r>
            <w:r w:rsidR="00BC7F0A" w:rsidRPr="00A34F85">
              <w:rPr>
                <w:rFonts w:asciiTheme="minorEastAsia" w:eastAsiaTheme="minorEastAsia" w:hAnsiTheme="minorEastAsia" w:cs="Arial"/>
                <w:color w:val="000000"/>
                <w:sz w:val="21"/>
                <w:szCs w:val="21"/>
              </w:rPr>
              <w:t>%</w:t>
            </w:r>
            <w:r w:rsidR="00BC7F0A" w:rsidRPr="00A34F85">
              <w:rPr>
                <w:rFonts w:asciiTheme="minorEastAsia" w:eastAsiaTheme="minorEastAsia" w:hAnsiTheme="minorEastAsia" w:cs="Arial" w:hint="eastAsia"/>
                <w:color w:val="000000"/>
                <w:sz w:val="21"/>
                <w:szCs w:val="21"/>
              </w:rPr>
              <w:t>)</w:t>
            </w:r>
          </w:p>
        </w:tc>
        <w:tc>
          <w:tcPr>
            <w:tcW w:w="817" w:type="dxa"/>
            <w:vAlign w:val="center"/>
          </w:tcPr>
          <w:p w:rsidR="00083926" w:rsidRPr="00A34F85" w:rsidRDefault="00083926" w:rsidP="005D1094">
            <w:pPr>
              <w:pStyle w:val="a8"/>
              <w:spacing w:before="0" w:beforeAutospacing="0" w:after="0" w:afterAutospacing="0" w:line="375" w:lineRule="atLeast"/>
              <w:rPr>
                <w:rFonts w:asciiTheme="minorEastAsia" w:eastAsiaTheme="minorEastAsia" w:hAnsiTheme="minorEastAsia" w:cs="Arial"/>
                <w:color w:val="000000"/>
                <w:sz w:val="21"/>
                <w:szCs w:val="21"/>
              </w:rPr>
            </w:pPr>
            <w:r w:rsidRPr="00A34F85">
              <w:rPr>
                <w:rFonts w:asciiTheme="minorEastAsia" w:eastAsiaTheme="minorEastAsia" w:hAnsiTheme="minorEastAsia" w:cs="Arial"/>
                <w:color w:val="000000"/>
                <w:sz w:val="21"/>
                <w:szCs w:val="21"/>
              </w:rPr>
              <w:t>锁定期</w:t>
            </w:r>
          </w:p>
        </w:tc>
      </w:tr>
      <w:tr w:rsidR="005D1094" w:rsidRPr="00A34F85" w:rsidTr="0063510B">
        <w:trPr>
          <w:trHeight w:val="1044"/>
        </w:trPr>
        <w:tc>
          <w:tcPr>
            <w:tcW w:w="2090" w:type="dxa"/>
          </w:tcPr>
          <w:p w:rsidR="005D1094" w:rsidRPr="00A34F85" w:rsidRDefault="00BC7F0A" w:rsidP="00240EC0">
            <w:pPr>
              <w:pStyle w:val="Default"/>
              <w:rPr>
                <w:rFonts w:asciiTheme="minorEastAsia" w:eastAsiaTheme="minorEastAsia" w:hAnsiTheme="minorEastAsia" w:cs="Times New Roman"/>
                <w:color w:val="auto"/>
                <w:sz w:val="21"/>
                <w:szCs w:val="21"/>
              </w:rPr>
            </w:pPr>
            <w:r w:rsidRPr="00A34F85">
              <w:rPr>
                <w:rFonts w:asciiTheme="minorEastAsia" w:eastAsiaTheme="minorEastAsia" w:hAnsiTheme="minorEastAsia" w:cs="Times New Roman" w:hint="eastAsia"/>
                <w:color w:val="auto"/>
                <w:sz w:val="21"/>
                <w:szCs w:val="21"/>
              </w:rPr>
              <w:t>中欧新趋势混合型证券投资基金（LOF）</w:t>
            </w:r>
          </w:p>
        </w:tc>
        <w:tc>
          <w:tcPr>
            <w:tcW w:w="1161" w:type="dxa"/>
            <w:vAlign w:val="center"/>
          </w:tcPr>
          <w:p w:rsidR="005D1094" w:rsidRPr="00A34F85" w:rsidRDefault="00BC7F0A" w:rsidP="00240EC0">
            <w:pPr>
              <w:jc w:val="right"/>
              <w:rPr>
                <w:rFonts w:asciiTheme="minorEastAsia" w:hAnsiTheme="minorEastAsia" w:cs="Times New Roman"/>
                <w:kern w:val="0"/>
                <w:szCs w:val="21"/>
              </w:rPr>
            </w:pPr>
            <w:r w:rsidRPr="00A34F85">
              <w:rPr>
                <w:rFonts w:asciiTheme="minorEastAsia" w:hAnsiTheme="minorEastAsia" w:cs="Times New Roman"/>
                <w:kern w:val="0"/>
                <w:szCs w:val="21"/>
              </w:rPr>
              <w:t>2,914,798</w:t>
            </w:r>
          </w:p>
        </w:tc>
        <w:tc>
          <w:tcPr>
            <w:tcW w:w="1686" w:type="dxa"/>
            <w:vAlign w:val="center"/>
          </w:tcPr>
          <w:p w:rsidR="005D1094" w:rsidRPr="00A34F85" w:rsidRDefault="00BC7F0A" w:rsidP="00240EC0">
            <w:pPr>
              <w:jc w:val="right"/>
              <w:rPr>
                <w:rFonts w:asciiTheme="minorEastAsia" w:hAnsiTheme="minorEastAsia" w:cs="Times New Roman"/>
                <w:kern w:val="0"/>
                <w:szCs w:val="21"/>
              </w:rPr>
            </w:pPr>
            <w:r w:rsidRPr="00A34F85">
              <w:rPr>
                <w:rFonts w:asciiTheme="minorEastAsia" w:hAnsiTheme="minorEastAsia" w:cs="Times New Roman"/>
                <w:kern w:val="0"/>
                <w:szCs w:val="21"/>
              </w:rPr>
              <w:t>129,999,990.80</w:t>
            </w:r>
          </w:p>
        </w:tc>
        <w:tc>
          <w:tcPr>
            <w:tcW w:w="1100" w:type="dxa"/>
            <w:vAlign w:val="center"/>
          </w:tcPr>
          <w:p w:rsidR="005D1094" w:rsidRPr="00A34F85" w:rsidRDefault="00BC7F0A" w:rsidP="00240EC0">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1.1162</w:t>
            </w:r>
          </w:p>
        </w:tc>
        <w:tc>
          <w:tcPr>
            <w:tcW w:w="1699" w:type="dxa"/>
            <w:vAlign w:val="center"/>
          </w:tcPr>
          <w:p w:rsidR="005D1094" w:rsidRPr="00A34F85" w:rsidRDefault="00BC7F0A" w:rsidP="00240EC0">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145,565,012.12</w:t>
            </w:r>
          </w:p>
        </w:tc>
        <w:tc>
          <w:tcPr>
            <w:tcW w:w="1058" w:type="dxa"/>
            <w:vAlign w:val="center"/>
          </w:tcPr>
          <w:p w:rsidR="005D1094" w:rsidRPr="00A34F85" w:rsidRDefault="00BC7F0A" w:rsidP="00240EC0">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1.2499</w:t>
            </w:r>
          </w:p>
        </w:tc>
        <w:tc>
          <w:tcPr>
            <w:tcW w:w="817" w:type="dxa"/>
            <w:vAlign w:val="center"/>
          </w:tcPr>
          <w:p w:rsidR="005D1094" w:rsidRPr="00A34F85" w:rsidRDefault="005D1094" w:rsidP="00240EC0">
            <w:pPr>
              <w:spacing w:line="360" w:lineRule="auto"/>
              <w:rPr>
                <w:rFonts w:asciiTheme="minorEastAsia" w:hAnsiTheme="minorEastAsia" w:cs="Times New Roman"/>
                <w:kern w:val="0"/>
                <w:szCs w:val="21"/>
              </w:rPr>
            </w:pPr>
            <w:r w:rsidRPr="00A34F85">
              <w:rPr>
                <w:rFonts w:asciiTheme="minorEastAsia" w:hAnsiTheme="minorEastAsia" w:cs="Times New Roman"/>
                <w:kern w:val="0"/>
                <w:szCs w:val="21"/>
              </w:rPr>
              <w:t>6</w:t>
            </w:r>
            <w:r w:rsidRPr="00A34F85">
              <w:rPr>
                <w:rFonts w:asciiTheme="minorEastAsia" w:hAnsiTheme="minorEastAsia" w:cs="Times New Roman" w:hint="eastAsia"/>
                <w:kern w:val="0"/>
                <w:szCs w:val="21"/>
              </w:rPr>
              <w:t>个月</w:t>
            </w:r>
          </w:p>
        </w:tc>
      </w:tr>
      <w:tr w:rsidR="005D1094" w:rsidRPr="00A34F85" w:rsidTr="0063510B">
        <w:trPr>
          <w:trHeight w:val="1044"/>
        </w:trPr>
        <w:tc>
          <w:tcPr>
            <w:tcW w:w="2090" w:type="dxa"/>
          </w:tcPr>
          <w:p w:rsidR="005D1094" w:rsidRPr="00A34F85" w:rsidRDefault="00BC7F0A" w:rsidP="00240EC0">
            <w:pPr>
              <w:pStyle w:val="Default"/>
              <w:rPr>
                <w:rFonts w:asciiTheme="minorEastAsia" w:eastAsiaTheme="minorEastAsia" w:hAnsiTheme="minorEastAsia" w:cs="Times New Roman"/>
                <w:color w:val="auto"/>
                <w:sz w:val="21"/>
                <w:szCs w:val="21"/>
              </w:rPr>
            </w:pPr>
            <w:r w:rsidRPr="00A34F85">
              <w:rPr>
                <w:rFonts w:asciiTheme="minorEastAsia" w:eastAsiaTheme="minorEastAsia" w:hAnsiTheme="minorEastAsia" w:cs="Times New Roman" w:hint="eastAsia"/>
                <w:color w:val="auto"/>
                <w:sz w:val="21"/>
                <w:szCs w:val="21"/>
              </w:rPr>
              <w:t>中欧新蓝筹灵活配置混合型证券投资基金</w:t>
            </w:r>
          </w:p>
        </w:tc>
        <w:tc>
          <w:tcPr>
            <w:tcW w:w="1161" w:type="dxa"/>
            <w:vAlign w:val="center"/>
          </w:tcPr>
          <w:p w:rsidR="005D1094" w:rsidRPr="00A34F85" w:rsidRDefault="00BC7F0A" w:rsidP="00240EC0">
            <w:pPr>
              <w:jc w:val="right"/>
              <w:rPr>
                <w:rFonts w:asciiTheme="minorEastAsia" w:hAnsiTheme="minorEastAsia" w:cs="Times New Roman"/>
                <w:kern w:val="0"/>
                <w:szCs w:val="21"/>
              </w:rPr>
            </w:pPr>
            <w:r w:rsidRPr="00A34F85">
              <w:rPr>
                <w:rFonts w:asciiTheme="minorEastAsia" w:hAnsiTheme="minorEastAsia" w:cs="Times New Roman"/>
                <w:kern w:val="0"/>
                <w:szCs w:val="21"/>
              </w:rPr>
              <w:t>3,811,659</w:t>
            </w:r>
          </w:p>
        </w:tc>
        <w:tc>
          <w:tcPr>
            <w:tcW w:w="1686" w:type="dxa"/>
            <w:vAlign w:val="center"/>
          </w:tcPr>
          <w:p w:rsidR="005D1094" w:rsidRPr="00A34F85" w:rsidRDefault="00BC7F0A" w:rsidP="00240EC0">
            <w:pPr>
              <w:jc w:val="right"/>
              <w:rPr>
                <w:rFonts w:asciiTheme="minorEastAsia" w:hAnsiTheme="minorEastAsia" w:cs="Times New Roman"/>
                <w:kern w:val="0"/>
                <w:szCs w:val="21"/>
              </w:rPr>
            </w:pPr>
            <w:r w:rsidRPr="00A34F85">
              <w:rPr>
                <w:rFonts w:asciiTheme="minorEastAsia" w:hAnsiTheme="minorEastAsia" w:cs="Times New Roman"/>
                <w:kern w:val="0"/>
                <w:szCs w:val="21"/>
              </w:rPr>
              <w:t>169,999,991.40</w:t>
            </w:r>
          </w:p>
        </w:tc>
        <w:tc>
          <w:tcPr>
            <w:tcW w:w="1100" w:type="dxa"/>
            <w:vAlign w:val="center"/>
          </w:tcPr>
          <w:p w:rsidR="005D1094" w:rsidRPr="00A34F85" w:rsidRDefault="00BC7F0A" w:rsidP="00240EC0">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1.0146</w:t>
            </w:r>
          </w:p>
        </w:tc>
        <w:tc>
          <w:tcPr>
            <w:tcW w:w="1699" w:type="dxa"/>
            <w:vAlign w:val="center"/>
          </w:tcPr>
          <w:p w:rsidR="005D1094" w:rsidRPr="00A34F85" w:rsidRDefault="00BC7F0A" w:rsidP="00240EC0">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190,354,250.46</w:t>
            </w:r>
          </w:p>
        </w:tc>
        <w:tc>
          <w:tcPr>
            <w:tcW w:w="1058" w:type="dxa"/>
            <w:vAlign w:val="center"/>
          </w:tcPr>
          <w:p w:rsidR="005D1094" w:rsidRPr="00A34F85" w:rsidRDefault="00BC7F0A" w:rsidP="00240EC0">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1.1361</w:t>
            </w:r>
          </w:p>
        </w:tc>
        <w:tc>
          <w:tcPr>
            <w:tcW w:w="817" w:type="dxa"/>
            <w:vAlign w:val="center"/>
          </w:tcPr>
          <w:p w:rsidR="005D1094" w:rsidRPr="00A34F85" w:rsidRDefault="005D1094" w:rsidP="00240EC0">
            <w:pPr>
              <w:spacing w:line="360" w:lineRule="auto"/>
              <w:rPr>
                <w:rFonts w:asciiTheme="minorEastAsia" w:hAnsiTheme="minorEastAsia" w:cs="Times New Roman"/>
                <w:kern w:val="0"/>
                <w:szCs w:val="21"/>
              </w:rPr>
            </w:pPr>
            <w:r w:rsidRPr="00A34F85">
              <w:rPr>
                <w:rFonts w:asciiTheme="minorEastAsia" w:hAnsiTheme="minorEastAsia" w:cs="Times New Roman"/>
                <w:kern w:val="0"/>
                <w:szCs w:val="21"/>
              </w:rPr>
              <w:t>6</w:t>
            </w:r>
            <w:r w:rsidRPr="00A34F85">
              <w:rPr>
                <w:rFonts w:asciiTheme="minorEastAsia" w:hAnsiTheme="minorEastAsia" w:cs="Times New Roman" w:hint="eastAsia"/>
                <w:kern w:val="0"/>
                <w:szCs w:val="21"/>
              </w:rPr>
              <w:t>个月</w:t>
            </w:r>
          </w:p>
        </w:tc>
      </w:tr>
      <w:tr w:rsidR="00142C46" w:rsidRPr="00A34F85" w:rsidTr="0063510B">
        <w:trPr>
          <w:trHeight w:val="1044"/>
        </w:trPr>
        <w:tc>
          <w:tcPr>
            <w:tcW w:w="2090" w:type="dxa"/>
          </w:tcPr>
          <w:p w:rsidR="00142C46" w:rsidRPr="00A34F85" w:rsidRDefault="00BC7F0A" w:rsidP="00142C46">
            <w:pPr>
              <w:pStyle w:val="Default"/>
              <w:rPr>
                <w:rFonts w:asciiTheme="minorEastAsia" w:eastAsiaTheme="minorEastAsia" w:hAnsiTheme="minorEastAsia" w:cs="Times New Roman"/>
                <w:color w:val="auto"/>
                <w:sz w:val="21"/>
                <w:szCs w:val="21"/>
              </w:rPr>
            </w:pPr>
            <w:r w:rsidRPr="00A34F85">
              <w:rPr>
                <w:rFonts w:asciiTheme="minorEastAsia" w:eastAsiaTheme="minorEastAsia" w:hAnsiTheme="minorEastAsia" w:cs="Times New Roman" w:hint="eastAsia"/>
                <w:color w:val="auto"/>
                <w:sz w:val="21"/>
                <w:szCs w:val="21"/>
              </w:rPr>
              <w:t>中欧行业成长混合型证券投资基金(LOF)</w:t>
            </w:r>
          </w:p>
        </w:tc>
        <w:tc>
          <w:tcPr>
            <w:tcW w:w="1161" w:type="dxa"/>
            <w:vAlign w:val="center"/>
          </w:tcPr>
          <w:p w:rsidR="00142C46" w:rsidRPr="00A34F85" w:rsidRDefault="00BC7F0A" w:rsidP="00142C46">
            <w:pPr>
              <w:jc w:val="right"/>
              <w:rPr>
                <w:rFonts w:asciiTheme="minorEastAsia" w:hAnsiTheme="minorEastAsia" w:cs="Times New Roman"/>
                <w:kern w:val="0"/>
                <w:szCs w:val="21"/>
              </w:rPr>
            </w:pPr>
            <w:r w:rsidRPr="00A34F85">
              <w:rPr>
                <w:rFonts w:asciiTheme="minorEastAsia" w:hAnsiTheme="minorEastAsia" w:cs="Times New Roman"/>
                <w:kern w:val="0"/>
                <w:szCs w:val="21"/>
              </w:rPr>
              <w:t>2,914,798</w:t>
            </w:r>
          </w:p>
        </w:tc>
        <w:tc>
          <w:tcPr>
            <w:tcW w:w="1686" w:type="dxa"/>
            <w:vAlign w:val="center"/>
          </w:tcPr>
          <w:p w:rsidR="00142C46" w:rsidRPr="00A34F85" w:rsidRDefault="00BC7F0A" w:rsidP="00142C46">
            <w:pPr>
              <w:jc w:val="right"/>
              <w:rPr>
                <w:rFonts w:asciiTheme="minorEastAsia" w:hAnsiTheme="minorEastAsia" w:cs="Times New Roman"/>
                <w:kern w:val="0"/>
                <w:szCs w:val="21"/>
              </w:rPr>
            </w:pPr>
            <w:r w:rsidRPr="00A34F85">
              <w:rPr>
                <w:rFonts w:asciiTheme="minorEastAsia" w:hAnsiTheme="minorEastAsia" w:cs="Times New Roman"/>
                <w:kern w:val="0"/>
                <w:szCs w:val="21"/>
              </w:rPr>
              <w:t>129,999,990.80</w:t>
            </w:r>
          </w:p>
        </w:tc>
        <w:tc>
          <w:tcPr>
            <w:tcW w:w="1100"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1.1433</w:t>
            </w:r>
          </w:p>
        </w:tc>
        <w:tc>
          <w:tcPr>
            <w:tcW w:w="1699"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145,565,012.12</w:t>
            </w:r>
          </w:p>
        </w:tc>
        <w:tc>
          <w:tcPr>
            <w:tcW w:w="1058"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1.2802</w:t>
            </w:r>
          </w:p>
        </w:tc>
        <w:tc>
          <w:tcPr>
            <w:tcW w:w="817" w:type="dxa"/>
            <w:vAlign w:val="center"/>
          </w:tcPr>
          <w:p w:rsidR="00142C46" w:rsidRPr="00A34F85" w:rsidRDefault="00142C46" w:rsidP="00142C46">
            <w:pPr>
              <w:spacing w:line="360" w:lineRule="auto"/>
              <w:rPr>
                <w:rFonts w:asciiTheme="minorEastAsia" w:hAnsiTheme="minorEastAsia" w:cs="Times New Roman"/>
                <w:kern w:val="0"/>
                <w:szCs w:val="21"/>
              </w:rPr>
            </w:pPr>
            <w:r w:rsidRPr="00A34F85">
              <w:rPr>
                <w:rFonts w:asciiTheme="minorEastAsia" w:hAnsiTheme="minorEastAsia" w:cs="Times New Roman"/>
                <w:kern w:val="0"/>
                <w:szCs w:val="21"/>
              </w:rPr>
              <w:t>6</w:t>
            </w:r>
            <w:r w:rsidRPr="00A34F85">
              <w:rPr>
                <w:rFonts w:asciiTheme="minorEastAsia" w:hAnsiTheme="minorEastAsia" w:cs="Times New Roman" w:hint="eastAsia"/>
                <w:kern w:val="0"/>
                <w:szCs w:val="21"/>
              </w:rPr>
              <w:t>个月</w:t>
            </w:r>
          </w:p>
        </w:tc>
      </w:tr>
      <w:tr w:rsidR="00142C46" w:rsidRPr="00A34F85" w:rsidTr="0063510B">
        <w:trPr>
          <w:trHeight w:val="1044"/>
        </w:trPr>
        <w:tc>
          <w:tcPr>
            <w:tcW w:w="2090" w:type="dxa"/>
          </w:tcPr>
          <w:p w:rsidR="00142C46" w:rsidRPr="00A34F85" w:rsidRDefault="00BC7F0A" w:rsidP="00142C46">
            <w:pPr>
              <w:pStyle w:val="Default"/>
              <w:rPr>
                <w:rFonts w:asciiTheme="minorEastAsia" w:eastAsiaTheme="minorEastAsia" w:hAnsiTheme="minorEastAsia" w:cs="Times New Roman"/>
                <w:color w:val="auto"/>
                <w:sz w:val="21"/>
                <w:szCs w:val="21"/>
              </w:rPr>
            </w:pPr>
            <w:r w:rsidRPr="00A34F85">
              <w:rPr>
                <w:rFonts w:asciiTheme="minorEastAsia" w:eastAsiaTheme="minorEastAsia" w:hAnsiTheme="minorEastAsia" w:cs="Times New Roman" w:hint="eastAsia"/>
                <w:color w:val="auto"/>
                <w:sz w:val="21"/>
                <w:szCs w:val="21"/>
              </w:rPr>
              <w:t>中欧瑞丰灵活配置混合型证券投资基金(LOF)</w:t>
            </w:r>
          </w:p>
        </w:tc>
        <w:tc>
          <w:tcPr>
            <w:tcW w:w="1161" w:type="dxa"/>
            <w:vAlign w:val="center"/>
          </w:tcPr>
          <w:p w:rsidR="00142C46" w:rsidRPr="00A34F85" w:rsidRDefault="00BC7F0A" w:rsidP="00142C46">
            <w:pPr>
              <w:jc w:val="right"/>
              <w:rPr>
                <w:rFonts w:asciiTheme="minorEastAsia" w:hAnsiTheme="minorEastAsia" w:cs="Times New Roman"/>
                <w:kern w:val="0"/>
                <w:szCs w:val="21"/>
              </w:rPr>
            </w:pPr>
            <w:r w:rsidRPr="00A34F85">
              <w:rPr>
                <w:rFonts w:asciiTheme="minorEastAsia" w:hAnsiTheme="minorEastAsia" w:cs="Times New Roman"/>
                <w:kern w:val="0"/>
                <w:szCs w:val="21"/>
              </w:rPr>
              <w:t>1,569,507</w:t>
            </w:r>
          </w:p>
        </w:tc>
        <w:tc>
          <w:tcPr>
            <w:tcW w:w="1686" w:type="dxa"/>
            <w:vAlign w:val="center"/>
          </w:tcPr>
          <w:p w:rsidR="00142C46" w:rsidRPr="00A34F85" w:rsidRDefault="00BC7F0A" w:rsidP="00142C46">
            <w:pPr>
              <w:jc w:val="right"/>
              <w:rPr>
                <w:rFonts w:asciiTheme="minorEastAsia" w:hAnsiTheme="minorEastAsia" w:cs="Times New Roman"/>
                <w:kern w:val="0"/>
                <w:szCs w:val="21"/>
              </w:rPr>
            </w:pPr>
            <w:r w:rsidRPr="00A34F85">
              <w:rPr>
                <w:rFonts w:asciiTheme="minorEastAsia" w:hAnsiTheme="minorEastAsia" w:cs="Times New Roman"/>
                <w:kern w:val="0"/>
                <w:szCs w:val="21"/>
              </w:rPr>
              <w:t>70,000,012.20</w:t>
            </w:r>
          </w:p>
        </w:tc>
        <w:tc>
          <w:tcPr>
            <w:tcW w:w="1100"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1.1564</w:t>
            </w:r>
          </w:p>
        </w:tc>
        <w:tc>
          <w:tcPr>
            <w:tcW w:w="1699"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78,381,179.58</w:t>
            </w:r>
          </w:p>
        </w:tc>
        <w:tc>
          <w:tcPr>
            <w:tcW w:w="1058"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1.2949</w:t>
            </w:r>
          </w:p>
        </w:tc>
        <w:tc>
          <w:tcPr>
            <w:tcW w:w="817" w:type="dxa"/>
            <w:vAlign w:val="center"/>
          </w:tcPr>
          <w:p w:rsidR="00142C46" w:rsidRPr="00A34F85" w:rsidRDefault="00142C46" w:rsidP="00142C46">
            <w:pPr>
              <w:spacing w:line="360" w:lineRule="auto"/>
              <w:rPr>
                <w:rFonts w:asciiTheme="minorEastAsia" w:hAnsiTheme="minorEastAsia" w:cs="Times New Roman"/>
                <w:kern w:val="0"/>
                <w:szCs w:val="21"/>
              </w:rPr>
            </w:pPr>
            <w:r w:rsidRPr="00A34F85">
              <w:rPr>
                <w:rFonts w:asciiTheme="minorEastAsia" w:hAnsiTheme="minorEastAsia" w:cs="Times New Roman"/>
                <w:kern w:val="0"/>
                <w:szCs w:val="21"/>
              </w:rPr>
              <w:t>6</w:t>
            </w:r>
            <w:r w:rsidRPr="00A34F85">
              <w:rPr>
                <w:rFonts w:asciiTheme="minorEastAsia" w:hAnsiTheme="minorEastAsia" w:cs="Times New Roman" w:hint="eastAsia"/>
                <w:kern w:val="0"/>
                <w:szCs w:val="21"/>
              </w:rPr>
              <w:t>个月</w:t>
            </w:r>
          </w:p>
        </w:tc>
      </w:tr>
      <w:tr w:rsidR="00142C46" w:rsidRPr="00A34F85" w:rsidTr="0063510B">
        <w:trPr>
          <w:trHeight w:val="1044"/>
        </w:trPr>
        <w:tc>
          <w:tcPr>
            <w:tcW w:w="2090" w:type="dxa"/>
          </w:tcPr>
          <w:p w:rsidR="00142C46" w:rsidRPr="00A34F85" w:rsidRDefault="00BC7F0A" w:rsidP="00142C46">
            <w:pPr>
              <w:pStyle w:val="Default"/>
              <w:rPr>
                <w:rFonts w:asciiTheme="minorEastAsia" w:eastAsiaTheme="minorEastAsia" w:hAnsiTheme="minorEastAsia" w:cs="Times New Roman"/>
                <w:color w:val="auto"/>
                <w:sz w:val="21"/>
                <w:szCs w:val="21"/>
              </w:rPr>
            </w:pPr>
            <w:r w:rsidRPr="00A34F85">
              <w:rPr>
                <w:rFonts w:asciiTheme="minorEastAsia" w:eastAsiaTheme="minorEastAsia" w:hAnsiTheme="minorEastAsia" w:cs="Times New Roman" w:hint="eastAsia"/>
                <w:color w:val="auto"/>
                <w:sz w:val="21"/>
                <w:szCs w:val="21"/>
              </w:rPr>
              <w:t>中欧启航三年持有期混合型证券投资基金</w:t>
            </w:r>
          </w:p>
        </w:tc>
        <w:tc>
          <w:tcPr>
            <w:tcW w:w="1161" w:type="dxa"/>
            <w:vAlign w:val="center"/>
          </w:tcPr>
          <w:p w:rsidR="00142C46" w:rsidRPr="00A34F85" w:rsidRDefault="00BC7F0A" w:rsidP="00142C46">
            <w:pPr>
              <w:jc w:val="right"/>
              <w:rPr>
                <w:rFonts w:asciiTheme="minorEastAsia" w:hAnsiTheme="minorEastAsia" w:cs="Times New Roman"/>
                <w:kern w:val="0"/>
                <w:szCs w:val="21"/>
              </w:rPr>
            </w:pPr>
            <w:r w:rsidRPr="00A34F85">
              <w:rPr>
                <w:rFonts w:asciiTheme="minorEastAsia" w:hAnsiTheme="minorEastAsia" w:cs="Times New Roman"/>
                <w:kern w:val="0"/>
                <w:szCs w:val="21"/>
              </w:rPr>
              <w:t>1,121,076</w:t>
            </w:r>
          </w:p>
        </w:tc>
        <w:tc>
          <w:tcPr>
            <w:tcW w:w="1686" w:type="dxa"/>
            <w:vAlign w:val="center"/>
          </w:tcPr>
          <w:p w:rsidR="00142C46" w:rsidRPr="00A34F85" w:rsidRDefault="00BC7F0A" w:rsidP="00142C46">
            <w:pPr>
              <w:jc w:val="right"/>
              <w:rPr>
                <w:rFonts w:asciiTheme="minorEastAsia" w:hAnsiTheme="minorEastAsia" w:cs="Times New Roman"/>
                <w:kern w:val="0"/>
                <w:szCs w:val="21"/>
              </w:rPr>
            </w:pPr>
            <w:r w:rsidRPr="00A34F85">
              <w:rPr>
                <w:rFonts w:asciiTheme="minorEastAsia" w:hAnsiTheme="minorEastAsia" w:cs="Times New Roman"/>
                <w:kern w:val="0"/>
                <w:szCs w:val="21"/>
              </w:rPr>
              <w:t>49,999,989.60</w:t>
            </w:r>
          </w:p>
        </w:tc>
        <w:tc>
          <w:tcPr>
            <w:tcW w:w="1100"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1.2175</w:t>
            </w:r>
          </w:p>
        </w:tc>
        <w:tc>
          <w:tcPr>
            <w:tcW w:w="1699"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55,986,535.44</w:t>
            </w:r>
          </w:p>
        </w:tc>
        <w:tc>
          <w:tcPr>
            <w:tcW w:w="1058" w:type="dxa"/>
            <w:vAlign w:val="center"/>
          </w:tcPr>
          <w:p w:rsidR="00142C46" w:rsidRPr="00A34F85" w:rsidRDefault="00BC7F0A" w:rsidP="00142C46">
            <w:pPr>
              <w:spacing w:line="360" w:lineRule="auto"/>
              <w:jc w:val="center"/>
              <w:rPr>
                <w:rFonts w:asciiTheme="minorEastAsia" w:hAnsiTheme="minorEastAsia" w:cs="Times New Roman"/>
                <w:kern w:val="0"/>
                <w:szCs w:val="21"/>
              </w:rPr>
            </w:pPr>
            <w:r w:rsidRPr="00A34F85">
              <w:rPr>
                <w:rFonts w:asciiTheme="minorEastAsia" w:hAnsiTheme="minorEastAsia" w:cs="Times New Roman"/>
                <w:kern w:val="0"/>
                <w:szCs w:val="21"/>
              </w:rPr>
              <w:t>1.3633</w:t>
            </w:r>
          </w:p>
        </w:tc>
        <w:tc>
          <w:tcPr>
            <w:tcW w:w="817" w:type="dxa"/>
            <w:vAlign w:val="center"/>
          </w:tcPr>
          <w:p w:rsidR="00142C46" w:rsidRPr="00A34F85" w:rsidRDefault="00142C46" w:rsidP="00142C46">
            <w:pPr>
              <w:spacing w:line="360" w:lineRule="auto"/>
              <w:rPr>
                <w:rFonts w:asciiTheme="minorEastAsia" w:hAnsiTheme="minorEastAsia" w:cs="Times New Roman"/>
                <w:kern w:val="0"/>
                <w:szCs w:val="21"/>
              </w:rPr>
            </w:pPr>
            <w:r w:rsidRPr="00A34F85">
              <w:rPr>
                <w:rFonts w:asciiTheme="minorEastAsia" w:hAnsiTheme="minorEastAsia" w:cs="Times New Roman"/>
                <w:kern w:val="0"/>
                <w:szCs w:val="21"/>
              </w:rPr>
              <w:t>6</w:t>
            </w:r>
            <w:r w:rsidRPr="00A34F85">
              <w:rPr>
                <w:rFonts w:asciiTheme="minorEastAsia" w:hAnsiTheme="minorEastAsia" w:cs="Times New Roman" w:hint="eastAsia"/>
                <w:kern w:val="0"/>
                <w:szCs w:val="21"/>
              </w:rPr>
              <w:t>个月</w:t>
            </w:r>
          </w:p>
        </w:tc>
      </w:tr>
    </w:tbl>
    <w:p w:rsidR="00083926" w:rsidRPr="00A34F85" w:rsidRDefault="00083926" w:rsidP="00C668E1">
      <w:pPr>
        <w:spacing w:line="360" w:lineRule="auto"/>
        <w:ind w:firstLineChars="200" w:firstLine="420"/>
        <w:jc w:val="left"/>
        <w:rPr>
          <w:rFonts w:asciiTheme="minorEastAsia" w:hAnsiTheme="minorEastAsia" w:cs="Times New Roman"/>
          <w:szCs w:val="21"/>
        </w:rPr>
      </w:pPr>
      <w:r w:rsidRPr="00A34F85">
        <w:rPr>
          <w:rFonts w:asciiTheme="minorEastAsia" w:hAnsiTheme="minorEastAsia" w:cs="Times New Roman" w:hint="eastAsia"/>
          <w:szCs w:val="21"/>
        </w:rPr>
        <w:t>注：</w:t>
      </w:r>
      <w:r w:rsidR="00FF7067" w:rsidRPr="00A34F85">
        <w:rPr>
          <w:rFonts w:asciiTheme="minorEastAsia" w:hAnsiTheme="minorEastAsia" w:cs="Times New Roman" w:hint="eastAsia"/>
          <w:szCs w:val="21"/>
        </w:rPr>
        <w:t>基金资产净值、账面价值为</w:t>
      </w:r>
      <w:r w:rsidR="004F0C47" w:rsidRPr="00A34F85">
        <w:rPr>
          <w:rFonts w:asciiTheme="minorEastAsia" w:hAnsiTheme="minorEastAsia" w:cs="Times New Roman" w:hint="eastAsia"/>
          <w:szCs w:val="21"/>
        </w:rPr>
        <w:t>2021</w:t>
      </w:r>
      <w:r w:rsidR="00904867" w:rsidRPr="00A34F85">
        <w:rPr>
          <w:rFonts w:asciiTheme="minorEastAsia" w:hAnsiTheme="minorEastAsia" w:cs="Times New Roman" w:hint="eastAsia"/>
          <w:szCs w:val="21"/>
        </w:rPr>
        <w:t>年</w:t>
      </w:r>
      <w:r w:rsidR="00861A3F" w:rsidRPr="00A34F85">
        <w:rPr>
          <w:rFonts w:asciiTheme="minorEastAsia" w:hAnsiTheme="minorEastAsia" w:cs="Times New Roman" w:hint="eastAsia"/>
          <w:szCs w:val="21"/>
        </w:rPr>
        <w:t>3</w:t>
      </w:r>
      <w:r w:rsidR="00711F1E" w:rsidRPr="00A34F85">
        <w:rPr>
          <w:rFonts w:asciiTheme="minorEastAsia" w:hAnsiTheme="minorEastAsia" w:cs="Times New Roman" w:hint="eastAsia"/>
          <w:szCs w:val="21"/>
        </w:rPr>
        <w:t>月</w:t>
      </w:r>
      <w:r w:rsidR="00142C46" w:rsidRPr="00A34F85">
        <w:rPr>
          <w:rFonts w:asciiTheme="minorEastAsia" w:hAnsiTheme="minorEastAsia" w:cs="Times New Roman"/>
          <w:szCs w:val="21"/>
        </w:rPr>
        <w:t>23</w:t>
      </w:r>
      <w:r w:rsidR="003D1F8E" w:rsidRPr="00A34F85">
        <w:rPr>
          <w:rFonts w:asciiTheme="minorEastAsia" w:hAnsiTheme="minorEastAsia" w:cs="Times New Roman"/>
          <w:szCs w:val="21"/>
        </w:rPr>
        <w:t>日数据。</w:t>
      </w:r>
    </w:p>
    <w:p w:rsidR="00A34F85" w:rsidRDefault="00A34F85" w:rsidP="00D66264">
      <w:pPr>
        <w:spacing w:line="360" w:lineRule="auto"/>
        <w:ind w:firstLineChars="200" w:firstLine="420"/>
        <w:jc w:val="left"/>
        <w:rPr>
          <w:rFonts w:asciiTheme="minorEastAsia" w:hAnsiTheme="minorEastAsia" w:cs="Times New Roman"/>
          <w:szCs w:val="21"/>
        </w:rPr>
      </w:pPr>
    </w:p>
    <w:p w:rsidR="00A67691" w:rsidRDefault="00083926" w:rsidP="00D66264">
      <w:pPr>
        <w:spacing w:line="360" w:lineRule="auto"/>
        <w:ind w:firstLineChars="200" w:firstLine="420"/>
        <w:jc w:val="left"/>
        <w:rPr>
          <w:rFonts w:asciiTheme="minorEastAsia" w:hAnsiTheme="minorEastAsia" w:cs="Times New Roman"/>
          <w:szCs w:val="21"/>
        </w:rPr>
      </w:pPr>
      <w:r w:rsidRPr="00A34F85">
        <w:rPr>
          <w:rFonts w:asciiTheme="minorEastAsia" w:hAnsiTheme="minorEastAsia" w:cs="Times New Roman" w:hint="eastAsia"/>
          <w:szCs w:val="21"/>
        </w:rPr>
        <w:t>特此公告。</w:t>
      </w:r>
    </w:p>
    <w:p w:rsidR="00A34F85" w:rsidRPr="00A34F85" w:rsidRDefault="00A34F85" w:rsidP="00D66264">
      <w:pPr>
        <w:spacing w:line="360" w:lineRule="auto"/>
        <w:ind w:firstLineChars="200" w:firstLine="420"/>
        <w:jc w:val="left"/>
        <w:rPr>
          <w:rFonts w:asciiTheme="minorEastAsia" w:hAnsiTheme="minorEastAsia" w:cs="Times New Roman"/>
          <w:szCs w:val="21"/>
        </w:rPr>
      </w:pPr>
      <w:bookmarkStart w:id="0" w:name="_GoBack"/>
      <w:bookmarkEnd w:id="0"/>
    </w:p>
    <w:p w:rsidR="00A67691" w:rsidRPr="00A34F85" w:rsidRDefault="00265F9A" w:rsidP="00C668E1">
      <w:pPr>
        <w:spacing w:line="360" w:lineRule="auto"/>
        <w:ind w:firstLineChars="200" w:firstLine="420"/>
        <w:jc w:val="right"/>
        <w:rPr>
          <w:rFonts w:asciiTheme="minorEastAsia" w:hAnsiTheme="minorEastAsia" w:cs="Times New Roman"/>
          <w:szCs w:val="21"/>
        </w:rPr>
      </w:pPr>
      <w:r w:rsidRPr="00A34F85">
        <w:rPr>
          <w:rFonts w:asciiTheme="minorEastAsia" w:hAnsiTheme="minorEastAsia" w:cs="Times New Roman" w:hint="eastAsia"/>
          <w:szCs w:val="21"/>
        </w:rPr>
        <w:t>中欧基金管理有限公司</w:t>
      </w:r>
    </w:p>
    <w:p w:rsidR="00A67691" w:rsidRPr="00A34F85" w:rsidRDefault="00D66264" w:rsidP="00E87E05">
      <w:pPr>
        <w:wordWrap w:val="0"/>
        <w:spacing w:line="360" w:lineRule="auto"/>
        <w:ind w:firstLineChars="200" w:firstLine="420"/>
        <w:jc w:val="right"/>
        <w:rPr>
          <w:rFonts w:asciiTheme="minorEastAsia" w:hAnsiTheme="minorEastAsia" w:cs="Times New Roman"/>
          <w:szCs w:val="21"/>
        </w:rPr>
      </w:pPr>
      <w:r w:rsidRPr="00A34F85">
        <w:rPr>
          <w:rFonts w:asciiTheme="minorEastAsia" w:hAnsiTheme="minorEastAsia" w:cs="Times New Roman"/>
          <w:szCs w:val="21"/>
        </w:rPr>
        <w:t>20</w:t>
      </w:r>
      <w:r w:rsidR="00F538D6" w:rsidRPr="00A34F85">
        <w:rPr>
          <w:rFonts w:asciiTheme="minorEastAsia" w:hAnsiTheme="minorEastAsia" w:cs="Times New Roman" w:hint="eastAsia"/>
          <w:szCs w:val="21"/>
        </w:rPr>
        <w:t>2</w:t>
      </w:r>
      <w:r w:rsidR="00F538D6" w:rsidRPr="00A34F85">
        <w:rPr>
          <w:rFonts w:asciiTheme="minorEastAsia" w:hAnsiTheme="minorEastAsia" w:cs="Times New Roman"/>
          <w:szCs w:val="21"/>
        </w:rPr>
        <w:t>1</w:t>
      </w:r>
      <w:r w:rsidR="00265F9A" w:rsidRPr="00A34F85">
        <w:rPr>
          <w:rFonts w:asciiTheme="minorEastAsia" w:hAnsiTheme="minorEastAsia" w:cs="Times New Roman" w:hint="eastAsia"/>
          <w:szCs w:val="21"/>
        </w:rPr>
        <w:t>年</w:t>
      </w:r>
      <w:r w:rsidR="00861A3F" w:rsidRPr="00A34F85">
        <w:rPr>
          <w:rFonts w:asciiTheme="minorEastAsia" w:hAnsiTheme="minorEastAsia" w:cs="Times New Roman" w:hint="eastAsia"/>
          <w:szCs w:val="21"/>
        </w:rPr>
        <w:t>3</w:t>
      </w:r>
      <w:r w:rsidR="00265F9A" w:rsidRPr="00A34F85">
        <w:rPr>
          <w:rFonts w:asciiTheme="minorEastAsia" w:hAnsiTheme="minorEastAsia" w:cs="Times New Roman" w:hint="eastAsia"/>
          <w:szCs w:val="21"/>
        </w:rPr>
        <w:t>月</w:t>
      </w:r>
      <w:r w:rsidR="00142C46" w:rsidRPr="00A34F85">
        <w:rPr>
          <w:rFonts w:asciiTheme="minorEastAsia" w:hAnsiTheme="minorEastAsia" w:cs="Times New Roman"/>
          <w:szCs w:val="21"/>
        </w:rPr>
        <w:t>25</w:t>
      </w:r>
      <w:r w:rsidR="00265F9A" w:rsidRPr="00A34F85">
        <w:rPr>
          <w:rFonts w:asciiTheme="minorEastAsia" w:hAnsiTheme="minorEastAsia" w:cs="Times New Roman" w:hint="eastAsia"/>
          <w:szCs w:val="21"/>
        </w:rPr>
        <w:t>日</w:t>
      </w:r>
    </w:p>
    <w:sectPr w:rsidR="00A67691" w:rsidRPr="00A34F85" w:rsidSect="002E72D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A6" w:rsidRDefault="00E152A6" w:rsidP="00B34569">
      <w:r>
        <w:separator/>
      </w:r>
    </w:p>
  </w:endnote>
  <w:endnote w:type="continuationSeparator" w:id="0">
    <w:p w:rsidR="00E152A6" w:rsidRDefault="00E152A6" w:rsidP="00B34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A6" w:rsidRDefault="00E152A6" w:rsidP="00B34569">
      <w:r>
        <w:separator/>
      </w:r>
    </w:p>
  </w:footnote>
  <w:footnote w:type="continuationSeparator" w:id="0">
    <w:p w:rsidR="00E152A6" w:rsidRDefault="00E152A6" w:rsidP="00B34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69" w:rsidRDefault="00B34569" w:rsidP="00FB7FD2">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569"/>
    <w:rsid w:val="00001303"/>
    <w:rsid w:val="00003C3A"/>
    <w:rsid w:val="00006820"/>
    <w:rsid w:val="000075A5"/>
    <w:rsid w:val="0000773D"/>
    <w:rsid w:val="000122A9"/>
    <w:rsid w:val="0001351F"/>
    <w:rsid w:val="00015908"/>
    <w:rsid w:val="00017BA2"/>
    <w:rsid w:val="00021D4E"/>
    <w:rsid w:val="0002325F"/>
    <w:rsid w:val="0002470C"/>
    <w:rsid w:val="0002752A"/>
    <w:rsid w:val="0003211C"/>
    <w:rsid w:val="00032F35"/>
    <w:rsid w:val="000339BC"/>
    <w:rsid w:val="00035740"/>
    <w:rsid w:val="00035884"/>
    <w:rsid w:val="00037FCA"/>
    <w:rsid w:val="0004125D"/>
    <w:rsid w:val="00041C03"/>
    <w:rsid w:val="00046A70"/>
    <w:rsid w:val="00047E82"/>
    <w:rsid w:val="0005070E"/>
    <w:rsid w:val="0005075F"/>
    <w:rsid w:val="000514A4"/>
    <w:rsid w:val="00052570"/>
    <w:rsid w:val="00054580"/>
    <w:rsid w:val="00055EE1"/>
    <w:rsid w:val="000576CF"/>
    <w:rsid w:val="00057737"/>
    <w:rsid w:val="00057877"/>
    <w:rsid w:val="00060162"/>
    <w:rsid w:val="0006214F"/>
    <w:rsid w:val="00063887"/>
    <w:rsid w:val="00073729"/>
    <w:rsid w:val="00073BF5"/>
    <w:rsid w:val="00073C87"/>
    <w:rsid w:val="00076061"/>
    <w:rsid w:val="000800B3"/>
    <w:rsid w:val="00082810"/>
    <w:rsid w:val="00083926"/>
    <w:rsid w:val="00084C73"/>
    <w:rsid w:val="000857FC"/>
    <w:rsid w:val="00086576"/>
    <w:rsid w:val="00090B1C"/>
    <w:rsid w:val="00090BC9"/>
    <w:rsid w:val="00091E0B"/>
    <w:rsid w:val="00093207"/>
    <w:rsid w:val="00094F77"/>
    <w:rsid w:val="000970A6"/>
    <w:rsid w:val="00097B9B"/>
    <w:rsid w:val="000A21D8"/>
    <w:rsid w:val="000A241B"/>
    <w:rsid w:val="000A4A20"/>
    <w:rsid w:val="000A5DC7"/>
    <w:rsid w:val="000A7949"/>
    <w:rsid w:val="000B027E"/>
    <w:rsid w:val="000B15EF"/>
    <w:rsid w:val="000C01B2"/>
    <w:rsid w:val="000C2AC9"/>
    <w:rsid w:val="000C36C3"/>
    <w:rsid w:val="000C3C8E"/>
    <w:rsid w:val="000C652A"/>
    <w:rsid w:val="000C7B38"/>
    <w:rsid w:val="000D1D71"/>
    <w:rsid w:val="000D3B2B"/>
    <w:rsid w:val="000D4819"/>
    <w:rsid w:val="000D5E68"/>
    <w:rsid w:val="000D6DDF"/>
    <w:rsid w:val="000D7E34"/>
    <w:rsid w:val="000E2EA1"/>
    <w:rsid w:val="000E2F1F"/>
    <w:rsid w:val="000E6D6A"/>
    <w:rsid w:val="000E72C2"/>
    <w:rsid w:val="000F2E73"/>
    <w:rsid w:val="000F3276"/>
    <w:rsid w:val="000F59F2"/>
    <w:rsid w:val="000F79F5"/>
    <w:rsid w:val="00100135"/>
    <w:rsid w:val="00101359"/>
    <w:rsid w:val="00102AE1"/>
    <w:rsid w:val="0010482B"/>
    <w:rsid w:val="0010505B"/>
    <w:rsid w:val="001071BE"/>
    <w:rsid w:val="001071FF"/>
    <w:rsid w:val="0011138F"/>
    <w:rsid w:val="00111A1B"/>
    <w:rsid w:val="00111C4E"/>
    <w:rsid w:val="001127E2"/>
    <w:rsid w:val="00112E20"/>
    <w:rsid w:val="00113504"/>
    <w:rsid w:val="00120399"/>
    <w:rsid w:val="00126C11"/>
    <w:rsid w:val="00126CDC"/>
    <w:rsid w:val="001303DE"/>
    <w:rsid w:val="00131520"/>
    <w:rsid w:val="00132CF7"/>
    <w:rsid w:val="00133400"/>
    <w:rsid w:val="0014051E"/>
    <w:rsid w:val="0014070A"/>
    <w:rsid w:val="00140CC7"/>
    <w:rsid w:val="00142C46"/>
    <w:rsid w:val="00144CAA"/>
    <w:rsid w:val="00147028"/>
    <w:rsid w:val="00150AE3"/>
    <w:rsid w:val="00152B2C"/>
    <w:rsid w:val="00153D46"/>
    <w:rsid w:val="00155F02"/>
    <w:rsid w:val="00161F2C"/>
    <w:rsid w:val="00162D21"/>
    <w:rsid w:val="00162EBF"/>
    <w:rsid w:val="00162F79"/>
    <w:rsid w:val="0016334E"/>
    <w:rsid w:val="00163D76"/>
    <w:rsid w:val="00167033"/>
    <w:rsid w:val="00167CF5"/>
    <w:rsid w:val="00175837"/>
    <w:rsid w:val="001760F8"/>
    <w:rsid w:val="00177C73"/>
    <w:rsid w:val="001804CF"/>
    <w:rsid w:val="00180BE9"/>
    <w:rsid w:val="001818B1"/>
    <w:rsid w:val="00181DB6"/>
    <w:rsid w:val="001824E9"/>
    <w:rsid w:val="00183B3C"/>
    <w:rsid w:val="00183DF3"/>
    <w:rsid w:val="00184579"/>
    <w:rsid w:val="00185A47"/>
    <w:rsid w:val="00187A70"/>
    <w:rsid w:val="00193F2E"/>
    <w:rsid w:val="00195878"/>
    <w:rsid w:val="00196385"/>
    <w:rsid w:val="00196BFC"/>
    <w:rsid w:val="001A0A28"/>
    <w:rsid w:val="001A3A20"/>
    <w:rsid w:val="001A7542"/>
    <w:rsid w:val="001B35EF"/>
    <w:rsid w:val="001B3D37"/>
    <w:rsid w:val="001B42D2"/>
    <w:rsid w:val="001B4345"/>
    <w:rsid w:val="001B5EFF"/>
    <w:rsid w:val="001C04D3"/>
    <w:rsid w:val="001C0921"/>
    <w:rsid w:val="001C2065"/>
    <w:rsid w:val="001C2369"/>
    <w:rsid w:val="001C3EB1"/>
    <w:rsid w:val="001C5B4B"/>
    <w:rsid w:val="001C5EE5"/>
    <w:rsid w:val="001C7B28"/>
    <w:rsid w:val="001D18ED"/>
    <w:rsid w:val="001D28AA"/>
    <w:rsid w:val="001D4086"/>
    <w:rsid w:val="001D6373"/>
    <w:rsid w:val="001D7A2A"/>
    <w:rsid w:val="001E0A9E"/>
    <w:rsid w:val="001E31E3"/>
    <w:rsid w:val="001E4FCD"/>
    <w:rsid w:val="001F6261"/>
    <w:rsid w:val="00200FA8"/>
    <w:rsid w:val="002039F1"/>
    <w:rsid w:val="00205D45"/>
    <w:rsid w:val="00207A8A"/>
    <w:rsid w:val="00212627"/>
    <w:rsid w:val="002138C5"/>
    <w:rsid w:val="0021564B"/>
    <w:rsid w:val="00217E4F"/>
    <w:rsid w:val="00234797"/>
    <w:rsid w:val="00240BD0"/>
    <w:rsid w:val="00240EC0"/>
    <w:rsid w:val="00242589"/>
    <w:rsid w:val="00251F4C"/>
    <w:rsid w:val="00252EB8"/>
    <w:rsid w:val="00254335"/>
    <w:rsid w:val="00262681"/>
    <w:rsid w:val="00264F8C"/>
    <w:rsid w:val="00265F9A"/>
    <w:rsid w:val="002707B5"/>
    <w:rsid w:val="00273FD3"/>
    <w:rsid w:val="002745F2"/>
    <w:rsid w:val="00277FA7"/>
    <w:rsid w:val="002801D1"/>
    <w:rsid w:val="00285C1C"/>
    <w:rsid w:val="00286508"/>
    <w:rsid w:val="00290652"/>
    <w:rsid w:val="00293A7E"/>
    <w:rsid w:val="00295D3D"/>
    <w:rsid w:val="0029653A"/>
    <w:rsid w:val="002972B3"/>
    <w:rsid w:val="00297DED"/>
    <w:rsid w:val="002A1323"/>
    <w:rsid w:val="002A2F4F"/>
    <w:rsid w:val="002A4588"/>
    <w:rsid w:val="002A4B15"/>
    <w:rsid w:val="002A60B1"/>
    <w:rsid w:val="002A6DA3"/>
    <w:rsid w:val="002B7759"/>
    <w:rsid w:val="002B7C61"/>
    <w:rsid w:val="002C35C5"/>
    <w:rsid w:val="002C67EF"/>
    <w:rsid w:val="002D039C"/>
    <w:rsid w:val="002D74EB"/>
    <w:rsid w:val="002E02A5"/>
    <w:rsid w:val="002E09FF"/>
    <w:rsid w:val="002E2692"/>
    <w:rsid w:val="002E30F8"/>
    <w:rsid w:val="002E3530"/>
    <w:rsid w:val="002E3E42"/>
    <w:rsid w:val="002E4272"/>
    <w:rsid w:val="002E502B"/>
    <w:rsid w:val="002E5C27"/>
    <w:rsid w:val="002E60F7"/>
    <w:rsid w:val="002E662C"/>
    <w:rsid w:val="002E6B88"/>
    <w:rsid w:val="002E718B"/>
    <w:rsid w:val="002E72DA"/>
    <w:rsid w:val="002F4AF5"/>
    <w:rsid w:val="002F4FFE"/>
    <w:rsid w:val="002F614F"/>
    <w:rsid w:val="0030003D"/>
    <w:rsid w:val="003028C6"/>
    <w:rsid w:val="0030436E"/>
    <w:rsid w:val="00304D91"/>
    <w:rsid w:val="00305799"/>
    <w:rsid w:val="00306FA5"/>
    <w:rsid w:val="00307CB9"/>
    <w:rsid w:val="00310E3C"/>
    <w:rsid w:val="00316C33"/>
    <w:rsid w:val="00317713"/>
    <w:rsid w:val="00317D00"/>
    <w:rsid w:val="00321D4C"/>
    <w:rsid w:val="00322FE0"/>
    <w:rsid w:val="0032395A"/>
    <w:rsid w:val="0032430B"/>
    <w:rsid w:val="00325909"/>
    <w:rsid w:val="00327BE0"/>
    <w:rsid w:val="00327EA1"/>
    <w:rsid w:val="0033005C"/>
    <w:rsid w:val="00330867"/>
    <w:rsid w:val="00331017"/>
    <w:rsid w:val="003312CF"/>
    <w:rsid w:val="00331AC4"/>
    <w:rsid w:val="003342F0"/>
    <w:rsid w:val="00334C1A"/>
    <w:rsid w:val="003355A7"/>
    <w:rsid w:val="00336AE0"/>
    <w:rsid w:val="00337CF8"/>
    <w:rsid w:val="00341008"/>
    <w:rsid w:val="00341A5D"/>
    <w:rsid w:val="00341C3C"/>
    <w:rsid w:val="00341E90"/>
    <w:rsid w:val="003435D2"/>
    <w:rsid w:val="00343669"/>
    <w:rsid w:val="00345035"/>
    <w:rsid w:val="003462B1"/>
    <w:rsid w:val="00346EC5"/>
    <w:rsid w:val="00351E8F"/>
    <w:rsid w:val="00353F2F"/>
    <w:rsid w:val="003551DF"/>
    <w:rsid w:val="0035737C"/>
    <w:rsid w:val="003606E7"/>
    <w:rsid w:val="003640F8"/>
    <w:rsid w:val="003641D4"/>
    <w:rsid w:val="003646F5"/>
    <w:rsid w:val="00365411"/>
    <w:rsid w:val="00366F8B"/>
    <w:rsid w:val="003721B5"/>
    <w:rsid w:val="003726D1"/>
    <w:rsid w:val="003737B1"/>
    <w:rsid w:val="00374233"/>
    <w:rsid w:val="003753D5"/>
    <w:rsid w:val="0037591E"/>
    <w:rsid w:val="003759E2"/>
    <w:rsid w:val="00377340"/>
    <w:rsid w:val="003813C2"/>
    <w:rsid w:val="0038363E"/>
    <w:rsid w:val="003840A3"/>
    <w:rsid w:val="00385A07"/>
    <w:rsid w:val="0039221B"/>
    <w:rsid w:val="00395A61"/>
    <w:rsid w:val="0039769D"/>
    <w:rsid w:val="00397F66"/>
    <w:rsid w:val="003A4252"/>
    <w:rsid w:val="003A5B73"/>
    <w:rsid w:val="003A682F"/>
    <w:rsid w:val="003A7BB3"/>
    <w:rsid w:val="003B1395"/>
    <w:rsid w:val="003B179D"/>
    <w:rsid w:val="003B264D"/>
    <w:rsid w:val="003B3569"/>
    <w:rsid w:val="003B45BE"/>
    <w:rsid w:val="003B57F8"/>
    <w:rsid w:val="003B688A"/>
    <w:rsid w:val="003B6B27"/>
    <w:rsid w:val="003C1E3C"/>
    <w:rsid w:val="003C36BF"/>
    <w:rsid w:val="003C606C"/>
    <w:rsid w:val="003C7E21"/>
    <w:rsid w:val="003D1EFA"/>
    <w:rsid w:val="003D1F8E"/>
    <w:rsid w:val="003D46D8"/>
    <w:rsid w:val="003D69C8"/>
    <w:rsid w:val="003E315E"/>
    <w:rsid w:val="003E4034"/>
    <w:rsid w:val="003E491C"/>
    <w:rsid w:val="003E6E6E"/>
    <w:rsid w:val="003E7164"/>
    <w:rsid w:val="003E74BE"/>
    <w:rsid w:val="003F3350"/>
    <w:rsid w:val="003F4EDE"/>
    <w:rsid w:val="0040085A"/>
    <w:rsid w:val="00404BE7"/>
    <w:rsid w:val="00410007"/>
    <w:rsid w:val="00413452"/>
    <w:rsid w:val="00420DD0"/>
    <w:rsid w:val="00421F51"/>
    <w:rsid w:val="0042698A"/>
    <w:rsid w:val="0043105A"/>
    <w:rsid w:val="004318A2"/>
    <w:rsid w:val="004319CA"/>
    <w:rsid w:val="004321EA"/>
    <w:rsid w:val="0043435A"/>
    <w:rsid w:val="0044101B"/>
    <w:rsid w:val="00442336"/>
    <w:rsid w:val="00444ACA"/>
    <w:rsid w:val="00444D6F"/>
    <w:rsid w:val="00454372"/>
    <w:rsid w:val="00454776"/>
    <w:rsid w:val="00455931"/>
    <w:rsid w:val="0045786C"/>
    <w:rsid w:val="00461358"/>
    <w:rsid w:val="00463597"/>
    <w:rsid w:val="004647A9"/>
    <w:rsid w:val="00465C5A"/>
    <w:rsid w:val="00472DF2"/>
    <w:rsid w:val="00473779"/>
    <w:rsid w:val="00474FFF"/>
    <w:rsid w:val="0047699B"/>
    <w:rsid w:val="00477717"/>
    <w:rsid w:val="004821C7"/>
    <w:rsid w:val="00482641"/>
    <w:rsid w:val="00482E5F"/>
    <w:rsid w:val="00483043"/>
    <w:rsid w:val="004845C2"/>
    <w:rsid w:val="004935C0"/>
    <w:rsid w:val="0049459D"/>
    <w:rsid w:val="0049646D"/>
    <w:rsid w:val="004A0D9E"/>
    <w:rsid w:val="004A27D5"/>
    <w:rsid w:val="004A62D6"/>
    <w:rsid w:val="004B7552"/>
    <w:rsid w:val="004C0A32"/>
    <w:rsid w:val="004C255A"/>
    <w:rsid w:val="004C5CE3"/>
    <w:rsid w:val="004D0FFA"/>
    <w:rsid w:val="004D12EB"/>
    <w:rsid w:val="004D196D"/>
    <w:rsid w:val="004D40F8"/>
    <w:rsid w:val="004D54A8"/>
    <w:rsid w:val="004D59E6"/>
    <w:rsid w:val="004E0858"/>
    <w:rsid w:val="004E27E8"/>
    <w:rsid w:val="004E39D2"/>
    <w:rsid w:val="004E5E0D"/>
    <w:rsid w:val="004F0C47"/>
    <w:rsid w:val="004F2C7B"/>
    <w:rsid w:val="004F552C"/>
    <w:rsid w:val="004F61BF"/>
    <w:rsid w:val="00500332"/>
    <w:rsid w:val="00500C5E"/>
    <w:rsid w:val="005031A2"/>
    <w:rsid w:val="00504053"/>
    <w:rsid w:val="00504441"/>
    <w:rsid w:val="005048E0"/>
    <w:rsid w:val="005060B4"/>
    <w:rsid w:val="0050655A"/>
    <w:rsid w:val="00514936"/>
    <w:rsid w:val="005175AC"/>
    <w:rsid w:val="0051785F"/>
    <w:rsid w:val="0052094D"/>
    <w:rsid w:val="00520EF2"/>
    <w:rsid w:val="00521AA1"/>
    <w:rsid w:val="00521F2F"/>
    <w:rsid w:val="00522C49"/>
    <w:rsid w:val="00523408"/>
    <w:rsid w:val="0052366B"/>
    <w:rsid w:val="0052428A"/>
    <w:rsid w:val="005320BB"/>
    <w:rsid w:val="00532297"/>
    <w:rsid w:val="005324D4"/>
    <w:rsid w:val="00533C6D"/>
    <w:rsid w:val="005423A3"/>
    <w:rsid w:val="00552D7A"/>
    <w:rsid w:val="005540F1"/>
    <w:rsid w:val="0055502D"/>
    <w:rsid w:val="005564DD"/>
    <w:rsid w:val="00557CA4"/>
    <w:rsid w:val="00563D6D"/>
    <w:rsid w:val="005645D8"/>
    <w:rsid w:val="0056476B"/>
    <w:rsid w:val="00564D09"/>
    <w:rsid w:val="0056523F"/>
    <w:rsid w:val="005652E6"/>
    <w:rsid w:val="00565758"/>
    <w:rsid w:val="00565C9E"/>
    <w:rsid w:val="005735B9"/>
    <w:rsid w:val="0057435A"/>
    <w:rsid w:val="00574F9D"/>
    <w:rsid w:val="00583FA5"/>
    <w:rsid w:val="00585635"/>
    <w:rsid w:val="00585F5D"/>
    <w:rsid w:val="00590402"/>
    <w:rsid w:val="00593DB5"/>
    <w:rsid w:val="00594A15"/>
    <w:rsid w:val="00595B9C"/>
    <w:rsid w:val="005967B5"/>
    <w:rsid w:val="005A0634"/>
    <w:rsid w:val="005A095B"/>
    <w:rsid w:val="005A3C2F"/>
    <w:rsid w:val="005A5481"/>
    <w:rsid w:val="005B3E30"/>
    <w:rsid w:val="005B58DE"/>
    <w:rsid w:val="005B5BFC"/>
    <w:rsid w:val="005B5EC7"/>
    <w:rsid w:val="005B7E0F"/>
    <w:rsid w:val="005C0694"/>
    <w:rsid w:val="005C4AD4"/>
    <w:rsid w:val="005C5A18"/>
    <w:rsid w:val="005D03AB"/>
    <w:rsid w:val="005D1094"/>
    <w:rsid w:val="005D13E2"/>
    <w:rsid w:val="005D3BA7"/>
    <w:rsid w:val="005D4234"/>
    <w:rsid w:val="005D60B0"/>
    <w:rsid w:val="005D64BB"/>
    <w:rsid w:val="005D6707"/>
    <w:rsid w:val="005E071F"/>
    <w:rsid w:val="005E44B9"/>
    <w:rsid w:val="005E4BB4"/>
    <w:rsid w:val="005E5EB9"/>
    <w:rsid w:val="005F21AE"/>
    <w:rsid w:val="00600909"/>
    <w:rsid w:val="00606DF3"/>
    <w:rsid w:val="00610923"/>
    <w:rsid w:val="00611487"/>
    <w:rsid w:val="006119C6"/>
    <w:rsid w:val="00611AD2"/>
    <w:rsid w:val="00616E7C"/>
    <w:rsid w:val="0062081C"/>
    <w:rsid w:val="00620DEF"/>
    <w:rsid w:val="006246C3"/>
    <w:rsid w:val="00626940"/>
    <w:rsid w:val="00627B4C"/>
    <w:rsid w:val="00632C51"/>
    <w:rsid w:val="006337FD"/>
    <w:rsid w:val="00633DE5"/>
    <w:rsid w:val="00634B88"/>
    <w:rsid w:val="0063510B"/>
    <w:rsid w:val="00635728"/>
    <w:rsid w:val="00641992"/>
    <w:rsid w:val="00642D89"/>
    <w:rsid w:val="00645A9E"/>
    <w:rsid w:val="00647B98"/>
    <w:rsid w:val="00650366"/>
    <w:rsid w:val="006504C4"/>
    <w:rsid w:val="006510FE"/>
    <w:rsid w:val="00651624"/>
    <w:rsid w:val="00652ADB"/>
    <w:rsid w:val="0065320F"/>
    <w:rsid w:val="00653377"/>
    <w:rsid w:val="00654288"/>
    <w:rsid w:val="00654356"/>
    <w:rsid w:val="006548ED"/>
    <w:rsid w:val="00656F9F"/>
    <w:rsid w:val="00661479"/>
    <w:rsid w:val="00665C44"/>
    <w:rsid w:val="00666206"/>
    <w:rsid w:val="0067220F"/>
    <w:rsid w:val="00672A6D"/>
    <w:rsid w:val="00673F60"/>
    <w:rsid w:val="00674F72"/>
    <w:rsid w:val="00677ECD"/>
    <w:rsid w:val="00685A18"/>
    <w:rsid w:val="00686733"/>
    <w:rsid w:val="00687068"/>
    <w:rsid w:val="00687472"/>
    <w:rsid w:val="0069053E"/>
    <w:rsid w:val="00693746"/>
    <w:rsid w:val="006944AB"/>
    <w:rsid w:val="006A03A4"/>
    <w:rsid w:val="006A1AFE"/>
    <w:rsid w:val="006A30FC"/>
    <w:rsid w:val="006A4710"/>
    <w:rsid w:val="006A6EF7"/>
    <w:rsid w:val="006B0A6E"/>
    <w:rsid w:val="006B387D"/>
    <w:rsid w:val="006B3CBA"/>
    <w:rsid w:val="006B5709"/>
    <w:rsid w:val="006B5E94"/>
    <w:rsid w:val="006C037D"/>
    <w:rsid w:val="006C1580"/>
    <w:rsid w:val="006D20CD"/>
    <w:rsid w:val="006D2595"/>
    <w:rsid w:val="006D4B6C"/>
    <w:rsid w:val="006D7B55"/>
    <w:rsid w:val="006E03E0"/>
    <w:rsid w:val="006E08B5"/>
    <w:rsid w:val="006E2A47"/>
    <w:rsid w:val="006E313F"/>
    <w:rsid w:val="006E4F4F"/>
    <w:rsid w:val="006F1D25"/>
    <w:rsid w:val="006F3D5B"/>
    <w:rsid w:val="006F4659"/>
    <w:rsid w:val="007013DE"/>
    <w:rsid w:val="00711BD1"/>
    <w:rsid w:val="00711F1E"/>
    <w:rsid w:val="0071434D"/>
    <w:rsid w:val="0071467D"/>
    <w:rsid w:val="007162CE"/>
    <w:rsid w:val="0071732D"/>
    <w:rsid w:val="00717802"/>
    <w:rsid w:val="007208AE"/>
    <w:rsid w:val="00723BE0"/>
    <w:rsid w:val="00724429"/>
    <w:rsid w:val="007256DF"/>
    <w:rsid w:val="007264D2"/>
    <w:rsid w:val="00726872"/>
    <w:rsid w:val="0073557A"/>
    <w:rsid w:val="007369CF"/>
    <w:rsid w:val="0073778A"/>
    <w:rsid w:val="007406BD"/>
    <w:rsid w:val="0074598C"/>
    <w:rsid w:val="007468B6"/>
    <w:rsid w:val="00746A5C"/>
    <w:rsid w:val="00750C86"/>
    <w:rsid w:val="007542ED"/>
    <w:rsid w:val="00754CC9"/>
    <w:rsid w:val="00756E00"/>
    <w:rsid w:val="007620A9"/>
    <w:rsid w:val="00762179"/>
    <w:rsid w:val="007662B3"/>
    <w:rsid w:val="00766ED7"/>
    <w:rsid w:val="00767684"/>
    <w:rsid w:val="007713A3"/>
    <w:rsid w:val="007714F3"/>
    <w:rsid w:val="00774544"/>
    <w:rsid w:val="00776CFE"/>
    <w:rsid w:val="007772BB"/>
    <w:rsid w:val="00777602"/>
    <w:rsid w:val="00777CA6"/>
    <w:rsid w:val="00781514"/>
    <w:rsid w:val="00781AA8"/>
    <w:rsid w:val="00781C86"/>
    <w:rsid w:val="00784074"/>
    <w:rsid w:val="0078594E"/>
    <w:rsid w:val="00785A21"/>
    <w:rsid w:val="00786E3A"/>
    <w:rsid w:val="007903BB"/>
    <w:rsid w:val="00795775"/>
    <w:rsid w:val="00795AA4"/>
    <w:rsid w:val="00797D95"/>
    <w:rsid w:val="007A0881"/>
    <w:rsid w:val="007A125D"/>
    <w:rsid w:val="007A3EB6"/>
    <w:rsid w:val="007A423A"/>
    <w:rsid w:val="007A4BCC"/>
    <w:rsid w:val="007B3B22"/>
    <w:rsid w:val="007B3B48"/>
    <w:rsid w:val="007B60E5"/>
    <w:rsid w:val="007B7BE1"/>
    <w:rsid w:val="007B7E25"/>
    <w:rsid w:val="007C195E"/>
    <w:rsid w:val="007C2049"/>
    <w:rsid w:val="007C4923"/>
    <w:rsid w:val="007C6116"/>
    <w:rsid w:val="007C615C"/>
    <w:rsid w:val="007C7D80"/>
    <w:rsid w:val="007D06C6"/>
    <w:rsid w:val="007D3616"/>
    <w:rsid w:val="007D399B"/>
    <w:rsid w:val="007D4B8B"/>
    <w:rsid w:val="007D67FD"/>
    <w:rsid w:val="007D7B48"/>
    <w:rsid w:val="007E455C"/>
    <w:rsid w:val="007E45D1"/>
    <w:rsid w:val="007E7335"/>
    <w:rsid w:val="007E7F4F"/>
    <w:rsid w:val="007F1D8F"/>
    <w:rsid w:val="00802FDA"/>
    <w:rsid w:val="0080395E"/>
    <w:rsid w:val="00804C27"/>
    <w:rsid w:val="008121D5"/>
    <w:rsid w:val="008146F7"/>
    <w:rsid w:val="00817D8D"/>
    <w:rsid w:val="00820F2F"/>
    <w:rsid w:val="00823FB2"/>
    <w:rsid w:val="008266C7"/>
    <w:rsid w:val="00826B37"/>
    <w:rsid w:val="00830AAA"/>
    <w:rsid w:val="00830AF9"/>
    <w:rsid w:val="0083242C"/>
    <w:rsid w:val="008355DA"/>
    <w:rsid w:val="008416EF"/>
    <w:rsid w:val="00842673"/>
    <w:rsid w:val="0084528C"/>
    <w:rsid w:val="00851B8B"/>
    <w:rsid w:val="00852B51"/>
    <w:rsid w:val="0085363E"/>
    <w:rsid w:val="0085383D"/>
    <w:rsid w:val="0085467D"/>
    <w:rsid w:val="0085615B"/>
    <w:rsid w:val="00857DC4"/>
    <w:rsid w:val="00860481"/>
    <w:rsid w:val="00861A3F"/>
    <w:rsid w:val="00864A89"/>
    <w:rsid w:val="00867078"/>
    <w:rsid w:val="00867AA8"/>
    <w:rsid w:val="00870B45"/>
    <w:rsid w:val="0087141B"/>
    <w:rsid w:val="00872139"/>
    <w:rsid w:val="00873AA8"/>
    <w:rsid w:val="00873FC1"/>
    <w:rsid w:val="00881E72"/>
    <w:rsid w:val="00882ECB"/>
    <w:rsid w:val="00883656"/>
    <w:rsid w:val="00885060"/>
    <w:rsid w:val="00885A4C"/>
    <w:rsid w:val="00893F9A"/>
    <w:rsid w:val="008947D3"/>
    <w:rsid w:val="008951A3"/>
    <w:rsid w:val="008A10E9"/>
    <w:rsid w:val="008A39AE"/>
    <w:rsid w:val="008A5274"/>
    <w:rsid w:val="008B08A5"/>
    <w:rsid w:val="008B4DBF"/>
    <w:rsid w:val="008B5033"/>
    <w:rsid w:val="008B6D42"/>
    <w:rsid w:val="008C021E"/>
    <w:rsid w:val="008C57F7"/>
    <w:rsid w:val="008C5A88"/>
    <w:rsid w:val="008C7072"/>
    <w:rsid w:val="008D1345"/>
    <w:rsid w:val="008D30C9"/>
    <w:rsid w:val="008D40DE"/>
    <w:rsid w:val="008D5B7B"/>
    <w:rsid w:val="008D6602"/>
    <w:rsid w:val="008E34AB"/>
    <w:rsid w:val="008E3E95"/>
    <w:rsid w:val="008E5C69"/>
    <w:rsid w:val="008E63A3"/>
    <w:rsid w:val="008F1886"/>
    <w:rsid w:val="008F2E93"/>
    <w:rsid w:val="008F3ADC"/>
    <w:rsid w:val="008F3B87"/>
    <w:rsid w:val="008F5AB3"/>
    <w:rsid w:val="008F62BC"/>
    <w:rsid w:val="008F6745"/>
    <w:rsid w:val="008F748F"/>
    <w:rsid w:val="008F7F2B"/>
    <w:rsid w:val="00903CC8"/>
    <w:rsid w:val="00904867"/>
    <w:rsid w:val="00904DC3"/>
    <w:rsid w:val="00905B71"/>
    <w:rsid w:val="00906503"/>
    <w:rsid w:val="00911685"/>
    <w:rsid w:val="00911C83"/>
    <w:rsid w:val="00915D18"/>
    <w:rsid w:val="009160EC"/>
    <w:rsid w:val="00916512"/>
    <w:rsid w:val="00920B2A"/>
    <w:rsid w:val="00921294"/>
    <w:rsid w:val="0092234B"/>
    <w:rsid w:val="00924482"/>
    <w:rsid w:val="009257A6"/>
    <w:rsid w:val="00926ACD"/>
    <w:rsid w:val="00926DE0"/>
    <w:rsid w:val="009270FC"/>
    <w:rsid w:val="009276CC"/>
    <w:rsid w:val="00931996"/>
    <w:rsid w:val="00937813"/>
    <w:rsid w:val="00943ECF"/>
    <w:rsid w:val="00946D9A"/>
    <w:rsid w:val="00946EE6"/>
    <w:rsid w:val="0094749F"/>
    <w:rsid w:val="00952680"/>
    <w:rsid w:val="0095327D"/>
    <w:rsid w:val="00960216"/>
    <w:rsid w:val="00961D77"/>
    <w:rsid w:val="009627D7"/>
    <w:rsid w:val="00962C0F"/>
    <w:rsid w:val="00963CFB"/>
    <w:rsid w:val="00967650"/>
    <w:rsid w:val="00971FC6"/>
    <w:rsid w:val="00972A13"/>
    <w:rsid w:val="00974EB1"/>
    <w:rsid w:val="00977E73"/>
    <w:rsid w:val="0098108A"/>
    <w:rsid w:val="00981327"/>
    <w:rsid w:val="00981943"/>
    <w:rsid w:val="009869D6"/>
    <w:rsid w:val="00986B35"/>
    <w:rsid w:val="00987A26"/>
    <w:rsid w:val="00987CED"/>
    <w:rsid w:val="009903F0"/>
    <w:rsid w:val="009909D6"/>
    <w:rsid w:val="00991B20"/>
    <w:rsid w:val="009957B6"/>
    <w:rsid w:val="00997381"/>
    <w:rsid w:val="009A01E2"/>
    <w:rsid w:val="009A4D1B"/>
    <w:rsid w:val="009A5399"/>
    <w:rsid w:val="009B10B5"/>
    <w:rsid w:val="009B414A"/>
    <w:rsid w:val="009B444A"/>
    <w:rsid w:val="009B5881"/>
    <w:rsid w:val="009C04BB"/>
    <w:rsid w:val="009C17B0"/>
    <w:rsid w:val="009C30CB"/>
    <w:rsid w:val="009C6A20"/>
    <w:rsid w:val="009D25F8"/>
    <w:rsid w:val="009D36FC"/>
    <w:rsid w:val="009D3AD6"/>
    <w:rsid w:val="009D3C96"/>
    <w:rsid w:val="009D5A2F"/>
    <w:rsid w:val="009D695F"/>
    <w:rsid w:val="009D6AD0"/>
    <w:rsid w:val="009E05E5"/>
    <w:rsid w:val="009E09DC"/>
    <w:rsid w:val="009E1693"/>
    <w:rsid w:val="009E2F49"/>
    <w:rsid w:val="009E3A9C"/>
    <w:rsid w:val="009E5AB9"/>
    <w:rsid w:val="009E6A06"/>
    <w:rsid w:val="009E6C28"/>
    <w:rsid w:val="00A003B7"/>
    <w:rsid w:val="00A02E5F"/>
    <w:rsid w:val="00A03998"/>
    <w:rsid w:val="00A03B23"/>
    <w:rsid w:val="00A04784"/>
    <w:rsid w:val="00A050FC"/>
    <w:rsid w:val="00A110EB"/>
    <w:rsid w:val="00A16E36"/>
    <w:rsid w:val="00A252A5"/>
    <w:rsid w:val="00A2557B"/>
    <w:rsid w:val="00A25D47"/>
    <w:rsid w:val="00A274F5"/>
    <w:rsid w:val="00A27F4C"/>
    <w:rsid w:val="00A30F73"/>
    <w:rsid w:val="00A34F85"/>
    <w:rsid w:val="00A35CDA"/>
    <w:rsid w:val="00A36010"/>
    <w:rsid w:val="00A4390B"/>
    <w:rsid w:val="00A45591"/>
    <w:rsid w:val="00A4770D"/>
    <w:rsid w:val="00A5448A"/>
    <w:rsid w:val="00A555A1"/>
    <w:rsid w:val="00A5611D"/>
    <w:rsid w:val="00A6155B"/>
    <w:rsid w:val="00A63D64"/>
    <w:rsid w:val="00A67691"/>
    <w:rsid w:val="00A72A3F"/>
    <w:rsid w:val="00A743AE"/>
    <w:rsid w:val="00A74ADD"/>
    <w:rsid w:val="00A75E03"/>
    <w:rsid w:val="00A768A7"/>
    <w:rsid w:val="00A81F2A"/>
    <w:rsid w:val="00A83B1A"/>
    <w:rsid w:val="00A9085D"/>
    <w:rsid w:val="00A92954"/>
    <w:rsid w:val="00AA3109"/>
    <w:rsid w:val="00AA3324"/>
    <w:rsid w:val="00AA6D78"/>
    <w:rsid w:val="00AB7137"/>
    <w:rsid w:val="00AC0DF7"/>
    <w:rsid w:val="00AC4D39"/>
    <w:rsid w:val="00AC598E"/>
    <w:rsid w:val="00AC685B"/>
    <w:rsid w:val="00AC6E68"/>
    <w:rsid w:val="00AC7B65"/>
    <w:rsid w:val="00AD203C"/>
    <w:rsid w:val="00AD405D"/>
    <w:rsid w:val="00AD57BD"/>
    <w:rsid w:val="00AD61E7"/>
    <w:rsid w:val="00AD765D"/>
    <w:rsid w:val="00AE0211"/>
    <w:rsid w:val="00AE0335"/>
    <w:rsid w:val="00AE2445"/>
    <w:rsid w:val="00AE3511"/>
    <w:rsid w:val="00AF0493"/>
    <w:rsid w:val="00AF5560"/>
    <w:rsid w:val="00AF5C1B"/>
    <w:rsid w:val="00AF73CB"/>
    <w:rsid w:val="00AF7E02"/>
    <w:rsid w:val="00B023DC"/>
    <w:rsid w:val="00B16E69"/>
    <w:rsid w:val="00B17EE7"/>
    <w:rsid w:val="00B233C7"/>
    <w:rsid w:val="00B27626"/>
    <w:rsid w:val="00B27B95"/>
    <w:rsid w:val="00B30874"/>
    <w:rsid w:val="00B34569"/>
    <w:rsid w:val="00B35C20"/>
    <w:rsid w:val="00B373B9"/>
    <w:rsid w:val="00B40887"/>
    <w:rsid w:val="00B411D1"/>
    <w:rsid w:val="00B42D72"/>
    <w:rsid w:val="00B437C9"/>
    <w:rsid w:val="00B43D58"/>
    <w:rsid w:val="00B440E0"/>
    <w:rsid w:val="00B4500E"/>
    <w:rsid w:val="00B46B3A"/>
    <w:rsid w:val="00B53393"/>
    <w:rsid w:val="00B53B57"/>
    <w:rsid w:val="00B544FD"/>
    <w:rsid w:val="00B5484D"/>
    <w:rsid w:val="00B54BEB"/>
    <w:rsid w:val="00B54CB2"/>
    <w:rsid w:val="00B550AB"/>
    <w:rsid w:val="00B5719F"/>
    <w:rsid w:val="00B57DA7"/>
    <w:rsid w:val="00B6392A"/>
    <w:rsid w:val="00B63D96"/>
    <w:rsid w:val="00B646A8"/>
    <w:rsid w:val="00B66120"/>
    <w:rsid w:val="00B66C68"/>
    <w:rsid w:val="00B675D7"/>
    <w:rsid w:val="00B70290"/>
    <w:rsid w:val="00B71320"/>
    <w:rsid w:val="00B73AA1"/>
    <w:rsid w:val="00B755F9"/>
    <w:rsid w:val="00B760F8"/>
    <w:rsid w:val="00B76D96"/>
    <w:rsid w:val="00B77172"/>
    <w:rsid w:val="00B77EF3"/>
    <w:rsid w:val="00B77FDE"/>
    <w:rsid w:val="00B8488D"/>
    <w:rsid w:val="00B8621B"/>
    <w:rsid w:val="00B862D7"/>
    <w:rsid w:val="00B8660C"/>
    <w:rsid w:val="00B87098"/>
    <w:rsid w:val="00B91358"/>
    <w:rsid w:val="00B9234D"/>
    <w:rsid w:val="00B927E0"/>
    <w:rsid w:val="00B9382B"/>
    <w:rsid w:val="00B9452C"/>
    <w:rsid w:val="00B96D70"/>
    <w:rsid w:val="00B97BE0"/>
    <w:rsid w:val="00BA3F56"/>
    <w:rsid w:val="00BA5208"/>
    <w:rsid w:val="00BA5728"/>
    <w:rsid w:val="00BA7B3B"/>
    <w:rsid w:val="00BB1956"/>
    <w:rsid w:val="00BC0040"/>
    <w:rsid w:val="00BC086D"/>
    <w:rsid w:val="00BC202A"/>
    <w:rsid w:val="00BC2A71"/>
    <w:rsid w:val="00BC3DD8"/>
    <w:rsid w:val="00BC7676"/>
    <w:rsid w:val="00BC7F0A"/>
    <w:rsid w:val="00BD4812"/>
    <w:rsid w:val="00BD65F0"/>
    <w:rsid w:val="00BD71C2"/>
    <w:rsid w:val="00BE0392"/>
    <w:rsid w:val="00BE4E0A"/>
    <w:rsid w:val="00BE5199"/>
    <w:rsid w:val="00BF2254"/>
    <w:rsid w:val="00BF3227"/>
    <w:rsid w:val="00BF3DFC"/>
    <w:rsid w:val="00BF7180"/>
    <w:rsid w:val="00BF725B"/>
    <w:rsid w:val="00BF7682"/>
    <w:rsid w:val="00C0268E"/>
    <w:rsid w:val="00C037D3"/>
    <w:rsid w:val="00C05643"/>
    <w:rsid w:val="00C067AB"/>
    <w:rsid w:val="00C06F7F"/>
    <w:rsid w:val="00C1210A"/>
    <w:rsid w:val="00C122F1"/>
    <w:rsid w:val="00C1276F"/>
    <w:rsid w:val="00C12840"/>
    <w:rsid w:val="00C165D6"/>
    <w:rsid w:val="00C17408"/>
    <w:rsid w:val="00C21E3B"/>
    <w:rsid w:val="00C23C02"/>
    <w:rsid w:val="00C24EA9"/>
    <w:rsid w:val="00C25747"/>
    <w:rsid w:val="00C2616B"/>
    <w:rsid w:val="00C26650"/>
    <w:rsid w:val="00C26DD4"/>
    <w:rsid w:val="00C27CC7"/>
    <w:rsid w:val="00C33226"/>
    <w:rsid w:val="00C33447"/>
    <w:rsid w:val="00C341C0"/>
    <w:rsid w:val="00C41FFF"/>
    <w:rsid w:val="00C44365"/>
    <w:rsid w:val="00C44DD8"/>
    <w:rsid w:val="00C4568F"/>
    <w:rsid w:val="00C471AA"/>
    <w:rsid w:val="00C47838"/>
    <w:rsid w:val="00C54A81"/>
    <w:rsid w:val="00C54EB2"/>
    <w:rsid w:val="00C60A0E"/>
    <w:rsid w:val="00C62EF0"/>
    <w:rsid w:val="00C65516"/>
    <w:rsid w:val="00C668E1"/>
    <w:rsid w:val="00C7085A"/>
    <w:rsid w:val="00C70D22"/>
    <w:rsid w:val="00C723E3"/>
    <w:rsid w:val="00C73B3D"/>
    <w:rsid w:val="00C742DC"/>
    <w:rsid w:val="00C75261"/>
    <w:rsid w:val="00C770F8"/>
    <w:rsid w:val="00C7738F"/>
    <w:rsid w:val="00C80322"/>
    <w:rsid w:val="00C81184"/>
    <w:rsid w:val="00C811A7"/>
    <w:rsid w:val="00C93965"/>
    <w:rsid w:val="00CA00D1"/>
    <w:rsid w:val="00CA2E46"/>
    <w:rsid w:val="00CB1F5C"/>
    <w:rsid w:val="00CB2563"/>
    <w:rsid w:val="00CB4FB9"/>
    <w:rsid w:val="00CB60AB"/>
    <w:rsid w:val="00CC2337"/>
    <w:rsid w:val="00CC3579"/>
    <w:rsid w:val="00CC7B86"/>
    <w:rsid w:val="00CD282F"/>
    <w:rsid w:val="00CD50B7"/>
    <w:rsid w:val="00CE08AA"/>
    <w:rsid w:val="00CE3005"/>
    <w:rsid w:val="00CE6F15"/>
    <w:rsid w:val="00CE6FF0"/>
    <w:rsid w:val="00CE789E"/>
    <w:rsid w:val="00CF02CD"/>
    <w:rsid w:val="00CF049A"/>
    <w:rsid w:val="00CF3FC9"/>
    <w:rsid w:val="00CF5229"/>
    <w:rsid w:val="00CF5F73"/>
    <w:rsid w:val="00CF6DB0"/>
    <w:rsid w:val="00D0069C"/>
    <w:rsid w:val="00D018E4"/>
    <w:rsid w:val="00D03F3E"/>
    <w:rsid w:val="00D05CAF"/>
    <w:rsid w:val="00D06EFF"/>
    <w:rsid w:val="00D10CE4"/>
    <w:rsid w:val="00D12A07"/>
    <w:rsid w:val="00D13091"/>
    <w:rsid w:val="00D14B9F"/>
    <w:rsid w:val="00D176BC"/>
    <w:rsid w:val="00D22AAB"/>
    <w:rsid w:val="00D23C9F"/>
    <w:rsid w:val="00D262B2"/>
    <w:rsid w:val="00D273BB"/>
    <w:rsid w:val="00D309E8"/>
    <w:rsid w:val="00D327D6"/>
    <w:rsid w:val="00D375DC"/>
    <w:rsid w:val="00D378E1"/>
    <w:rsid w:val="00D43CC5"/>
    <w:rsid w:val="00D44CA0"/>
    <w:rsid w:val="00D4768B"/>
    <w:rsid w:val="00D50F8B"/>
    <w:rsid w:val="00D53F11"/>
    <w:rsid w:val="00D61456"/>
    <w:rsid w:val="00D63744"/>
    <w:rsid w:val="00D64995"/>
    <w:rsid w:val="00D64C9A"/>
    <w:rsid w:val="00D66264"/>
    <w:rsid w:val="00D666CD"/>
    <w:rsid w:val="00D72B66"/>
    <w:rsid w:val="00D73459"/>
    <w:rsid w:val="00D7469D"/>
    <w:rsid w:val="00D74F13"/>
    <w:rsid w:val="00D80FD6"/>
    <w:rsid w:val="00D823DB"/>
    <w:rsid w:val="00D833FB"/>
    <w:rsid w:val="00D90ED8"/>
    <w:rsid w:val="00D93219"/>
    <w:rsid w:val="00D94F0E"/>
    <w:rsid w:val="00D95D3D"/>
    <w:rsid w:val="00DA03F2"/>
    <w:rsid w:val="00DA186B"/>
    <w:rsid w:val="00DA4219"/>
    <w:rsid w:val="00DA4508"/>
    <w:rsid w:val="00DA4EEC"/>
    <w:rsid w:val="00DA5E13"/>
    <w:rsid w:val="00DB232B"/>
    <w:rsid w:val="00DB3E1E"/>
    <w:rsid w:val="00DB6A69"/>
    <w:rsid w:val="00DC1CE3"/>
    <w:rsid w:val="00DC40F6"/>
    <w:rsid w:val="00DC5CC8"/>
    <w:rsid w:val="00DD0670"/>
    <w:rsid w:val="00DD5C5E"/>
    <w:rsid w:val="00DD68A4"/>
    <w:rsid w:val="00DD6CBF"/>
    <w:rsid w:val="00DE27ED"/>
    <w:rsid w:val="00DE5FDD"/>
    <w:rsid w:val="00DF1A87"/>
    <w:rsid w:val="00DF48C8"/>
    <w:rsid w:val="00DF6FF6"/>
    <w:rsid w:val="00E05A71"/>
    <w:rsid w:val="00E06420"/>
    <w:rsid w:val="00E0670F"/>
    <w:rsid w:val="00E06B30"/>
    <w:rsid w:val="00E071B1"/>
    <w:rsid w:val="00E07D35"/>
    <w:rsid w:val="00E10F4A"/>
    <w:rsid w:val="00E11D72"/>
    <w:rsid w:val="00E138FE"/>
    <w:rsid w:val="00E152A6"/>
    <w:rsid w:val="00E2017B"/>
    <w:rsid w:val="00E20238"/>
    <w:rsid w:val="00E20EAD"/>
    <w:rsid w:val="00E21407"/>
    <w:rsid w:val="00E21EED"/>
    <w:rsid w:val="00E22ECB"/>
    <w:rsid w:val="00E234D4"/>
    <w:rsid w:val="00E23560"/>
    <w:rsid w:val="00E23685"/>
    <w:rsid w:val="00E24BD8"/>
    <w:rsid w:val="00E339B4"/>
    <w:rsid w:val="00E36C2A"/>
    <w:rsid w:val="00E37508"/>
    <w:rsid w:val="00E401B8"/>
    <w:rsid w:val="00E40A6D"/>
    <w:rsid w:val="00E4251E"/>
    <w:rsid w:val="00E43545"/>
    <w:rsid w:val="00E449A4"/>
    <w:rsid w:val="00E44D45"/>
    <w:rsid w:val="00E45723"/>
    <w:rsid w:val="00E45B68"/>
    <w:rsid w:val="00E50991"/>
    <w:rsid w:val="00E50C8C"/>
    <w:rsid w:val="00E54354"/>
    <w:rsid w:val="00E54721"/>
    <w:rsid w:val="00E55CC1"/>
    <w:rsid w:val="00E5630F"/>
    <w:rsid w:val="00E6282B"/>
    <w:rsid w:val="00E63272"/>
    <w:rsid w:val="00E63A2D"/>
    <w:rsid w:val="00E64578"/>
    <w:rsid w:val="00E65B91"/>
    <w:rsid w:val="00E66CE2"/>
    <w:rsid w:val="00E71F24"/>
    <w:rsid w:val="00E72F49"/>
    <w:rsid w:val="00E87E05"/>
    <w:rsid w:val="00E911CB"/>
    <w:rsid w:val="00E92CDD"/>
    <w:rsid w:val="00EA0709"/>
    <w:rsid w:val="00EA369D"/>
    <w:rsid w:val="00EA4B53"/>
    <w:rsid w:val="00EA4D00"/>
    <w:rsid w:val="00EA5935"/>
    <w:rsid w:val="00EA7B53"/>
    <w:rsid w:val="00EB2DD7"/>
    <w:rsid w:val="00EB5E8D"/>
    <w:rsid w:val="00EB6781"/>
    <w:rsid w:val="00EB6A87"/>
    <w:rsid w:val="00EB7C64"/>
    <w:rsid w:val="00EC051F"/>
    <w:rsid w:val="00EC1933"/>
    <w:rsid w:val="00EC3F2B"/>
    <w:rsid w:val="00EC6C1B"/>
    <w:rsid w:val="00EC7EFF"/>
    <w:rsid w:val="00ED01C5"/>
    <w:rsid w:val="00ED4A3B"/>
    <w:rsid w:val="00ED52F4"/>
    <w:rsid w:val="00ED7DC3"/>
    <w:rsid w:val="00EE1137"/>
    <w:rsid w:val="00EE1CB8"/>
    <w:rsid w:val="00EE1FD3"/>
    <w:rsid w:val="00EE3EB0"/>
    <w:rsid w:val="00EE3FBB"/>
    <w:rsid w:val="00EE548B"/>
    <w:rsid w:val="00EE5775"/>
    <w:rsid w:val="00EE5AEB"/>
    <w:rsid w:val="00EE724F"/>
    <w:rsid w:val="00EF02AE"/>
    <w:rsid w:val="00EF2A0B"/>
    <w:rsid w:val="00EF45CC"/>
    <w:rsid w:val="00EF4D17"/>
    <w:rsid w:val="00EF6C58"/>
    <w:rsid w:val="00F03D1E"/>
    <w:rsid w:val="00F10084"/>
    <w:rsid w:val="00F10FDE"/>
    <w:rsid w:val="00F167FC"/>
    <w:rsid w:val="00F309AE"/>
    <w:rsid w:val="00F31A30"/>
    <w:rsid w:val="00F36843"/>
    <w:rsid w:val="00F37467"/>
    <w:rsid w:val="00F41C2E"/>
    <w:rsid w:val="00F471E9"/>
    <w:rsid w:val="00F52C5C"/>
    <w:rsid w:val="00F538D6"/>
    <w:rsid w:val="00F55A6D"/>
    <w:rsid w:val="00F62497"/>
    <w:rsid w:val="00F66489"/>
    <w:rsid w:val="00F664DC"/>
    <w:rsid w:val="00F6675E"/>
    <w:rsid w:val="00F67489"/>
    <w:rsid w:val="00F679CC"/>
    <w:rsid w:val="00F67D2C"/>
    <w:rsid w:val="00F800C6"/>
    <w:rsid w:val="00F80EAB"/>
    <w:rsid w:val="00F819AE"/>
    <w:rsid w:val="00F82768"/>
    <w:rsid w:val="00F84B03"/>
    <w:rsid w:val="00F85E21"/>
    <w:rsid w:val="00F87786"/>
    <w:rsid w:val="00F90286"/>
    <w:rsid w:val="00F905F2"/>
    <w:rsid w:val="00F92E7B"/>
    <w:rsid w:val="00F9576D"/>
    <w:rsid w:val="00FA0445"/>
    <w:rsid w:val="00FA0A40"/>
    <w:rsid w:val="00FA4CB1"/>
    <w:rsid w:val="00FA5FA0"/>
    <w:rsid w:val="00FA65A3"/>
    <w:rsid w:val="00FB0A12"/>
    <w:rsid w:val="00FB12C7"/>
    <w:rsid w:val="00FB1D70"/>
    <w:rsid w:val="00FB2977"/>
    <w:rsid w:val="00FB2D33"/>
    <w:rsid w:val="00FB49DE"/>
    <w:rsid w:val="00FB6054"/>
    <w:rsid w:val="00FB6486"/>
    <w:rsid w:val="00FB7FD2"/>
    <w:rsid w:val="00FC039A"/>
    <w:rsid w:val="00FC043F"/>
    <w:rsid w:val="00FC364F"/>
    <w:rsid w:val="00FC5165"/>
    <w:rsid w:val="00FC58A8"/>
    <w:rsid w:val="00FC7028"/>
    <w:rsid w:val="00FD2241"/>
    <w:rsid w:val="00FD47DB"/>
    <w:rsid w:val="00FD7079"/>
    <w:rsid w:val="00FD72F5"/>
    <w:rsid w:val="00FE040C"/>
    <w:rsid w:val="00FE1D13"/>
    <w:rsid w:val="00FE46B3"/>
    <w:rsid w:val="00FE60C0"/>
    <w:rsid w:val="00FE6E4B"/>
    <w:rsid w:val="00FE7C7A"/>
    <w:rsid w:val="00FE7F1F"/>
    <w:rsid w:val="00FF2C74"/>
    <w:rsid w:val="00FF70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05A"/>
    <w:pPr>
      <w:tabs>
        <w:tab w:val="center" w:pos="4153"/>
        <w:tab w:val="right" w:pos="8306"/>
      </w:tabs>
      <w:snapToGrid w:val="0"/>
      <w:jc w:val="center"/>
    </w:pPr>
    <w:rPr>
      <w:sz w:val="18"/>
      <w:szCs w:val="18"/>
    </w:rPr>
  </w:style>
  <w:style w:type="character" w:customStyle="1" w:styleId="Char">
    <w:name w:val="页眉 Char"/>
    <w:basedOn w:val="a0"/>
    <w:link w:val="a3"/>
    <w:uiPriority w:val="99"/>
    <w:rsid w:val="0043105A"/>
    <w:rPr>
      <w:sz w:val="18"/>
      <w:szCs w:val="18"/>
    </w:rPr>
  </w:style>
  <w:style w:type="paragraph" w:styleId="a4">
    <w:name w:val="footer"/>
    <w:basedOn w:val="a"/>
    <w:link w:val="Char0"/>
    <w:uiPriority w:val="99"/>
    <w:unhideWhenUsed/>
    <w:rsid w:val="00B34569"/>
    <w:pPr>
      <w:tabs>
        <w:tab w:val="center" w:pos="4153"/>
        <w:tab w:val="right" w:pos="8306"/>
      </w:tabs>
      <w:snapToGrid w:val="0"/>
      <w:jc w:val="left"/>
    </w:pPr>
    <w:rPr>
      <w:sz w:val="18"/>
      <w:szCs w:val="18"/>
    </w:rPr>
  </w:style>
  <w:style w:type="character" w:customStyle="1" w:styleId="Char0">
    <w:name w:val="页脚 Char"/>
    <w:basedOn w:val="a0"/>
    <w:link w:val="a4"/>
    <w:uiPriority w:val="99"/>
    <w:rsid w:val="00B34569"/>
    <w:rPr>
      <w:sz w:val="18"/>
      <w:szCs w:val="18"/>
    </w:rPr>
  </w:style>
  <w:style w:type="paragraph" w:customStyle="1" w:styleId="Default">
    <w:name w:val="Default"/>
    <w:rsid w:val="00B34569"/>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B70290"/>
    <w:pPr>
      <w:ind w:firstLineChars="200" w:firstLine="420"/>
    </w:pPr>
  </w:style>
  <w:style w:type="paragraph" w:styleId="a6">
    <w:name w:val="Balloon Text"/>
    <w:basedOn w:val="a"/>
    <w:link w:val="Char1"/>
    <w:uiPriority w:val="99"/>
    <w:semiHidden/>
    <w:unhideWhenUsed/>
    <w:rsid w:val="00FB7FD2"/>
    <w:rPr>
      <w:sz w:val="18"/>
      <w:szCs w:val="18"/>
    </w:rPr>
  </w:style>
  <w:style w:type="character" w:customStyle="1" w:styleId="Char1">
    <w:name w:val="批注框文本 Char"/>
    <w:basedOn w:val="a0"/>
    <w:link w:val="a6"/>
    <w:uiPriority w:val="99"/>
    <w:semiHidden/>
    <w:rsid w:val="00FB7FD2"/>
    <w:rPr>
      <w:sz w:val="18"/>
      <w:szCs w:val="18"/>
    </w:rPr>
  </w:style>
  <w:style w:type="table" w:styleId="a7">
    <w:name w:val="Table Grid"/>
    <w:basedOn w:val="a1"/>
    <w:uiPriority w:val="59"/>
    <w:rsid w:val="0008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0839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578956">
      <w:bodyDiv w:val="1"/>
      <w:marLeft w:val="0"/>
      <w:marRight w:val="0"/>
      <w:marTop w:val="0"/>
      <w:marBottom w:val="0"/>
      <w:divBdr>
        <w:top w:val="none" w:sz="0" w:space="0" w:color="auto"/>
        <w:left w:val="none" w:sz="0" w:space="0" w:color="auto"/>
        <w:bottom w:val="none" w:sz="0" w:space="0" w:color="auto"/>
        <w:right w:val="none" w:sz="0" w:space="0" w:color="auto"/>
      </w:divBdr>
    </w:div>
    <w:div w:id="48960040">
      <w:bodyDiv w:val="1"/>
      <w:marLeft w:val="0"/>
      <w:marRight w:val="0"/>
      <w:marTop w:val="0"/>
      <w:marBottom w:val="0"/>
      <w:divBdr>
        <w:top w:val="none" w:sz="0" w:space="0" w:color="auto"/>
        <w:left w:val="none" w:sz="0" w:space="0" w:color="auto"/>
        <w:bottom w:val="none" w:sz="0" w:space="0" w:color="auto"/>
        <w:right w:val="none" w:sz="0" w:space="0" w:color="auto"/>
      </w:divBdr>
    </w:div>
    <w:div w:id="79449472">
      <w:bodyDiv w:val="1"/>
      <w:marLeft w:val="0"/>
      <w:marRight w:val="0"/>
      <w:marTop w:val="0"/>
      <w:marBottom w:val="0"/>
      <w:divBdr>
        <w:top w:val="none" w:sz="0" w:space="0" w:color="auto"/>
        <w:left w:val="none" w:sz="0" w:space="0" w:color="auto"/>
        <w:bottom w:val="none" w:sz="0" w:space="0" w:color="auto"/>
        <w:right w:val="none" w:sz="0" w:space="0" w:color="auto"/>
      </w:divBdr>
    </w:div>
    <w:div w:id="98960958">
      <w:bodyDiv w:val="1"/>
      <w:marLeft w:val="0"/>
      <w:marRight w:val="0"/>
      <w:marTop w:val="0"/>
      <w:marBottom w:val="0"/>
      <w:divBdr>
        <w:top w:val="none" w:sz="0" w:space="0" w:color="auto"/>
        <w:left w:val="none" w:sz="0" w:space="0" w:color="auto"/>
        <w:bottom w:val="none" w:sz="0" w:space="0" w:color="auto"/>
        <w:right w:val="none" w:sz="0" w:space="0" w:color="auto"/>
      </w:divBdr>
    </w:div>
    <w:div w:id="123431197">
      <w:bodyDiv w:val="1"/>
      <w:marLeft w:val="0"/>
      <w:marRight w:val="0"/>
      <w:marTop w:val="0"/>
      <w:marBottom w:val="0"/>
      <w:divBdr>
        <w:top w:val="none" w:sz="0" w:space="0" w:color="auto"/>
        <w:left w:val="none" w:sz="0" w:space="0" w:color="auto"/>
        <w:bottom w:val="none" w:sz="0" w:space="0" w:color="auto"/>
        <w:right w:val="none" w:sz="0" w:space="0" w:color="auto"/>
      </w:divBdr>
    </w:div>
    <w:div w:id="183907520">
      <w:bodyDiv w:val="1"/>
      <w:marLeft w:val="0"/>
      <w:marRight w:val="0"/>
      <w:marTop w:val="0"/>
      <w:marBottom w:val="0"/>
      <w:divBdr>
        <w:top w:val="none" w:sz="0" w:space="0" w:color="auto"/>
        <w:left w:val="none" w:sz="0" w:space="0" w:color="auto"/>
        <w:bottom w:val="none" w:sz="0" w:space="0" w:color="auto"/>
        <w:right w:val="none" w:sz="0" w:space="0" w:color="auto"/>
      </w:divBdr>
    </w:div>
    <w:div w:id="233273064">
      <w:bodyDiv w:val="1"/>
      <w:marLeft w:val="0"/>
      <w:marRight w:val="0"/>
      <w:marTop w:val="0"/>
      <w:marBottom w:val="0"/>
      <w:divBdr>
        <w:top w:val="none" w:sz="0" w:space="0" w:color="auto"/>
        <w:left w:val="none" w:sz="0" w:space="0" w:color="auto"/>
        <w:bottom w:val="none" w:sz="0" w:space="0" w:color="auto"/>
        <w:right w:val="none" w:sz="0" w:space="0" w:color="auto"/>
      </w:divBdr>
    </w:div>
    <w:div w:id="289437264">
      <w:bodyDiv w:val="1"/>
      <w:marLeft w:val="0"/>
      <w:marRight w:val="0"/>
      <w:marTop w:val="0"/>
      <w:marBottom w:val="0"/>
      <w:divBdr>
        <w:top w:val="none" w:sz="0" w:space="0" w:color="auto"/>
        <w:left w:val="none" w:sz="0" w:space="0" w:color="auto"/>
        <w:bottom w:val="none" w:sz="0" w:space="0" w:color="auto"/>
        <w:right w:val="none" w:sz="0" w:space="0" w:color="auto"/>
      </w:divBdr>
    </w:div>
    <w:div w:id="368410173">
      <w:bodyDiv w:val="1"/>
      <w:marLeft w:val="0"/>
      <w:marRight w:val="0"/>
      <w:marTop w:val="0"/>
      <w:marBottom w:val="0"/>
      <w:divBdr>
        <w:top w:val="none" w:sz="0" w:space="0" w:color="auto"/>
        <w:left w:val="none" w:sz="0" w:space="0" w:color="auto"/>
        <w:bottom w:val="none" w:sz="0" w:space="0" w:color="auto"/>
        <w:right w:val="none" w:sz="0" w:space="0" w:color="auto"/>
      </w:divBdr>
    </w:div>
    <w:div w:id="421683760">
      <w:bodyDiv w:val="1"/>
      <w:marLeft w:val="0"/>
      <w:marRight w:val="0"/>
      <w:marTop w:val="0"/>
      <w:marBottom w:val="0"/>
      <w:divBdr>
        <w:top w:val="none" w:sz="0" w:space="0" w:color="auto"/>
        <w:left w:val="none" w:sz="0" w:space="0" w:color="auto"/>
        <w:bottom w:val="none" w:sz="0" w:space="0" w:color="auto"/>
        <w:right w:val="none" w:sz="0" w:space="0" w:color="auto"/>
      </w:divBdr>
    </w:div>
    <w:div w:id="434861771">
      <w:bodyDiv w:val="1"/>
      <w:marLeft w:val="0"/>
      <w:marRight w:val="0"/>
      <w:marTop w:val="0"/>
      <w:marBottom w:val="0"/>
      <w:divBdr>
        <w:top w:val="none" w:sz="0" w:space="0" w:color="auto"/>
        <w:left w:val="none" w:sz="0" w:space="0" w:color="auto"/>
        <w:bottom w:val="none" w:sz="0" w:space="0" w:color="auto"/>
        <w:right w:val="none" w:sz="0" w:space="0" w:color="auto"/>
      </w:divBdr>
    </w:div>
    <w:div w:id="552883932">
      <w:bodyDiv w:val="1"/>
      <w:marLeft w:val="0"/>
      <w:marRight w:val="0"/>
      <w:marTop w:val="0"/>
      <w:marBottom w:val="0"/>
      <w:divBdr>
        <w:top w:val="none" w:sz="0" w:space="0" w:color="auto"/>
        <w:left w:val="none" w:sz="0" w:space="0" w:color="auto"/>
        <w:bottom w:val="none" w:sz="0" w:space="0" w:color="auto"/>
        <w:right w:val="none" w:sz="0" w:space="0" w:color="auto"/>
      </w:divBdr>
    </w:div>
    <w:div w:id="563444927">
      <w:bodyDiv w:val="1"/>
      <w:marLeft w:val="0"/>
      <w:marRight w:val="0"/>
      <w:marTop w:val="0"/>
      <w:marBottom w:val="0"/>
      <w:divBdr>
        <w:top w:val="none" w:sz="0" w:space="0" w:color="auto"/>
        <w:left w:val="none" w:sz="0" w:space="0" w:color="auto"/>
        <w:bottom w:val="none" w:sz="0" w:space="0" w:color="auto"/>
        <w:right w:val="none" w:sz="0" w:space="0" w:color="auto"/>
      </w:divBdr>
    </w:div>
    <w:div w:id="571239846">
      <w:bodyDiv w:val="1"/>
      <w:marLeft w:val="0"/>
      <w:marRight w:val="0"/>
      <w:marTop w:val="0"/>
      <w:marBottom w:val="0"/>
      <w:divBdr>
        <w:top w:val="none" w:sz="0" w:space="0" w:color="auto"/>
        <w:left w:val="none" w:sz="0" w:space="0" w:color="auto"/>
        <w:bottom w:val="none" w:sz="0" w:space="0" w:color="auto"/>
        <w:right w:val="none" w:sz="0" w:space="0" w:color="auto"/>
      </w:divBdr>
    </w:div>
    <w:div w:id="587036553">
      <w:bodyDiv w:val="1"/>
      <w:marLeft w:val="0"/>
      <w:marRight w:val="0"/>
      <w:marTop w:val="0"/>
      <w:marBottom w:val="0"/>
      <w:divBdr>
        <w:top w:val="none" w:sz="0" w:space="0" w:color="auto"/>
        <w:left w:val="none" w:sz="0" w:space="0" w:color="auto"/>
        <w:bottom w:val="none" w:sz="0" w:space="0" w:color="auto"/>
        <w:right w:val="none" w:sz="0" w:space="0" w:color="auto"/>
      </w:divBdr>
    </w:div>
    <w:div w:id="588004733">
      <w:bodyDiv w:val="1"/>
      <w:marLeft w:val="0"/>
      <w:marRight w:val="0"/>
      <w:marTop w:val="0"/>
      <w:marBottom w:val="0"/>
      <w:divBdr>
        <w:top w:val="none" w:sz="0" w:space="0" w:color="auto"/>
        <w:left w:val="none" w:sz="0" w:space="0" w:color="auto"/>
        <w:bottom w:val="none" w:sz="0" w:space="0" w:color="auto"/>
        <w:right w:val="none" w:sz="0" w:space="0" w:color="auto"/>
      </w:divBdr>
    </w:div>
    <w:div w:id="721832770">
      <w:bodyDiv w:val="1"/>
      <w:marLeft w:val="0"/>
      <w:marRight w:val="0"/>
      <w:marTop w:val="0"/>
      <w:marBottom w:val="0"/>
      <w:divBdr>
        <w:top w:val="none" w:sz="0" w:space="0" w:color="auto"/>
        <w:left w:val="none" w:sz="0" w:space="0" w:color="auto"/>
        <w:bottom w:val="none" w:sz="0" w:space="0" w:color="auto"/>
        <w:right w:val="none" w:sz="0" w:space="0" w:color="auto"/>
      </w:divBdr>
    </w:div>
    <w:div w:id="940182980">
      <w:bodyDiv w:val="1"/>
      <w:marLeft w:val="0"/>
      <w:marRight w:val="0"/>
      <w:marTop w:val="0"/>
      <w:marBottom w:val="0"/>
      <w:divBdr>
        <w:top w:val="none" w:sz="0" w:space="0" w:color="auto"/>
        <w:left w:val="none" w:sz="0" w:space="0" w:color="auto"/>
        <w:bottom w:val="none" w:sz="0" w:space="0" w:color="auto"/>
        <w:right w:val="none" w:sz="0" w:space="0" w:color="auto"/>
      </w:divBdr>
    </w:div>
    <w:div w:id="955061459">
      <w:bodyDiv w:val="1"/>
      <w:marLeft w:val="0"/>
      <w:marRight w:val="0"/>
      <w:marTop w:val="0"/>
      <w:marBottom w:val="0"/>
      <w:divBdr>
        <w:top w:val="none" w:sz="0" w:space="0" w:color="auto"/>
        <w:left w:val="none" w:sz="0" w:space="0" w:color="auto"/>
        <w:bottom w:val="none" w:sz="0" w:space="0" w:color="auto"/>
        <w:right w:val="none" w:sz="0" w:space="0" w:color="auto"/>
      </w:divBdr>
    </w:div>
    <w:div w:id="1027684584">
      <w:bodyDiv w:val="1"/>
      <w:marLeft w:val="0"/>
      <w:marRight w:val="0"/>
      <w:marTop w:val="0"/>
      <w:marBottom w:val="0"/>
      <w:divBdr>
        <w:top w:val="none" w:sz="0" w:space="0" w:color="auto"/>
        <w:left w:val="none" w:sz="0" w:space="0" w:color="auto"/>
        <w:bottom w:val="none" w:sz="0" w:space="0" w:color="auto"/>
        <w:right w:val="none" w:sz="0" w:space="0" w:color="auto"/>
      </w:divBdr>
    </w:div>
    <w:div w:id="1070467939">
      <w:bodyDiv w:val="1"/>
      <w:marLeft w:val="0"/>
      <w:marRight w:val="0"/>
      <w:marTop w:val="0"/>
      <w:marBottom w:val="0"/>
      <w:divBdr>
        <w:top w:val="none" w:sz="0" w:space="0" w:color="auto"/>
        <w:left w:val="none" w:sz="0" w:space="0" w:color="auto"/>
        <w:bottom w:val="none" w:sz="0" w:space="0" w:color="auto"/>
        <w:right w:val="none" w:sz="0" w:space="0" w:color="auto"/>
      </w:divBdr>
    </w:div>
    <w:div w:id="1073818827">
      <w:bodyDiv w:val="1"/>
      <w:marLeft w:val="0"/>
      <w:marRight w:val="0"/>
      <w:marTop w:val="0"/>
      <w:marBottom w:val="0"/>
      <w:divBdr>
        <w:top w:val="none" w:sz="0" w:space="0" w:color="auto"/>
        <w:left w:val="none" w:sz="0" w:space="0" w:color="auto"/>
        <w:bottom w:val="none" w:sz="0" w:space="0" w:color="auto"/>
        <w:right w:val="none" w:sz="0" w:space="0" w:color="auto"/>
      </w:divBdr>
    </w:div>
    <w:div w:id="1285698949">
      <w:bodyDiv w:val="1"/>
      <w:marLeft w:val="0"/>
      <w:marRight w:val="0"/>
      <w:marTop w:val="0"/>
      <w:marBottom w:val="0"/>
      <w:divBdr>
        <w:top w:val="none" w:sz="0" w:space="0" w:color="auto"/>
        <w:left w:val="none" w:sz="0" w:space="0" w:color="auto"/>
        <w:bottom w:val="none" w:sz="0" w:space="0" w:color="auto"/>
        <w:right w:val="none" w:sz="0" w:space="0" w:color="auto"/>
      </w:divBdr>
    </w:div>
    <w:div w:id="1329870866">
      <w:bodyDiv w:val="1"/>
      <w:marLeft w:val="0"/>
      <w:marRight w:val="0"/>
      <w:marTop w:val="0"/>
      <w:marBottom w:val="0"/>
      <w:divBdr>
        <w:top w:val="none" w:sz="0" w:space="0" w:color="auto"/>
        <w:left w:val="none" w:sz="0" w:space="0" w:color="auto"/>
        <w:bottom w:val="none" w:sz="0" w:space="0" w:color="auto"/>
        <w:right w:val="none" w:sz="0" w:space="0" w:color="auto"/>
      </w:divBdr>
    </w:div>
    <w:div w:id="1421565054">
      <w:bodyDiv w:val="1"/>
      <w:marLeft w:val="0"/>
      <w:marRight w:val="0"/>
      <w:marTop w:val="0"/>
      <w:marBottom w:val="0"/>
      <w:divBdr>
        <w:top w:val="none" w:sz="0" w:space="0" w:color="auto"/>
        <w:left w:val="none" w:sz="0" w:space="0" w:color="auto"/>
        <w:bottom w:val="none" w:sz="0" w:space="0" w:color="auto"/>
        <w:right w:val="none" w:sz="0" w:space="0" w:color="auto"/>
      </w:divBdr>
    </w:div>
    <w:div w:id="1451438315">
      <w:bodyDiv w:val="1"/>
      <w:marLeft w:val="0"/>
      <w:marRight w:val="0"/>
      <w:marTop w:val="0"/>
      <w:marBottom w:val="0"/>
      <w:divBdr>
        <w:top w:val="none" w:sz="0" w:space="0" w:color="auto"/>
        <w:left w:val="none" w:sz="0" w:space="0" w:color="auto"/>
        <w:bottom w:val="none" w:sz="0" w:space="0" w:color="auto"/>
        <w:right w:val="none" w:sz="0" w:space="0" w:color="auto"/>
      </w:divBdr>
    </w:div>
    <w:div w:id="1472559477">
      <w:bodyDiv w:val="1"/>
      <w:marLeft w:val="0"/>
      <w:marRight w:val="0"/>
      <w:marTop w:val="0"/>
      <w:marBottom w:val="0"/>
      <w:divBdr>
        <w:top w:val="none" w:sz="0" w:space="0" w:color="auto"/>
        <w:left w:val="none" w:sz="0" w:space="0" w:color="auto"/>
        <w:bottom w:val="none" w:sz="0" w:space="0" w:color="auto"/>
        <w:right w:val="none" w:sz="0" w:space="0" w:color="auto"/>
      </w:divBdr>
    </w:div>
    <w:div w:id="1504007508">
      <w:bodyDiv w:val="1"/>
      <w:marLeft w:val="0"/>
      <w:marRight w:val="0"/>
      <w:marTop w:val="0"/>
      <w:marBottom w:val="0"/>
      <w:divBdr>
        <w:top w:val="none" w:sz="0" w:space="0" w:color="auto"/>
        <w:left w:val="none" w:sz="0" w:space="0" w:color="auto"/>
        <w:bottom w:val="none" w:sz="0" w:space="0" w:color="auto"/>
        <w:right w:val="none" w:sz="0" w:space="0" w:color="auto"/>
      </w:divBdr>
    </w:div>
    <w:div w:id="1533608905">
      <w:bodyDiv w:val="1"/>
      <w:marLeft w:val="0"/>
      <w:marRight w:val="0"/>
      <w:marTop w:val="0"/>
      <w:marBottom w:val="0"/>
      <w:divBdr>
        <w:top w:val="none" w:sz="0" w:space="0" w:color="auto"/>
        <w:left w:val="none" w:sz="0" w:space="0" w:color="auto"/>
        <w:bottom w:val="none" w:sz="0" w:space="0" w:color="auto"/>
        <w:right w:val="none" w:sz="0" w:space="0" w:color="auto"/>
      </w:divBdr>
    </w:div>
    <w:div w:id="1775662882">
      <w:bodyDiv w:val="1"/>
      <w:marLeft w:val="0"/>
      <w:marRight w:val="0"/>
      <w:marTop w:val="0"/>
      <w:marBottom w:val="0"/>
      <w:divBdr>
        <w:top w:val="none" w:sz="0" w:space="0" w:color="auto"/>
        <w:left w:val="none" w:sz="0" w:space="0" w:color="auto"/>
        <w:bottom w:val="none" w:sz="0" w:space="0" w:color="auto"/>
        <w:right w:val="none" w:sz="0" w:space="0" w:color="auto"/>
      </w:divBdr>
    </w:div>
    <w:div w:id="1850757685">
      <w:bodyDiv w:val="1"/>
      <w:marLeft w:val="0"/>
      <w:marRight w:val="0"/>
      <w:marTop w:val="0"/>
      <w:marBottom w:val="0"/>
      <w:divBdr>
        <w:top w:val="none" w:sz="0" w:space="0" w:color="auto"/>
        <w:left w:val="none" w:sz="0" w:space="0" w:color="auto"/>
        <w:bottom w:val="none" w:sz="0" w:space="0" w:color="auto"/>
        <w:right w:val="none" w:sz="0" w:space="0" w:color="auto"/>
      </w:divBdr>
    </w:div>
    <w:div w:id="1865828322">
      <w:bodyDiv w:val="1"/>
      <w:marLeft w:val="0"/>
      <w:marRight w:val="0"/>
      <w:marTop w:val="0"/>
      <w:marBottom w:val="0"/>
      <w:divBdr>
        <w:top w:val="none" w:sz="0" w:space="0" w:color="auto"/>
        <w:left w:val="none" w:sz="0" w:space="0" w:color="auto"/>
        <w:bottom w:val="none" w:sz="0" w:space="0" w:color="auto"/>
        <w:right w:val="none" w:sz="0" w:space="0" w:color="auto"/>
      </w:divBdr>
    </w:div>
    <w:div w:id="1868328274">
      <w:bodyDiv w:val="1"/>
      <w:marLeft w:val="0"/>
      <w:marRight w:val="0"/>
      <w:marTop w:val="0"/>
      <w:marBottom w:val="0"/>
      <w:divBdr>
        <w:top w:val="none" w:sz="0" w:space="0" w:color="auto"/>
        <w:left w:val="none" w:sz="0" w:space="0" w:color="auto"/>
        <w:bottom w:val="none" w:sz="0" w:space="0" w:color="auto"/>
        <w:right w:val="none" w:sz="0" w:space="0" w:color="auto"/>
      </w:divBdr>
    </w:div>
    <w:div w:id="1872569872">
      <w:bodyDiv w:val="1"/>
      <w:marLeft w:val="0"/>
      <w:marRight w:val="0"/>
      <w:marTop w:val="0"/>
      <w:marBottom w:val="0"/>
      <w:divBdr>
        <w:top w:val="none" w:sz="0" w:space="0" w:color="auto"/>
        <w:left w:val="none" w:sz="0" w:space="0" w:color="auto"/>
        <w:bottom w:val="none" w:sz="0" w:space="0" w:color="auto"/>
        <w:right w:val="none" w:sz="0" w:space="0" w:color="auto"/>
      </w:divBdr>
    </w:div>
    <w:div w:id="1955597311">
      <w:bodyDiv w:val="1"/>
      <w:marLeft w:val="0"/>
      <w:marRight w:val="0"/>
      <w:marTop w:val="0"/>
      <w:marBottom w:val="0"/>
      <w:divBdr>
        <w:top w:val="none" w:sz="0" w:space="0" w:color="auto"/>
        <w:left w:val="none" w:sz="0" w:space="0" w:color="auto"/>
        <w:bottom w:val="none" w:sz="0" w:space="0" w:color="auto"/>
        <w:right w:val="none" w:sz="0" w:space="0" w:color="auto"/>
      </w:divBdr>
    </w:div>
    <w:div w:id="1974672830">
      <w:bodyDiv w:val="1"/>
      <w:marLeft w:val="0"/>
      <w:marRight w:val="0"/>
      <w:marTop w:val="0"/>
      <w:marBottom w:val="0"/>
      <w:divBdr>
        <w:top w:val="none" w:sz="0" w:space="0" w:color="auto"/>
        <w:left w:val="none" w:sz="0" w:space="0" w:color="auto"/>
        <w:bottom w:val="none" w:sz="0" w:space="0" w:color="auto"/>
        <w:right w:val="none" w:sz="0" w:space="0" w:color="auto"/>
      </w:divBdr>
    </w:div>
    <w:div w:id="2040548111">
      <w:bodyDiv w:val="1"/>
      <w:marLeft w:val="0"/>
      <w:marRight w:val="0"/>
      <w:marTop w:val="0"/>
      <w:marBottom w:val="0"/>
      <w:divBdr>
        <w:top w:val="none" w:sz="0" w:space="0" w:color="auto"/>
        <w:left w:val="none" w:sz="0" w:space="0" w:color="auto"/>
        <w:bottom w:val="none" w:sz="0" w:space="0" w:color="auto"/>
        <w:right w:val="none" w:sz="0" w:space="0" w:color="auto"/>
      </w:divBdr>
    </w:div>
    <w:div w:id="21361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4</DocSecurity>
  <Lines>5</Lines>
  <Paragraphs>1</Paragraphs>
  <ScaleCrop>false</ScaleCrop>
  <Company>Microsoft</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shenyichao</dc:creator>
  <cp:lastModifiedBy>ZHONGM</cp:lastModifiedBy>
  <cp:revision>2</cp:revision>
  <dcterms:created xsi:type="dcterms:W3CDTF">2021-03-24T16:01:00Z</dcterms:created>
  <dcterms:modified xsi:type="dcterms:W3CDTF">2021-03-24T16:01:00Z</dcterms:modified>
</cp:coreProperties>
</file>