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FC" w:rsidRPr="00581478" w:rsidRDefault="006A13FC" w:rsidP="007A3E23">
      <w:pPr>
        <w:jc w:val="center"/>
        <w:rPr>
          <w:rFonts w:ascii="黑体" w:eastAsia="黑体" w:hAnsi="黑体"/>
          <w:bCs/>
          <w:color w:val="000000"/>
          <w:sz w:val="30"/>
          <w:szCs w:val="30"/>
        </w:rPr>
      </w:pPr>
      <w:r w:rsidRPr="00581478">
        <w:rPr>
          <w:rFonts w:ascii="黑体" w:eastAsia="黑体" w:hAnsi="黑体" w:hint="eastAsia"/>
          <w:bCs/>
          <w:color w:val="000000"/>
          <w:sz w:val="30"/>
          <w:szCs w:val="30"/>
        </w:rPr>
        <w:t>申万菱信基金管理有限公司</w:t>
      </w:r>
    </w:p>
    <w:p w:rsidR="009F3DC0" w:rsidRPr="00581478" w:rsidRDefault="00270EA7" w:rsidP="00AF7D64">
      <w:pPr>
        <w:jc w:val="center"/>
        <w:rPr>
          <w:rFonts w:ascii="黑体" w:eastAsia="黑体" w:hAnsi="黑体"/>
          <w:bCs/>
          <w:color w:val="000000"/>
          <w:sz w:val="30"/>
          <w:szCs w:val="30"/>
        </w:rPr>
      </w:pPr>
      <w:r w:rsidRPr="00581478">
        <w:rPr>
          <w:rFonts w:ascii="黑体" w:eastAsia="黑体" w:hAnsi="黑体" w:hint="eastAsia"/>
          <w:bCs/>
          <w:color w:val="000000"/>
          <w:sz w:val="30"/>
          <w:szCs w:val="30"/>
        </w:rPr>
        <w:t>关于旗下</w:t>
      </w:r>
      <w:r w:rsidR="006B161A">
        <w:rPr>
          <w:rFonts w:ascii="黑体" w:eastAsia="黑体" w:hAnsi="黑体" w:hint="eastAsia"/>
          <w:bCs/>
          <w:color w:val="000000"/>
          <w:sz w:val="30"/>
          <w:szCs w:val="30"/>
        </w:rPr>
        <w:t>部分</w:t>
      </w:r>
      <w:r w:rsidRPr="00581478">
        <w:rPr>
          <w:rFonts w:ascii="黑体" w:eastAsia="黑体" w:hAnsi="黑体" w:hint="eastAsia"/>
          <w:bCs/>
          <w:color w:val="000000"/>
          <w:sz w:val="30"/>
          <w:szCs w:val="30"/>
        </w:rPr>
        <w:t>基金</w:t>
      </w:r>
      <w:r w:rsidR="003407FF">
        <w:rPr>
          <w:rFonts w:ascii="黑体" w:eastAsia="黑体" w:hAnsi="黑体" w:hint="eastAsia"/>
          <w:bCs/>
          <w:color w:val="000000"/>
          <w:sz w:val="30"/>
          <w:szCs w:val="30"/>
        </w:rPr>
        <w:t>在</w:t>
      </w:r>
      <w:r w:rsidR="00F61FBC">
        <w:rPr>
          <w:rFonts w:ascii="黑体" w:eastAsia="黑体" w:hAnsi="黑体" w:hint="eastAsia"/>
          <w:bCs/>
          <w:color w:val="000000"/>
          <w:sz w:val="30"/>
          <w:szCs w:val="30"/>
        </w:rPr>
        <w:t>东方财富</w:t>
      </w:r>
      <w:r w:rsidR="003407FF">
        <w:rPr>
          <w:rFonts w:ascii="黑体" w:eastAsia="黑体" w:hAnsi="黑体" w:hint="eastAsia"/>
          <w:bCs/>
          <w:color w:val="000000"/>
          <w:sz w:val="30"/>
          <w:szCs w:val="30"/>
        </w:rPr>
        <w:t>证券</w:t>
      </w:r>
      <w:r w:rsidR="006B161A">
        <w:rPr>
          <w:rFonts w:ascii="黑体" w:eastAsia="黑体" w:hAnsi="黑体" w:hint="eastAsia"/>
          <w:bCs/>
          <w:color w:val="000000"/>
          <w:sz w:val="30"/>
          <w:szCs w:val="30"/>
        </w:rPr>
        <w:t>开通</w:t>
      </w:r>
      <w:r w:rsidR="00F61FBC">
        <w:rPr>
          <w:rFonts w:ascii="黑体" w:eastAsia="黑体" w:hAnsi="黑体" w:hint="eastAsia"/>
          <w:bCs/>
          <w:color w:val="000000"/>
          <w:sz w:val="30"/>
          <w:szCs w:val="30"/>
        </w:rPr>
        <w:t>基金</w:t>
      </w:r>
      <w:r w:rsidR="006B161A">
        <w:rPr>
          <w:rFonts w:ascii="黑体" w:eastAsia="黑体" w:hAnsi="黑体" w:hint="eastAsia"/>
          <w:bCs/>
          <w:color w:val="000000"/>
          <w:sz w:val="30"/>
          <w:szCs w:val="30"/>
        </w:rPr>
        <w:t>定期定额投资</w:t>
      </w:r>
      <w:r w:rsidR="00F61FBC">
        <w:rPr>
          <w:rFonts w:ascii="黑体" w:eastAsia="黑体" w:hAnsi="黑体" w:hint="eastAsia"/>
          <w:bCs/>
          <w:color w:val="000000"/>
          <w:sz w:val="30"/>
          <w:szCs w:val="30"/>
        </w:rPr>
        <w:t>业务</w:t>
      </w:r>
      <w:r w:rsidRPr="00581478">
        <w:rPr>
          <w:rFonts w:ascii="黑体" w:eastAsia="黑体" w:hAnsi="黑体" w:hint="eastAsia"/>
          <w:bCs/>
          <w:color w:val="000000"/>
          <w:sz w:val="30"/>
          <w:szCs w:val="30"/>
        </w:rPr>
        <w:t>的公告</w:t>
      </w:r>
    </w:p>
    <w:p w:rsidR="00DF57E1" w:rsidRPr="00F61FBC" w:rsidRDefault="00DF57E1" w:rsidP="009F3DC0">
      <w:pPr>
        <w:jc w:val="center"/>
      </w:pPr>
    </w:p>
    <w:p w:rsidR="00DF57E1" w:rsidRPr="002F5C79" w:rsidRDefault="009F3DC0" w:rsidP="00A1267B">
      <w:pPr>
        <w:spacing w:line="360" w:lineRule="auto"/>
        <w:ind w:firstLineChars="200" w:firstLine="480"/>
      </w:pPr>
      <w:r w:rsidRPr="00E43462">
        <w:rPr>
          <w:rFonts w:hint="eastAsia"/>
        </w:rPr>
        <w:t>为更好地满足广大投资者的理财需求，</w:t>
      </w:r>
      <w:r w:rsidR="00F61FBC">
        <w:rPr>
          <w:rFonts w:hint="eastAsia"/>
        </w:rPr>
        <w:t>经</w:t>
      </w:r>
      <w:r w:rsidR="00F61FBC" w:rsidRPr="00E43462">
        <w:rPr>
          <w:rFonts w:hint="eastAsia"/>
        </w:rPr>
        <w:t>申万菱信基金管理有限公司（以下简称“本公司”）</w:t>
      </w:r>
      <w:r w:rsidRPr="00E43462">
        <w:rPr>
          <w:rFonts w:hint="eastAsia"/>
        </w:rPr>
        <w:t>与</w:t>
      </w:r>
      <w:r w:rsidR="00F61FBC">
        <w:rPr>
          <w:rFonts w:hint="eastAsia"/>
        </w:rPr>
        <w:t>东方财富证券股份有限公司（以下简称“东方财富证券”）</w:t>
      </w:r>
      <w:r w:rsidRPr="00E43462">
        <w:rPr>
          <w:rFonts w:hint="eastAsia"/>
        </w:rPr>
        <w:t>协商一致，本公司决定</w:t>
      </w:r>
      <w:r w:rsidR="00AF7D64" w:rsidRPr="009938C0">
        <w:rPr>
          <w:rFonts w:hint="eastAsia"/>
        </w:rPr>
        <w:t>20</w:t>
      </w:r>
      <w:r w:rsidR="0093367B" w:rsidRPr="009938C0">
        <w:rPr>
          <w:rFonts w:hint="eastAsia"/>
        </w:rPr>
        <w:t>2</w:t>
      </w:r>
      <w:r w:rsidR="00F61FBC">
        <w:t>1</w:t>
      </w:r>
      <w:r w:rsidR="00AF7D64" w:rsidRPr="009938C0">
        <w:rPr>
          <w:rFonts w:hint="eastAsia"/>
        </w:rPr>
        <w:t>年</w:t>
      </w:r>
      <w:r w:rsidR="00F61FBC">
        <w:t>3</w:t>
      </w:r>
      <w:r w:rsidR="00AF7D64" w:rsidRPr="009938C0">
        <w:rPr>
          <w:rFonts w:hint="eastAsia"/>
        </w:rPr>
        <w:t>月</w:t>
      </w:r>
      <w:r w:rsidR="00F61FBC">
        <w:t>17</w:t>
      </w:r>
      <w:r w:rsidR="00AF7D64" w:rsidRPr="009938C0">
        <w:rPr>
          <w:rFonts w:hint="eastAsia"/>
        </w:rPr>
        <w:t>日</w:t>
      </w:r>
      <w:r w:rsidRPr="00E43462">
        <w:rPr>
          <w:rFonts w:hint="eastAsia"/>
        </w:rPr>
        <w:t>起，</w:t>
      </w:r>
      <w:r w:rsidR="00380735">
        <w:rPr>
          <w:rFonts w:hint="eastAsia"/>
        </w:rPr>
        <w:t>旗下部分基金</w:t>
      </w:r>
      <w:r w:rsidR="00F61FBC">
        <w:rPr>
          <w:rFonts w:hint="eastAsia"/>
        </w:rPr>
        <w:t>在东方财富证券开通基金定期定额投资业务，</w:t>
      </w:r>
      <w:r w:rsidR="00E81DB9" w:rsidRPr="002F5C79">
        <w:rPr>
          <w:rFonts w:hint="eastAsia"/>
        </w:rPr>
        <w:t>详情</w:t>
      </w:r>
      <w:r w:rsidRPr="002F5C79">
        <w:rPr>
          <w:rFonts w:hint="eastAsia"/>
        </w:rPr>
        <w:t>如下：</w:t>
      </w:r>
    </w:p>
    <w:p w:rsidR="004E19C0" w:rsidRDefault="004E19C0" w:rsidP="004E19C0">
      <w:pPr>
        <w:pStyle w:val="a8"/>
        <w:numPr>
          <w:ilvl w:val="0"/>
          <w:numId w:val="1"/>
        </w:numPr>
        <w:spacing w:line="360" w:lineRule="auto"/>
        <w:ind w:firstLineChars="0"/>
      </w:pPr>
      <w:r>
        <w:rPr>
          <w:rFonts w:hint="eastAsia"/>
        </w:rPr>
        <w:t>开通业务说明</w:t>
      </w:r>
    </w:p>
    <w:p w:rsidR="00B62068" w:rsidRPr="0096388D" w:rsidRDefault="00B62068" w:rsidP="00B62068">
      <w:pPr>
        <w:spacing w:line="360" w:lineRule="auto"/>
        <w:ind w:firstLineChars="200" w:firstLine="480"/>
      </w:pPr>
      <w:r w:rsidRPr="0096388D">
        <w:t>定期定额申购业务是指投资者通过指定销售机构提出固定日期和固定金额的扣款和申购申请，由指定销售机构在约定扣款日为投资者自动完成扣款及基金申购申请的一种交易方式。</w:t>
      </w:r>
      <w:bookmarkStart w:id="0" w:name="_GoBack"/>
      <w:bookmarkEnd w:id="0"/>
    </w:p>
    <w:p w:rsidR="00B62068" w:rsidRPr="0096388D" w:rsidRDefault="00B62068" w:rsidP="00B62068">
      <w:pPr>
        <w:spacing w:line="360" w:lineRule="auto"/>
        <w:ind w:firstLineChars="200" w:firstLine="480"/>
      </w:pPr>
      <w:r w:rsidRPr="0096388D">
        <w:t>（一）适用基金范围</w:t>
      </w:r>
    </w:p>
    <w:p w:rsidR="00B62068" w:rsidRPr="0096388D" w:rsidRDefault="00B62068" w:rsidP="00B62068">
      <w:pPr>
        <w:spacing w:line="360" w:lineRule="auto"/>
        <w:ind w:firstLineChars="200" w:firstLine="480"/>
      </w:pPr>
      <w:r w:rsidRPr="00F61E5B">
        <w:rPr>
          <w:rFonts w:hint="eastAsia"/>
        </w:rPr>
        <w:t>202</w:t>
      </w:r>
      <w:r w:rsidR="00F61FBC">
        <w:t>1</w:t>
      </w:r>
      <w:r w:rsidRPr="00F61E5B">
        <w:rPr>
          <w:rFonts w:hint="eastAsia"/>
        </w:rPr>
        <w:t>年</w:t>
      </w:r>
      <w:r w:rsidR="00F61FBC">
        <w:t>3</w:t>
      </w:r>
      <w:r w:rsidRPr="00F61E5B">
        <w:rPr>
          <w:rFonts w:hint="eastAsia"/>
        </w:rPr>
        <w:t>月</w:t>
      </w:r>
      <w:r>
        <w:t>1</w:t>
      </w:r>
      <w:r w:rsidR="00F61FBC">
        <w:t>7</w:t>
      </w:r>
      <w:r w:rsidRPr="00F61E5B">
        <w:rPr>
          <w:rFonts w:hint="eastAsia"/>
        </w:rPr>
        <w:t>日起</w:t>
      </w:r>
      <w:r w:rsidRPr="0096388D">
        <w:t>，</w:t>
      </w:r>
      <w:r>
        <w:rPr>
          <w:rFonts w:hint="eastAsia"/>
        </w:rPr>
        <w:t>投资者可通过</w:t>
      </w:r>
      <w:r w:rsidR="00F61FBC">
        <w:rPr>
          <w:rFonts w:hint="eastAsia"/>
        </w:rPr>
        <w:t>东方财富</w:t>
      </w:r>
      <w:r>
        <w:rPr>
          <w:rFonts w:hint="eastAsia"/>
        </w:rPr>
        <w:t>证券</w:t>
      </w:r>
      <w:r w:rsidRPr="0096388D">
        <w:t>办理</w:t>
      </w:r>
      <w:r w:rsidR="004E19C0" w:rsidRPr="00E1038E">
        <w:t>处于正常申购期</w:t>
      </w:r>
      <w:r w:rsidR="004E19C0">
        <w:rPr>
          <w:rFonts w:hint="eastAsia"/>
        </w:rPr>
        <w:t>的全部基金产品的定期定额投资业务</w:t>
      </w:r>
      <w:r w:rsidR="004E19C0" w:rsidRPr="0080266E">
        <w:rPr>
          <w:rFonts w:hint="eastAsia"/>
        </w:rPr>
        <w:t>，</w:t>
      </w:r>
      <w:r w:rsidR="004E19C0">
        <w:rPr>
          <w:rFonts w:hint="eastAsia"/>
        </w:rPr>
        <w:t>详细名单</w:t>
      </w:r>
      <w:r w:rsidR="004E19C0" w:rsidRPr="0080266E">
        <w:rPr>
          <w:rFonts w:hint="eastAsia"/>
        </w:rPr>
        <w:t>可通过本公司</w:t>
      </w:r>
      <w:r w:rsidR="004E19C0">
        <w:rPr>
          <w:rFonts w:hint="eastAsia"/>
        </w:rPr>
        <w:t>官方</w:t>
      </w:r>
      <w:r w:rsidR="004E19C0" w:rsidRPr="0080266E">
        <w:rPr>
          <w:rFonts w:hint="eastAsia"/>
        </w:rPr>
        <w:t>网站</w:t>
      </w:r>
      <w:hyperlink r:id="rId8" w:history="1">
        <w:r w:rsidR="004E19C0" w:rsidRPr="00654F83">
          <w:rPr>
            <w:rStyle w:val="a3"/>
            <w:rFonts w:hint="eastAsia"/>
          </w:rPr>
          <w:t>www.swsmu.com</w:t>
        </w:r>
      </w:hyperlink>
      <w:r w:rsidR="004E19C0">
        <w:rPr>
          <w:rFonts w:hint="eastAsia"/>
        </w:rPr>
        <w:t>刊登的</w:t>
      </w:r>
      <w:r w:rsidR="004E19C0" w:rsidRPr="006B161A">
        <w:rPr>
          <w:rFonts w:hint="eastAsia"/>
        </w:rPr>
        <w:t>代销机构情况一览表进行查询</w:t>
      </w:r>
      <w:r w:rsidRPr="0096388D">
        <w:rPr>
          <w:rFonts w:hint="eastAsia"/>
        </w:rPr>
        <w:t>。</w:t>
      </w:r>
    </w:p>
    <w:p w:rsidR="00B62068" w:rsidRPr="0096388D" w:rsidRDefault="00B62068" w:rsidP="00B62068">
      <w:pPr>
        <w:spacing w:line="360" w:lineRule="auto"/>
        <w:ind w:firstLineChars="200" w:firstLine="480"/>
      </w:pPr>
      <w:r w:rsidRPr="0096388D">
        <w:t>（二）适用投资者范围</w:t>
      </w:r>
    </w:p>
    <w:p w:rsidR="00B62068" w:rsidRPr="0096388D" w:rsidRDefault="00B62068" w:rsidP="00B62068">
      <w:pPr>
        <w:spacing w:line="360" w:lineRule="auto"/>
        <w:ind w:firstLineChars="200" w:firstLine="480"/>
      </w:pPr>
      <w:r w:rsidRPr="0096388D">
        <w:t>中华人民共和国境内的个人投资者（法律法规禁止购买证券投资基金者除外）。</w:t>
      </w:r>
    </w:p>
    <w:p w:rsidR="00B62068" w:rsidRPr="0096388D" w:rsidRDefault="00B62068" w:rsidP="00B62068">
      <w:pPr>
        <w:spacing w:line="360" w:lineRule="auto"/>
        <w:ind w:firstLineChars="200" w:firstLine="480"/>
      </w:pPr>
      <w:r w:rsidRPr="0096388D">
        <w:t>（</w:t>
      </w:r>
      <w:r w:rsidRPr="0096388D">
        <w:rPr>
          <w:rFonts w:hint="eastAsia"/>
        </w:rPr>
        <w:t>三</w:t>
      </w:r>
      <w:r w:rsidRPr="0096388D">
        <w:t>）申请方式</w:t>
      </w:r>
    </w:p>
    <w:p w:rsidR="00B62068" w:rsidRPr="002B3F65" w:rsidRDefault="00B62068" w:rsidP="00B62068">
      <w:pPr>
        <w:spacing w:line="360" w:lineRule="auto"/>
        <w:ind w:firstLineChars="200" w:firstLine="480"/>
      </w:pPr>
      <w:r w:rsidRPr="002B3F65">
        <w:rPr>
          <w:rFonts w:hint="eastAsia"/>
        </w:rPr>
        <w:t>1、凡申请办理上述基金定期定额投资业务的投资者须首先开立本公司开放式基金账户（适用于自建TA基金，已开户者除外）或中国证券登记结算有限责任公司深圳开放式基金账户（适用于中登TA基金，已开户者除外），具体办理程序请遵循</w:t>
      </w:r>
      <w:r w:rsidR="00F61FBC">
        <w:rPr>
          <w:rFonts w:hint="eastAsia"/>
        </w:rPr>
        <w:t>东方财富证券</w:t>
      </w:r>
      <w:r w:rsidRPr="002B3F65">
        <w:rPr>
          <w:rFonts w:hint="eastAsia"/>
        </w:rPr>
        <w:t>的规定。</w:t>
      </w:r>
    </w:p>
    <w:p w:rsidR="00B62068" w:rsidRDefault="00B62068" w:rsidP="00B62068">
      <w:pPr>
        <w:spacing w:line="360" w:lineRule="auto"/>
        <w:ind w:firstLineChars="200" w:firstLine="480"/>
      </w:pPr>
      <w:r w:rsidRPr="002B3F65">
        <w:rPr>
          <w:rFonts w:hint="eastAsia"/>
        </w:rPr>
        <w:t>2、已开立本公司开放式基金账户到</w:t>
      </w:r>
      <w:r w:rsidR="00F61FBC">
        <w:rPr>
          <w:rFonts w:hint="eastAsia"/>
        </w:rPr>
        <w:t>东方财富</w:t>
      </w:r>
      <w:r>
        <w:rPr>
          <w:rFonts w:hint="eastAsia"/>
        </w:rPr>
        <w:t>证券</w:t>
      </w:r>
      <w:r w:rsidRPr="002B3F65">
        <w:rPr>
          <w:rFonts w:hint="eastAsia"/>
        </w:rPr>
        <w:t>申请增开交易账号（已开户者除外），并申请办理定期定额投资业务，具体办理程序请遵循</w:t>
      </w:r>
      <w:r w:rsidR="00F61FBC">
        <w:rPr>
          <w:rFonts w:hint="eastAsia"/>
        </w:rPr>
        <w:t>东方财富</w:t>
      </w:r>
      <w:r>
        <w:rPr>
          <w:rFonts w:hint="eastAsia"/>
        </w:rPr>
        <w:t>证券</w:t>
      </w:r>
      <w:r w:rsidRPr="002B3F65">
        <w:rPr>
          <w:rFonts w:hint="eastAsia"/>
        </w:rPr>
        <w:t>的规定。</w:t>
      </w:r>
    </w:p>
    <w:p w:rsidR="00B62068" w:rsidRPr="0096388D" w:rsidRDefault="00B62068" w:rsidP="00B62068">
      <w:pPr>
        <w:spacing w:line="360" w:lineRule="auto"/>
        <w:ind w:firstLineChars="200" w:firstLine="480"/>
      </w:pPr>
      <w:r w:rsidRPr="0096388D">
        <w:t>（</w:t>
      </w:r>
      <w:r w:rsidRPr="0096388D">
        <w:rPr>
          <w:rFonts w:hint="eastAsia"/>
        </w:rPr>
        <w:t>四</w:t>
      </w:r>
      <w:r w:rsidRPr="0096388D">
        <w:t>）扣款方式和扣款日期</w:t>
      </w:r>
    </w:p>
    <w:p w:rsidR="00B62068" w:rsidRPr="0096388D" w:rsidRDefault="00B62068" w:rsidP="00B62068">
      <w:pPr>
        <w:spacing w:line="360" w:lineRule="auto"/>
        <w:ind w:firstLineChars="200" w:firstLine="480"/>
      </w:pPr>
      <w:r w:rsidRPr="0096388D">
        <w:lastRenderedPageBreak/>
        <w:t>投资者须遵循</w:t>
      </w:r>
      <w:r w:rsidR="00F61FBC">
        <w:rPr>
          <w:rFonts w:hint="eastAsia"/>
        </w:rPr>
        <w:t>东方财富</w:t>
      </w:r>
      <w:r>
        <w:rPr>
          <w:rFonts w:hint="eastAsia"/>
        </w:rPr>
        <w:t>证券</w:t>
      </w:r>
      <w:r w:rsidRPr="0096388D">
        <w:t>的基金定期定额投资业务规则，指定本人的人民币结算账户作为扣款账户</w:t>
      </w:r>
      <w:r>
        <w:rPr>
          <w:rFonts w:hint="eastAsia"/>
        </w:rPr>
        <w:t>，</w:t>
      </w:r>
      <w:r w:rsidRPr="0096388D">
        <w:t>根据与</w:t>
      </w:r>
      <w:r w:rsidR="00F61FBC">
        <w:rPr>
          <w:rFonts w:hint="eastAsia"/>
        </w:rPr>
        <w:t>东方财富</w:t>
      </w:r>
      <w:r>
        <w:rPr>
          <w:rFonts w:hint="eastAsia"/>
        </w:rPr>
        <w:t>证券</w:t>
      </w:r>
      <w:r w:rsidRPr="0096388D">
        <w:t>的约定进行扣款。若遇非基金申购开放日则顺延至下一基金申购开放日。</w:t>
      </w:r>
    </w:p>
    <w:p w:rsidR="00B62068" w:rsidRPr="0096388D" w:rsidRDefault="00B62068" w:rsidP="00B62068">
      <w:pPr>
        <w:spacing w:line="360" w:lineRule="auto"/>
        <w:ind w:firstLineChars="200" w:firstLine="480"/>
      </w:pPr>
      <w:r w:rsidRPr="0096388D">
        <w:t>（</w:t>
      </w:r>
      <w:r w:rsidRPr="0096388D">
        <w:rPr>
          <w:rFonts w:hint="eastAsia"/>
        </w:rPr>
        <w:t>五</w:t>
      </w:r>
      <w:r w:rsidRPr="0096388D">
        <w:t>）投资金额</w:t>
      </w:r>
    </w:p>
    <w:p w:rsidR="00B62068" w:rsidRDefault="00B62068" w:rsidP="00B62068">
      <w:pPr>
        <w:spacing w:line="360" w:lineRule="auto"/>
        <w:ind w:firstLineChars="200" w:firstLine="480"/>
      </w:pPr>
      <w:r w:rsidRPr="002B3F65">
        <w:rPr>
          <w:rFonts w:hint="eastAsia"/>
        </w:rPr>
        <w:t>各基金的定期定额投资起点金额为1元，投资者亦可根据</w:t>
      </w:r>
      <w:r w:rsidR="00F61FBC">
        <w:rPr>
          <w:rFonts w:hint="eastAsia"/>
        </w:rPr>
        <w:t>东方财富</w:t>
      </w:r>
      <w:r>
        <w:rPr>
          <w:rFonts w:hint="eastAsia"/>
        </w:rPr>
        <w:t>证券</w:t>
      </w:r>
      <w:r w:rsidRPr="002B3F65">
        <w:rPr>
          <w:rFonts w:hint="eastAsia"/>
        </w:rPr>
        <w:t>的规定约定每期申购金额。</w:t>
      </w:r>
    </w:p>
    <w:p w:rsidR="00B62068" w:rsidRPr="0096388D" w:rsidRDefault="00B62068" w:rsidP="00B62068">
      <w:pPr>
        <w:spacing w:line="360" w:lineRule="auto"/>
        <w:ind w:firstLineChars="200" w:firstLine="480"/>
      </w:pPr>
      <w:r w:rsidRPr="0096388D">
        <w:t>（</w:t>
      </w:r>
      <w:r w:rsidRPr="0096388D">
        <w:rPr>
          <w:rFonts w:hint="eastAsia"/>
        </w:rPr>
        <w:t>六</w:t>
      </w:r>
      <w:r w:rsidRPr="0096388D">
        <w:t>）申购费率</w:t>
      </w:r>
    </w:p>
    <w:p w:rsidR="00B62068" w:rsidRPr="0096388D" w:rsidRDefault="00B62068" w:rsidP="00B62068">
      <w:pPr>
        <w:spacing w:line="360" w:lineRule="auto"/>
        <w:ind w:firstLineChars="200" w:firstLine="480"/>
      </w:pPr>
      <w:r>
        <w:rPr>
          <w:rFonts w:hint="eastAsia"/>
        </w:rPr>
        <w:t>详见各基金的招募说明书、基金产品资料概要等信息披露文件</w:t>
      </w:r>
      <w:r w:rsidRPr="0096388D">
        <w:rPr>
          <w:rFonts w:hint="eastAsia"/>
        </w:rPr>
        <w:t>。</w:t>
      </w:r>
    </w:p>
    <w:p w:rsidR="00B62068" w:rsidRPr="0096388D" w:rsidRDefault="00B62068" w:rsidP="00B62068">
      <w:pPr>
        <w:spacing w:line="360" w:lineRule="auto"/>
        <w:ind w:firstLineChars="200" w:firstLine="480"/>
      </w:pPr>
      <w:r w:rsidRPr="0096388D">
        <w:t>（</w:t>
      </w:r>
      <w:r w:rsidRPr="0096388D">
        <w:rPr>
          <w:rFonts w:hint="eastAsia"/>
        </w:rPr>
        <w:t>七</w:t>
      </w:r>
      <w:r w:rsidRPr="0096388D">
        <w:t>）交易确认</w:t>
      </w:r>
    </w:p>
    <w:p w:rsidR="00B62068" w:rsidRPr="0096388D" w:rsidRDefault="00B62068" w:rsidP="00B62068">
      <w:pPr>
        <w:spacing w:line="360" w:lineRule="auto"/>
        <w:ind w:firstLineChars="200" w:firstLine="480"/>
      </w:pPr>
      <w:r w:rsidRPr="0096388D">
        <w:t>每月实际扣款日即为基金申购申请日，并以该日（T日）的基金份额资产净值为基准计算申购份额，申购份额将在T+1工作日确认成功后直接计入投资者的基金账户内。基金份额确认查询起始日为T+2工作日。</w:t>
      </w:r>
    </w:p>
    <w:p w:rsidR="00B62068" w:rsidRPr="0096388D" w:rsidRDefault="00B62068" w:rsidP="00B62068">
      <w:pPr>
        <w:spacing w:line="360" w:lineRule="auto"/>
        <w:ind w:firstLineChars="200" w:firstLine="480"/>
      </w:pPr>
      <w:r w:rsidRPr="0096388D">
        <w:t>（</w:t>
      </w:r>
      <w:r w:rsidRPr="0096388D">
        <w:rPr>
          <w:rFonts w:hint="eastAsia"/>
        </w:rPr>
        <w:t>八</w:t>
      </w:r>
      <w:r w:rsidRPr="0096388D">
        <w:t>）已申购份额的赎回及赎回费率</w:t>
      </w:r>
    </w:p>
    <w:p w:rsidR="00B62068" w:rsidRPr="0096388D" w:rsidRDefault="00B62068" w:rsidP="00B62068">
      <w:pPr>
        <w:spacing w:line="360" w:lineRule="auto"/>
        <w:ind w:firstLineChars="200" w:firstLine="480"/>
      </w:pPr>
      <w:r w:rsidRPr="0096388D">
        <w:t>投资者办理基金定期定额申购业务后，可以</w:t>
      </w:r>
      <w:r w:rsidRPr="0096388D">
        <w:rPr>
          <w:rFonts w:hint="eastAsia"/>
        </w:rPr>
        <w:t>自</w:t>
      </w:r>
      <w:r w:rsidRPr="0096388D">
        <w:t>T+2日</w:t>
      </w:r>
      <w:r w:rsidRPr="0096388D">
        <w:rPr>
          <w:rFonts w:hint="eastAsia"/>
        </w:rPr>
        <w:t>起（T为申购申请日）</w:t>
      </w:r>
      <w:r w:rsidRPr="0096388D">
        <w:t>随时办理基金的赎回。如无另行公告，定期定额投资业务已申购份额的赎回及赎回费率等同于正常的赎回业务。</w:t>
      </w:r>
    </w:p>
    <w:p w:rsidR="00B62068" w:rsidRPr="0096388D" w:rsidRDefault="00B62068" w:rsidP="00B62068">
      <w:pPr>
        <w:spacing w:line="360" w:lineRule="auto"/>
        <w:ind w:firstLineChars="200" w:firstLine="480"/>
      </w:pPr>
      <w:r w:rsidRPr="0096388D">
        <w:t>（</w:t>
      </w:r>
      <w:r w:rsidRPr="0096388D">
        <w:rPr>
          <w:rFonts w:hint="eastAsia"/>
        </w:rPr>
        <w:t>九</w:t>
      </w:r>
      <w:r w:rsidRPr="0096388D">
        <w:t>）变更及终止</w:t>
      </w:r>
    </w:p>
    <w:p w:rsidR="00B62068" w:rsidRDefault="00B62068" w:rsidP="00B62068">
      <w:pPr>
        <w:spacing w:line="360" w:lineRule="auto"/>
        <w:ind w:firstLineChars="200" w:firstLine="480"/>
      </w:pPr>
      <w:r w:rsidRPr="0096388D">
        <w:t>投资者</w:t>
      </w:r>
      <w:r w:rsidRPr="0096388D">
        <w:rPr>
          <w:rFonts w:hint="eastAsia"/>
        </w:rPr>
        <w:t>通过</w:t>
      </w:r>
      <w:r w:rsidRPr="0096388D">
        <w:t>变更及终止</w:t>
      </w:r>
      <w:r>
        <w:rPr>
          <w:rFonts w:hint="eastAsia"/>
        </w:rPr>
        <w:t>定期定额投资的</w:t>
      </w:r>
      <w:r w:rsidRPr="0096388D">
        <w:t>程序遵循</w:t>
      </w:r>
      <w:r w:rsidR="00F61FBC">
        <w:rPr>
          <w:rFonts w:hint="eastAsia"/>
        </w:rPr>
        <w:t>东方财富</w:t>
      </w:r>
      <w:r>
        <w:rPr>
          <w:rFonts w:hint="eastAsia"/>
        </w:rPr>
        <w:t>证券</w:t>
      </w:r>
      <w:r w:rsidRPr="0096388D">
        <w:t>的有关规定。</w:t>
      </w:r>
    </w:p>
    <w:p w:rsidR="00581478" w:rsidRPr="006B161A" w:rsidRDefault="009F3DC0" w:rsidP="006B161A">
      <w:pPr>
        <w:pStyle w:val="a8"/>
        <w:numPr>
          <w:ilvl w:val="0"/>
          <w:numId w:val="1"/>
        </w:numPr>
        <w:spacing w:line="360" w:lineRule="auto"/>
        <w:ind w:firstLineChars="0"/>
      </w:pPr>
      <w:r w:rsidRPr="006B161A">
        <w:rPr>
          <w:rFonts w:hint="eastAsia"/>
        </w:rPr>
        <w:t>投资者可通过以下途径了解或咨询相关情况</w:t>
      </w:r>
    </w:p>
    <w:p w:rsidR="00581478" w:rsidRPr="00F61FBC" w:rsidRDefault="00F61FBC" w:rsidP="00581478">
      <w:pPr>
        <w:spacing w:line="360" w:lineRule="auto"/>
        <w:ind w:firstLineChars="200" w:firstLine="480"/>
        <w:rPr>
          <w:rFonts w:ascii="PingFangSC-Regular" w:hAnsi="PingFangSC-Regular" w:hint="eastAsia"/>
        </w:rPr>
      </w:pPr>
      <w:r>
        <w:rPr>
          <w:rFonts w:ascii="PingFangSC-Regular" w:hAnsi="PingFangSC-Regular" w:hint="eastAsia"/>
        </w:rPr>
        <w:t>1</w:t>
      </w:r>
      <w:r w:rsidR="00581478" w:rsidRPr="00581478">
        <w:rPr>
          <w:rFonts w:ascii="PingFangSC-Regular" w:hAnsi="PingFangSC-Regular" w:hint="eastAsia"/>
        </w:rPr>
        <w:t>、</w:t>
      </w:r>
      <w:r>
        <w:rPr>
          <w:rFonts w:hint="eastAsia"/>
        </w:rPr>
        <w:t>东方财富证券股份有限公司</w:t>
      </w:r>
    </w:p>
    <w:p w:rsidR="00581478" w:rsidRDefault="00581478" w:rsidP="00581478">
      <w:pPr>
        <w:spacing w:line="360" w:lineRule="auto"/>
        <w:ind w:firstLineChars="200" w:firstLine="480"/>
        <w:rPr>
          <w:rFonts w:ascii="PingFangSC-Regular" w:hAnsi="PingFangSC-Regular" w:hint="eastAsia"/>
        </w:rPr>
      </w:pPr>
      <w:r>
        <w:rPr>
          <w:rFonts w:ascii="PingFangSC-Regular" w:hAnsi="PingFangSC-Regular" w:hint="eastAsia"/>
        </w:rPr>
        <w:tab/>
      </w:r>
      <w:r w:rsidR="00F61FBC">
        <w:rPr>
          <w:rFonts w:ascii="PingFangSC-Regular" w:hAnsi="PingFangSC-Regular" w:hint="eastAsia"/>
        </w:rPr>
        <w:t>官方网站</w:t>
      </w:r>
      <w:r w:rsidRPr="00581478">
        <w:rPr>
          <w:rFonts w:ascii="PingFangSC-Regular" w:hAnsi="PingFangSC-Regular" w:hint="eastAsia"/>
        </w:rPr>
        <w:t>：</w:t>
      </w:r>
      <w:r w:rsidR="00F61FBC" w:rsidRPr="00F61FBC">
        <w:t>www.18.cn</w:t>
      </w:r>
      <w:r w:rsidR="00F61FBC" w:rsidRPr="00F61FBC">
        <w:cr/>
      </w:r>
      <w:r w:rsidR="00F61FBC">
        <w:tab/>
      </w:r>
      <w:r>
        <w:rPr>
          <w:rFonts w:ascii="PingFangSC-Regular" w:hAnsi="PingFangSC-Regular" w:hint="eastAsia"/>
        </w:rPr>
        <w:tab/>
      </w:r>
      <w:r w:rsidRPr="00581478">
        <w:rPr>
          <w:rFonts w:ascii="PingFangSC-Regular" w:hAnsi="PingFangSC-Regular" w:hint="eastAsia"/>
        </w:rPr>
        <w:t>客服电话：</w:t>
      </w:r>
      <w:r w:rsidR="00F61FBC">
        <w:rPr>
          <w:rFonts w:ascii="PingFangSC-Regular" w:hAnsi="PingFangSC-Regular"/>
        </w:rPr>
        <w:t>95357</w:t>
      </w:r>
    </w:p>
    <w:p w:rsidR="00CD6CAB" w:rsidRPr="00CD6CAB" w:rsidRDefault="00F61FBC" w:rsidP="00581478">
      <w:pPr>
        <w:spacing w:line="360" w:lineRule="auto"/>
        <w:ind w:firstLineChars="200" w:firstLine="480"/>
        <w:rPr>
          <w:rFonts w:ascii="PingFangSC-Regular" w:hAnsi="PingFangSC-Regular" w:hint="eastAsia"/>
        </w:rPr>
      </w:pPr>
      <w:r>
        <w:rPr>
          <w:rFonts w:ascii="PingFangSC-Regular" w:hAnsi="PingFangSC-Regular"/>
        </w:rPr>
        <w:t>2</w:t>
      </w:r>
      <w:r w:rsidR="00CD6CAB">
        <w:rPr>
          <w:rFonts w:ascii="PingFangSC-Regular" w:hAnsi="PingFangSC-Regular" w:hint="eastAsia"/>
        </w:rPr>
        <w:t>、</w:t>
      </w:r>
      <w:r w:rsidR="00CD6CAB" w:rsidRPr="00CD6CAB">
        <w:rPr>
          <w:rFonts w:ascii="PingFangSC-Regular" w:hAnsi="PingFangSC-Regular" w:hint="eastAsia"/>
        </w:rPr>
        <w:t>申万菱信基金管理有限公司</w:t>
      </w:r>
    </w:p>
    <w:p w:rsidR="00CD6CAB" w:rsidRPr="00CD6CAB" w:rsidRDefault="00581478" w:rsidP="00581478">
      <w:pPr>
        <w:spacing w:line="360" w:lineRule="auto"/>
        <w:ind w:firstLineChars="200" w:firstLine="480"/>
        <w:rPr>
          <w:rFonts w:ascii="PingFangSC-Regular" w:hAnsi="PingFangSC-Regular" w:hint="eastAsia"/>
        </w:rPr>
      </w:pPr>
      <w:r>
        <w:rPr>
          <w:rFonts w:ascii="PingFangSC-Regular" w:hAnsi="PingFangSC-Regular" w:hint="eastAsia"/>
        </w:rPr>
        <w:tab/>
      </w:r>
      <w:r w:rsidR="00F61FBC">
        <w:rPr>
          <w:rFonts w:ascii="PingFangSC-Regular" w:hAnsi="PingFangSC-Regular" w:hint="eastAsia"/>
        </w:rPr>
        <w:t>官方网站</w:t>
      </w:r>
      <w:r w:rsidR="00CD6CAB" w:rsidRPr="00CD6CAB">
        <w:rPr>
          <w:rFonts w:ascii="PingFangSC-Regular" w:hAnsi="PingFangSC-Regular" w:hint="eastAsia"/>
        </w:rPr>
        <w:t>：</w:t>
      </w:r>
      <w:r w:rsidR="00CD6CAB" w:rsidRPr="00CD6CAB">
        <w:rPr>
          <w:rFonts w:ascii="PingFangSC-Regular" w:hAnsi="PingFangSC-Regular"/>
        </w:rPr>
        <w:t>www.swsmu.com</w:t>
      </w:r>
    </w:p>
    <w:p w:rsidR="00CD6CAB" w:rsidRDefault="00581478" w:rsidP="00581478">
      <w:pPr>
        <w:spacing w:line="360" w:lineRule="auto"/>
        <w:ind w:firstLineChars="200" w:firstLine="480"/>
        <w:rPr>
          <w:rFonts w:ascii="PingFangSC-Regular" w:hAnsi="PingFangSC-Regular" w:hint="eastAsia"/>
        </w:rPr>
      </w:pPr>
      <w:r>
        <w:rPr>
          <w:rFonts w:ascii="PingFangSC-Regular" w:hAnsi="PingFangSC-Regular" w:hint="eastAsia"/>
        </w:rPr>
        <w:tab/>
      </w:r>
      <w:r w:rsidR="00CD6CAB" w:rsidRPr="00CD6CAB">
        <w:rPr>
          <w:rFonts w:ascii="PingFangSC-Regular" w:hAnsi="PingFangSC-Regular" w:hint="eastAsia"/>
        </w:rPr>
        <w:t>客服电话：</w:t>
      </w:r>
      <w:r w:rsidR="00CD6CAB" w:rsidRPr="00CD6CAB">
        <w:rPr>
          <w:rFonts w:ascii="PingFangSC-Regular" w:hAnsi="PingFangSC-Regular"/>
        </w:rPr>
        <w:t>400-880-8588</w:t>
      </w:r>
      <w:r w:rsidR="00CD6CAB" w:rsidRPr="00CD6CAB">
        <w:rPr>
          <w:rFonts w:ascii="PingFangSC-Regular" w:hAnsi="PingFangSC-Regular"/>
        </w:rPr>
        <w:t>（免长途话费）或</w:t>
      </w:r>
      <w:r w:rsidR="00CD6CAB" w:rsidRPr="00CD6CAB">
        <w:rPr>
          <w:rFonts w:ascii="PingFangSC-Regular" w:hAnsi="PingFangSC-Regular"/>
        </w:rPr>
        <w:t>021-962299</w:t>
      </w:r>
    </w:p>
    <w:p w:rsidR="006B161A" w:rsidRPr="006B161A" w:rsidRDefault="006B161A" w:rsidP="006B161A">
      <w:pPr>
        <w:pStyle w:val="a8"/>
        <w:numPr>
          <w:ilvl w:val="0"/>
          <w:numId w:val="1"/>
        </w:numPr>
        <w:spacing w:line="360" w:lineRule="auto"/>
        <w:ind w:firstLineChars="0"/>
      </w:pPr>
      <w:r w:rsidRPr="006B161A">
        <w:rPr>
          <w:rFonts w:hint="eastAsia"/>
        </w:rPr>
        <w:t>重要提示</w:t>
      </w:r>
    </w:p>
    <w:p w:rsidR="006B161A" w:rsidRPr="00E1038E" w:rsidRDefault="00B62068" w:rsidP="006B161A">
      <w:pPr>
        <w:spacing w:before="75" w:after="75" w:line="360" w:lineRule="auto"/>
        <w:ind w:firstLineChars="200" w:firstLine="480"/>
      </w:pPr>
      <w:r>
        <w:rPr>
          <w:rFonts w:hint="eastAsia"/>
        </w:rPr>
        <w:t>1</w:t>
      </w:r>
      <w:r w:rsidR="006B161A" w:rsidRPr="00CB07F5">
        <w:rPr>
          <w:rFonts w:hint="eastAsia"/>
        </w:rPr>
        <w:t>、</w:t>
      </w:r>
      <w:r w:rsidR="006B161A">
        <w:rPr>
          <w:rFonts w:hint="eastAsia"/>
        </w:rPr>
        <w:t>投资者</w:t>
      </w:r>
      <w:r w:rsidR="006B161A" w:rsidRPr="005673CD">
        <w:rPr>
          <w:rFonts w:hint="eastAsia"/>
        </w:rPr>
        <w:t>应当充分了解基金定期定额投资和零存整取等储蓄方式的区别。定期定额投资是引导投资人进行长期投资、平均投资成本的一种简单易行的投资</w:t>
      </w:r>
      <w:r w:rsidR="006B161A" w:rsidRPr="005673CD">
        <w:rPr>
          <w:rFonts w:hint="eastAsia"/>
        </w:rPr>
        <w:lastRenderedPageBreak/>
        <w:t>方式。但是定期定额投资并不能规避基金投资所固有的风险，不能保</w:t>
      </w:r>
      <w:r w:rsidR="006B161A">
        <w:rPr>
          <w:rFonts w:hint="eastAsia"/>
        </w:rPr>
        <w:t>证投资者</w:t>
      </w:r>
      <w:r w:rsidR="006B161A" w:rsidRPr="005673CD">
        <w:rPr>
          <w:rFonts w:hint="eastAsia"/>
        </w:rPr>
        <w:t>获得收益，也不是替代储蓄的等效理财方式</w:t>
      </w:r>
      <w:r w:rsidR="006B161A" w:rsidRPr="004377A4">
        <w:rPr>
          <w:rFonts w:hint="eastAsia"/>
        </w:rPr>
        <w:t>。</w:t>
      </w:r>
    </w:p>
    <w:p w:rsidR="006B161A" w:rsidRPr="00E1038E" w:rsidRDefault="00B62068" w:rsidP="006B161A">
      <w:pPr>
        <w:spacing w:before="75" w:after="75" w:line="360" w:lineRule="auto"/>
        <w:ind w:firstLineChars="200" w:firstLine="480"/>
      </w:pPr>
      <w:r>
        <w:t>2</w:t>
      </w:r>
      <w:r w:rsidR="006B161A" w:rsidRPr="00E1038E">
        <w:rPr>
          <w:rFonts w:hint="eastAsia"/>
        </w:rPr>
        <w:t>、</w:t>
      </w:r>
      <w:r w:rsidR="006B161A">
        <w:t>投资者应认真阅读拟投资基金的基金合同、招募说明书</w:t>
      </w:r>
      <w:r w:rsidR="006B161A" w:rsidRPr="00CC6CB6">
        <w:t>等法律文件，了解所投资基金的风险收益特征，并根据自身情况购买与本人风险承受能力相匹配的产品。</w:t>
      </w:r>
    </w:p>
    <w:p w:rsidR="006B161A" w:rsidRDefault="00441915" w:rsidP="006B161A">
      <w:pPr>
        <w:spacing w:before="75" w:after="75" w:line="360" w:lineRule="auto"/>
        <w:ind w:firstLineChars="200" w:firstLine="480"/>
      </w:pPr>
      <w:r>
        <w:t>3</w:t>
      </w:r>
      <w:r w:rsidR="006B161A" w:rsidRPr="00E1038E">
        <w:rPr>
          <w:rFonts w:hint="eastAsia"/>
        </w:rPr>
        <w:t>、</w:t>
      </w:r>
      <w:r w:rsidR="00F61FBC">
        <w:rPr>
          <w:rFonts w:hint="eastAsia"/>
        </w:rPr>
        <w:t>本公告仅对本次开通基金</w:t>
      </w:r>
      <w:r>
        <w:rPr>
          <w:rFonts w:hint="eastAsia"/>
        </w:rPr>
        <w:t>定期定额投资</w:t>
      </w:r>
      <w:r w:rsidR="00F61FBC">
        <w:rPr>
          <w:rFonts w:hint="eastAsia"/>
        </w:rPr>
        <w:t>业务事项予以说明，</w:t>
      </w:r>
      <w:r>
        <w:rPr>
          <w:rFonts w:hint="eastAsia"/>
        </w:rPr>
        <w:t>投资者欲了解详情，</w:t>
      </w:r>
      <w:r w:rsidR="006B161A" w:rsidRPr="00E1038E">
        <w:t>敬请留意</w:t>
      </w:r>
      <w:r>
        <w:rPr>
          <w:rFonts w:hint="eastAsia"/>
        </w:rPr>
        <w:t>东方财富</w:t>
      </w:r>
      <w:r w:rsidR="006B161A">
        <w:rPr>
          <w:rFonts w:hint="eastAsia"/>
        </w:rPr>
        <w:t>证券的</w:t>
      </w:r>
      <w:r w:rsidR="006B161A" w:rsidRPr="00E1038E">
        <w:rPr>
          <w:rFonts w:hint="eastAsia"/>
        </w:rPr>
        <w:t>最新公告</w:t>
      </w:r>
      <w:r w:rsidR="006B161A" w:rsidRPr="00E1038E">
        <w:t>。</w:t>
      </w:r>
    </w:p>
    <w:p w:rsidR="006B161A" w:rsidRPr="006B161A" w:rsidRDefault="006B161A" w:rsidP="00581478">
      <w:pPr>
        <w:spacing w:line="360" w:lineRule="auto"/>
        <w:ind w:firstLineChars="200" w:firstLine="480"/>
        <w:rPr>
          <w:rFonts w:ascii="PingFangSC-Regular" w:hAnsi="PingFangSC-Regular" w:hint="eastAsia"/>
        </w:rPr>
      </w:pPr>
    </w:p>
    <w:p w:rsidR="00CD6CAB" w:rsidRDefault="00581478" w:rsidP="001C501A">
      <w:pPr>
        <w:spacing w:line="360" w:lineRule="auto"/>
        <w:ind w:firstLineChars="200" w:firstLine="480"/>
      </w:pPr>
      <w:r>
        <w:rPr>
          <w:rFonts w:hint="eastAsia"/>
        </w:rPr>
        <w:t>欢迎广大投资者垂询、惠顾办理本公司旗下各基金的开户、申购、定期定额投资、转换等相关业务。</w:t>
      </w:r>
    </w:p>
    <w:p w:rsidR="00441915" w:rsidRPr="001C501A" w:rsidRDefault="00441915" w:rsidP="001C501A">
      <w:pPr>
        <w:spacing w:line="360" w:lineRule="auto"/>
        <w:ind w:firstLineChars="200" w:firstLine="480"/>
      </w:pPr>
    </w:p>
    <w:p w:rsidR="009F3DC0" w:rsidRDefault="009F3DC0" w:rsidP="00E43462">
      <w:pPr>
        <w:spacing w:line="360" w:lineRule="auto"/>
        <w:ind w:firstLineChars="200" w:firstLine="480"/>
      </w:pPr>
      <w:r w:rsidRPr="00E43462">
        <w:rPr>
          <w:rFonts w:hint="eastAsia"/>
        </w:rPr>
        <w:t>风险提示：本公司承诺以诚实信用、勤勉尽责的原则管理和运用基金资产，但不保证基金一定盈利，也不保证最低收益。敬请投资人注意投资风险。</w:t>
      </w:r>
    </w:p>
    <w:p w:rsidR="00B30F95" w:rsidRDefault="00B30F95" w:rsidP="00E43462">
      <w:pPr>
        <w:spacing w:line="360" w:lineRule="auto"/>
        <w:ind w:firstLineChars="200" w:firstLine="480"/>
      </w:pPr>
    </w:p>
    <w:p w:rsidR="009F3DC0" w:rsidRPr="00B036B3" w:rsidRDefault="009F3DC0" w:rsidP="00E43462">
      <w:pPr>
        <w:spacing w:line="360" w:lineRule="auto"/>
        <w:ind w:firstLineChars="200" w:firstLine="480"/>
      </w:pPr>
      <w:r w:rsidRPr="00E43462">
        <w:rPr>
          <w:rFonts w:hint="eastAsia"/>
        </w:rPr>
        <w:t>特此公告。</w:t>
      </w:r>
    </w:p>
    <w:p w:rsidR="009F3DC0" w:rsidRPr="00B036B3" w:rsidRDefault="0065769E" w:rsidP="00751FA0">
      <w:pPr>
        <w:spacing w:line="360" w:lineRule="auto"/>
        <w:ind w:firstLineChars="200" w:firstLine="480"/>
        <w:jc w:val="right"/>
      </w:pPr>
      <w:r w:rsidRPr="00B036B3">
        <w:rPr>
          <w:rFonts w:hint="eastAsia"/>
        </w:rPr>
        <w:t>申万菱信</w:t>
      </w:r>
      <w:r w:rsidR="009F3DC0" w:rsidRPr="00B036B3">
        <w:rPr>
          <w:rFonts w:hint="eastAsia"/>
        </w:rPr>
        <w:t>基金管理有限公司</w:t>
      </w:r>
    </w:p>
    <w:p w:rsidR="004C27A9" w:rsidRPr="00B036B3" w:rsidRDefault="0068519E" w:rsidP="00751FA0">
      <w:pPr>
        <w:spacing w:line="360" w:lineRule="auto"/>
        <w:ind w:firstLineChars="200" w:firstLine="480"/>
        <w:jc w:val="right"/>
      </w:pPr>
      <w:r w:rsidRPr="00B036B3">
        <w:rPr>
          <w:rFonts w:hint="eastAsia"/>
        </w:rPr>
        <w:t>20</w:t>
      </w:r>
      <w:r w:rsidR="00960309" w:rsidRPr="00B036B3">
        <w:rPr>
          <w:rFonts w:hint="eastAsia"/>
        </w:rPr>
        <w:t>2</w:t>
      </w:r>
      <w:r w:rsidR="00F61FBC">
        <w:t>1</w:t>
      </w:r>
      <w:r w:rsidRPr="00B036B3">
        <w:rPr>
          <w:rFonts w:hint="eastAsia"/>
        </w:rPr>
        <w:t>年</w:t>
      </w:r>
      <w:r w:rsidR="00F61FBC">
        <w:t>3</w:t>
      </w:r>
      <w:r w:rsidRPr="00B036B3">
        <w:rPr>
          <w:rFonts w:hint="eastAsia"/>
        </w:rPr>
        <w:t>月</w:t>
      </w:r>
      <w:r w:rsidR="00F61FBC">
        <w:t>17</w:t>
      </w:r>
      <w:r w:rsidR="009F3DC0" w:rsidRPr="00B036B3">
        <w:rPr>
          <w:rFonts w:hint="eastAsia"/>
        </w:rPr>
        <w:t>日</w:t>
      </w:r>
    </w:p>
    <w:sectPr w:rsidR="004C27A9" w:rsidRPr="00B036B3" w:rsidSect="004C27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11" w:rsidRDefault="000D5111" w:rsidP="00E81DB9">
      <w:r>
        <w:separator/>
      </w:r>
    </w:p>
  </w:endnote>
  <w:endnote w:type="continuationSeparator" w:id="0">
    <w:p w:rsidR="000D5111" w:rsidRDefault="000D5111" w:rsidP="00E81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PingFangSC-Regula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11" w:rsidRDefault="000D5111" w:rsidP="00E81DB9">
      <w:r>
        <w:separator/>
      </w:r>
    </w:p>
  </w:footnote>
  <w:footnote w:type="continuationSeparator" w:id="0">
    <w:p w:rsidR="000D5111" w:rsidRDefault="000D5111" w:rsidP="00E81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5E36"/>
    <w:multiLevelType w:val="hybridMultilevel"/>
    <w:tmpl w:val="F1CA961E"/>
    <w:lvl w:ilvl="0" w:tplc="E410F3D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13128C"/>
    <w:multiLevelType w:val="hybridMultilevel"/>
    <w:tmpl w:val="F1CA961E"/>
    <w:lvl w:ilvl="0" w:tplc="E410F3DC">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3DC0"/>
    <w:rsid w:val="00004510"/>
    <w:rsid w:val="00005225"/>
    <w:rsid w:val="00065105"/>
    <w:rsid w:val="000703C9"/>
    <w:rsid w:val="00080693"/>
    <w:rsid w:val="00095DA1"/>
    <w:rsid w:val="000B19F2"/>
    <w:rsid w:val="000D5111"/>
    <w:rsid w:val="00114D68"/>
    <w:rsid w:val="00122C3B"/>
    <w:rsid w:val="00133DA1"/>
    <w:rsid w:val="00171006"/>
    <w:rsid w:val="001A288B"/>
    <w:rsid w:val="001B101E"/>
    <w:rsid w:val="001C501A"/>
    <w:rsid w:val="001F48D6"/>
    <w:rsid w:val="001F6CC6"/>
    <w:rsid w:val="00206F3B"/>
    <w:rsid w:val="002104BB"/>
    <w:rsid w:val="00223457"/>
    <w:rsid w:val="00247980"/>
    <w:rsid w:val="0026465D"/>
    <w:rsid w:val="00270EA7"/>
    <w:rsid w:val="002817E2"/>
    <w:rsid w:val="00283244"/>
    <w:rsid w:val="00295BAC"/>
    <w:rsid w:val="002A21A2"/>
    <w:rsid w:val="002C4E9D"/>
    <w:rsid w:val="002D1C7C"/>
    <w:rsid w:val="002D3C7E"/>
    <w:rsid w:val="002F5C79"/>
    <w:rsid w:val="00302AB7"/>
    <w:rsid w:val="0030379F"/>
    <w:rsid w:val="00330B69"/>
    <w:rsid w:val="003407FF"/>
    <w:rsid w:val="00350FBB"/>
    <w:rsid w:val="00351910"/>
    <w:rsid w:val="00363A59"/>
    <w:rsid w:val="00371EA9"/>
    <w:rsid w:val="003734BE"/>
    <w:rsid w:val="00380735"/>
    <w:rsid w:val="00394712"/>
    <w:rsid w:val="003C1FEB"/>
    <w:rsid w:val="003D1E2F"/>
    <w:rsid w:val="003E1BD8"/>
    <w:rsid w:val="003E3BD0"/>
    <w:rsid w:val="003E5DAF"/>
    <w:rsid w:val="00411CB4"/>
    <w:rsid w:val="0042033D"/>
    <w:rsid w:val="0043369C"/>
    <w:rsid w:val="00441915"/>
    <w:rsid w:val="00471564"/>
    <w:rsid w:val="00492463"/>
    <w:rsid w:val="00493EEB"/>
    <w:rsid w:val="004962EC"/>
    <w:rsid w:val="004A5E17"/>
    <w:rsid w:val="004C27A9"/>
    <w:rsid w:val="004C5893"/>
    <w:rsid w:val="004E19C0"/>
    <w:rsid w:val="004E261F"/>
    <w:rsid w:val="004F7D7C"/>
    <w:rsid w:val="00514AC5"/>
    <w:rsid w:val="00523617"/>
    <w:rsid w:val="00536567"/>
    <w:rsid w:val="005561F1"/>
    <w:rsid w:val="0057104E"/>
    <w:rsid w:val="00581478"/>
    <w:rsid w:val="00592160"/>
    <w:rsid w:val="00597C5D"/>
    <w:rsid w:val="005C6E82"/>
    <w:rsid w:val="005D40EE"/>
    <w:rsid w:val="005F239D"/>
    <w:rsid w:val="0063012E"/>
    <w:rsid w:val="006400D7"/>
    <w:rsid w:val="00643483"/>
    <w:rsid w:val="006544B4"/>
    <w:rsid w:val="00655070"/>
    <w:rsid w:val="0065769E"/>
    <w:rsid w:val="00662AB2"/>
    <w:rsid w:val="00675A21"/>
    <w:rsid w:val="0067697A"/>
    <w:rsid w:val="0068519E"/>
    <w:rsid w:val="00690D5D"/>
    <w:rsid w:val="00694D89"/>
    <w:rsid w:val="006A13FC"/>
    <w:rsid w:val="006B053B"/>
    <w:rsid w:val="006B161A"/>
    <w:rsid w:val="006C6812"/>
    <w:rsid w:val="006D0D27"/>
    <w:rsid w:val="006D15F6"/>
    <w:rsid w:val="006D79E1"/>
    <w:rsid w:val="006E6952"/>
    <w:rsid w:val="00707C68"/>
    <w:rsid w:val="00711FCC"/>
    <w:rsid w:val="007129AE"/>
    <w:rsid w:val="00716E1A"/>
    <w:rsid w:val="007279FC"/>
    <w:rsid w:val="00742BFC"/>
    <w:rsid w:val="00750C48"/>
    <w:rsid w:val="00751FA0"/>
    <w:rsid w:val="00756673"/>
    <w:rsid w:val="00760286"/>
    <w:rsid w:val="00780867"/>
    <w:rsid w:val="007858B8"/>
    <w:rsid w:val="0078664C"/>
    <w:rsid w:val="007875E6"/>
    <w:rsid w:val="0079332F"/>
    <w:rsid w:val="007A15F5"/>
    <w:rsid w:val="007A3E23"/>
    <w:rsid w:val="0080266E"/>
    <w:rsid w:val="00821A8B"/>
    <w:rsid w:val="00823F2E"/>
    <w:rsid w:val="008466E7"/>
    <w:rsid w:val="0086027E"/>
    <w:rsid w:val="00864F62"/>
    <w:rsid w:val="00873E78"/>
    <w:rsid w:val="00892617"/>
    <w:rsid w:val="0089750E"/>
    <w:rsid w:val="008A786C"/>
    <w:rsid w:val="008B1040"/>
    <w:rsid w:val="008B1A78"/>
    <w:rsid w:val="008C09DA"/>
    <w:rsid w:val="008C1D7A"/>
    <w:rsid w:val="008F4F67"/>
    <w:rsid w:val="008F6D87"/>
    <w:rsid w:val="009029A6"/>
    <w:rsid w:val="00913294"/>
    <w:rsid w:val="00917A6E"/>
    <w:rsid w:val="00920C1C"/>
    <w:rsid w:val="0093367B"/>
    <w:rsid w:val="009536B7"/>
    <w:rsid w:val="00960309"/>
    <w:rsid w:val="00967147"/>
    <w:rsid w:val="00980D87"/>
    <w:rsid w:val="009938C0"/>
    <w:rsid w:val="00996160"/>
    <w:rsid w:val="009A4B8B"/>
    <w:rsid w:val="009F3DC0"/>
    <w:rsid w:val="00A11BFA"/>
    <w:rsid w:val="00A1267B"/>
    <w:rsid w:val="00A2695D"/>
    <w:rsid w:val="00AA599E"/>
    <w:rsid w:val="00AC7C09"/>
    <w:rsid w:val="00AF0CD3"/>
    <w:rsid w:val="00AF7D64"/>
    <w:rsid w:val="00B00A39"/>
    <w:rsid w:val="00B036B3"/>
    <w:rsid w:val="00B178C7"/>
    <w:rsid w:val="00B20995"/>
    <w:rsid w:val="00B24A4F"/>
    <w:rsid w:val="00B24F1F"/>
    <w:rsid w:val="00B30F95"/>
    <w:rsid w:val="00B3405D"/>
    <w:rsid w:val="00B4284B"/>
    <w:rsid w:val="00B435C1"/>
    <w:rsid w:val="00B51947"/>
    <w:rsid w:val="00B62068"/>
    <w:rsid w:val="00B85467"/>
    <w:rsid w:val="00BB2A68"/>
    <w:rsid w:val="00BC5387"/>
    <w:rsid w:val="00BC5B46"/>
    <w:rsid w:val="00BC705A"/>
    <w:rsid w:val="00BD0C95"/>
    <w:rsid w:val="00BE6315"/>
    <w:rsid w:val="00BF46E9"/>
    <w:rsid w:val="00C44689"/>
    <w:rsid w:val="00C44D66"/>
    <w:rsid w:val="00C521C6"/>
    <w:rsid w:val="00CD6CAB"/>
    <w:rsid w:val="00D01AF1"/>
    <w:rsid w:val="00D36657"/>
    <w:rsid w:val="00D36BA9"/>
    <w:rsid w:val="00D432C7"/>
    <w:rsid w:val="00D46192"/>
    <w:rsid w:val="00D5134F"/>
    <w:rsid w:val="00D7577D"/>
    <w:rsid w:val="00D86B03"/>
    <w:rsid w:val="00D874AF"/>
    <w:rsid w:val="00D925D0"/>
    <w:rsid w:val="00D94D21"/>
    <w:rsid w:val="00D95371"/>
    <w:rsid w:val="00D95E56"/>
    <w:rsid w:val="00DA1342"/>
    <w:rsid w:val="00DF527A"/>
    <w:rsid w:val="00DF57E1"/>
    <w:rsid w:val="00DF62BF"/>
    <w:rsid w:val="00E00C53"/>
    <w:rsid w:val="00E16844"/>
    <w:rsid w:val="00E279DD"/>
    <w:rsid w:val="00E402B6"/>
    <w:rsid w:val="00E43462"/>
    <w:rsid w:val="00E47115"/>
    <w:rsid w:val="00E47C14"/>
    <w:rsid w:val="00E50F8E"/>
    <w:rsid w:val="00E6482F"/>
    <w:rsid w:val="00E66DA3"/>
    <w:rsid w:val="00E70281"/>
    <w:rsid w:val="00E81DB9"/>
    <w:rsid w:val="00E916B2"/>
    <w:rsid w:val="00E92FA7"/>
    <w:rsid w:val="00EB7DBD"/>
    <w:rsid w:val="00ED59DD"/>
    <w:rsid w:val="00EF08FE"/>
    <w:rsid w:val="00EF7006"/>
    <w:rsid w:val="00F03C8C"/>
    <w:rsid w:val="00F06388"/>
    <w:rsid w:val="00F13AC3"/>
    <w:rsid w:val="00F23169"/>
    <w:rsid w:val="00F41965"/>
    <w:rsid w:val="00F61FBC"/>
    <w:rsid w:val="00F77964"/>
    <w:rsid w:val="00F8638F"/>
    <w:rsid w:val="00F97E02"/>
    <w:rsid w:val="00FB09DA"/>
    <w:rsid w:val="00FB662B"/>
    <w:rsid w:val="00FC3CBC"/>
    <w:rsid w:val="00FC4F9A"/>
    <w:rsid w:val="00FE3F5C"/>
    <w:rsid w:val="00FF7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DC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DC0"/>
    <w:rPr>
      <w:color w:val="0000FF"/>
      <w:u w:val="single"/>
    </w:rPr>
  </w:style>
  <w:style w:type="paragraph" w:styleId="a4">
    <w:name w:val="Normal (Web)"/>
    <w:basedOn w:val="a"/>
    <w:uiPriority w:val="99"/>
    <w:semiHidden/>
    <w:unhideWhenUsed/>
    <w:rsid w:val="009F3DC0"/>
    <w:pPr>
      <w:spacing w:before="100" w:beforeAutospacing="1" w:after="100" w:afterAutospacing="1"/>
    </w:pPr>
  </w:style>
  <w:style w:type="paragraph" w:styleId="a5">
    <w:name w:val="header"/>
    <w:basedOn w:val="a"/>
    <w:link w:val="Char"/>
    <w:uiPriority w:val="99"/>
    <w:unhideWhenUsed/>
    <w:rsid w:val="00E81D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1DB9"/>
    <w:rPr>
      <w:rFonts w:ascii="宋体" w:eastAsia="宋体" w:hAnsi="宋体" w:cs="宋体"/>
      <w:kern w:val="0"/>
      <w:sz w:val="18"/>
      <w:szCs w:val="18"/>
    </w:rPr>
  </w:style>
  <w:style w:type="paragraph" w:styleId="a6">
    <w:name w:val="footer"/>
    <w:basedOn w:val="a"/>
    <w:link w:val="Char0"/>
    <w:uiPriority w:val="99"/>
    <w:unhideWhenUsed/>
    <w:rsid w:val="00E81DB9"/>
    <w:pPr>
      <w:tabs>
        <w:tab w:val="center" w:pos="4153"/>
        <w:tab w:val="right" w:pos="8306"/>
      </w:tabs>
      <w:snapToGrid w:val="0"/>
    </w:pPr>
    <w:rPr>
      <w:sz w:val="18"/>
      <w:szCs w:val="18"/>
    </w:rPr>
  </w:style>
  <w:style w:type="character" w:customStyle="1" w:styleId="Char0">
    <w:name w:val="页脚 Char"/>
    <w:basedOn w:val="a0"/>
    <w:link w:val="a6"/>
    <w:uiPriority w:val="99"/>
    <w:rsid w:val="00E81DB9"/>
    <w:rPr>
      <w:rFonts w:ascii="宋体" w:eastAsia="宋体" w:hAnsi="宋体" w:cs="宋体"/>
      <w:kern w:val="0"/>
      <w:sz w:val="18"/>
      <w:szCs w:val="18"/>
    </w:rPr>
  </w:style>
  <w:style w:type="paragraph" w:styleId="a7">
    <w:name w:val="Balloon Text"/>
    <w:basedOn w:val="a"/>
    <w:link w:val="Char1"/>
    <w:uiPriority w:val="99"/>
    <w:semiHidden/>
    <w:unhideWhenUsed/>
    <w:rsid w:val="00D86B03"/>
    <w:rPr>
      <w:sz w:val="18"/>
      <w:szCs w:val="18"/>
    </w:rPr>
  </w:style>
  <w:style w:type="character" w:customStyle="1" w:styleId="Char1">
    <w:name w:val="批注框文本 Char"/>
    <w:basedOn w:val="a0"/>
    <w:link w:val="a7"/>
    <w:uiPriority w:val="99"/>
    <w:semiHidden/>
    <w:rsid w:val="00D86B03"/>
    <w:rPr>
      <w:rFonts w:ascii="宋体" w:eastAsia="宋体" w:hAnsi="宋体" w:cs="宋体"/>
      <w:kern w:val="0"/>
      <w:sz w:val="18"/>
      <w:szCs w:val="18"/>
    </w:rPr>
  </w:style>
  <w:style w:type="paragraph" w:styleId="a8">
    <w:name w:val="List Paragraph"/>
    <w:basedOn w:val="a"/>
    <w:uiPriority w:val="34"/>
    <w:qFormat/>
    <w:rsid w:val="00655070"/>
    <w:pPr>
      <w:ind w:firstLineChars="200" w:firstLine="420"/>
    </w:pPr>
  </w:style>
  <w:style w:type="character" w:customStyle="1" w:styleId="apple-converted-space">
    <w:name w:val="apple-converted-space"/>
    <w:basedOn w:val="a0"/>
    <w:rsid w:val="00D01AF1"/>
  </w:style>
  <w:style w:type="character" w:styleId="a9">
    <w:name w:val="FollowedHyperlink"/>
    <w:basedOn w:val="a0"/>
    <w:uiPriority w:val="99"/>
    <w:semiHidden/>
    <w:unhideWhenUsed/>
    <w:rsid w:val="00330B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20819">
      <w:bodyDiv w:val="1"/>
      <w:marLeft w:val="0"/>
      <w:marRight w:val="0"/>
      <w:marTop w:val="0"/>
      <w:marBottom w:val="0"/>
      <w:divBdr>
        <w:top w:val="none" w:sz="0" w:space="0" w:color="auto"/>
        <w:left w:val="none" w:sz="0" w:space="0" w:color="auto"/>
        <w:bottom w:val="none" w:sz="0" w:space="0" w:color="auto"/>
        <w:right w:val="none" w:sz="0" w:space="0" w:color="auto"/>
      </w:divBdr>
    </w:div>
    <w:div w:id="44456015">
      <w:bodyDiv w:val="1"/>
      <w:marLeft w:val="0"/>
      <w:marRight w:val="0"/>
      <w:marTop w:val="0"/>
      <w:marBottom w:val="0"/>
      <w:divBdr>
        <w:top w:val="none" w:sz="0" w:space="0" w:color="auto"/>
        <w:left w:val="none" w:sz="0" w:space="0" w:color="auto"/>
        <w:bottom w:val="none" w:sz="0" w:space="0" w:color="auto"/>
        <w:right w:val="none" w:sz="0" w:space="0" w:color="auto"/>
      </w:divBdr>
    </w:div>
    <w:div w:id="92364808">
      <w:bodyDiv w:val="1"/>
      <w:marLeft w:val="0"/>
      <w:marRight w:val="0"/>
      <w:marTop w:val="0"/>
      <w:marBottom w:val="0"/>
      <w:divBdr>
        <w:top w:val="none" w:sz="0" w:space="0" w:color="auto"/>
        <w:left w:val="none" w:sz="0" w:space="0" w:color="auto"/>
        <w:bottom w:val="none" w:sz="0" w:space="0" w:color="auto"/>
        <w:right w:val="none" w:sz="0" w:space="0" w:color="auto"/>
      </w:divBdr>
    </w:div>
    <w:div w:id="275523304">
      <w:bodyDiv w:val="1"/>
      <w:marLeft w:val="0"/>
      <w:marRight w:val="0"/>
      <w:marTop w:val="0"/>
      <w:marBottom w:val="0"/>
      <w:divBdr>
        <w:top w:val="none" w:sz="0" w:space="0" w:color="auto"/>
        <w:left w:val="none" w:sz="0" w:space="0" w:color="auto"/>
        <w:bottom w:val="none" w:sz="0" w:space="0" w:color="auto"/>
        <w:right w:val="none" w:sz="0" w:space="0" w:color="auto"/>
      </w:divBdr>
      <w:divsChild>
        <w:div w:id="364067454">
          <w:marLeft w:val="0"/>
          <w:marRight w:val="0"/>
          <w:marTop w:val="0"/>
          <w:marBottom w:val="0"/>
          <w:divBdr>
            <w:top w:val="none" w:sz="0" w:space="0" w:color="auto"/>
            <w:left w:val="none" w:sz="0" w:space="0" w:color="auto"/>
            <w:bottom w:val="none" w:sz="0" w:space="0" w:color="auto"/>
            <w:right w:val="none" w:sz="0" w:space="0" w:color="auto"/>
          </w:divBdr>
          <w:divsChild>
            <w:div w:id="5789839">
              <w:marLeft w:val="0"/>
              <w:marRight w:val="0"/>
              <w:marTop w:val="0"/>
              <w:marBottom w:val="0"/>
              <w:divBdr>
                <w:top w:val="none" w:sz="0" w:space="0" w:color="auto"/>
                <w:left w:val="none" w:sz="0" w:space="0" w:color="auto"/>
                <w:bottom w:val="none" w:sz="0" w:space="0" w:color="auto"/>
                <w:right w:val="none" w:sz="0" w:space="0" w:color="auto"/>
              </w:divBdr>
              <w:divsChild>
                <w:div w:id="1663313312">
                  <w:marLeft w:val="0"/>
                  <w:marRight w:val="0"/>
                  <w:marTop w:val="0"/>
                  <w:marBottom w:val="0"/>
                  <w:divBdr>
                    <w:top w:val="none" w:sz="0" w:space="0" w:color="auto"/>
                    <w:left w:val="none" w:sz="0" w:space="0" w:color="auto"/>
                    <w:bottom w:val="none" w:sz="0" w:space="0" w:color="auto"/>
                    <w:right w:val="none" w:sz="0" w:space="0" w:color="auto"/>
                  </w:divBdr>
                  <w:divsChild>
                    <w:div w:id="2135978435">
                      <w:marLeft w:val="0"/>
                      <w:marRight w:val="0"/>
                      <w:marTop w:val="90"/>
                      <w:marBottom w:val="0"/>
                      <w:divBdr>
                        <w:top w:val="none" w:sz="0" w:space="0" w:color="auto"/>
                        <w:left w:val="none" w:sz="0" w:space="0" w:color="auto"/>
                        <w:bottom w:val="none" w:sz="0" w:space="0" w:color="auto"/>
                        <w:right w:val="none" w:sz="0" w:space="0" w:color="auto"/>
                      </w:divBdr>
                      <w:divsChild>
                        <w:div w:id="1285045085">
                          <w:marLeft w:val="0"/>
                          <w:marRight w:val="0"/>
                          <w:marTop w:val="0"/>
                          <w:marBottom w:val="0"/>
                          <w:divBdr>
                            <w:top w:val="none" w:sz="0" w:space="0" w:color="auto"/>
                            <w:left w:val="none" w:sz="0" w:space="0" w:color="auto"/>
                            <w:bottom w:val="none" w:sz="0" w:space="0" w:color="auto"/>
                            <w:right w:val="none" w:sz="0" w:space="0" w:color="auto"/>
                          </w:divBdr>
                          <w:divsChild>
                            <w:div w:id="1888294589">
                              <w:marLeft w:val="0"/>
                              <w:marRight w:val="0"/>
                              <w:marTop w:val="0"/>
                              <w:marBottom w:val="0"/>
                              <w:divBdr>
                                <w:top w:val="none" w:sz="0" w:space="0" w:color="auto"/>
                                <w:left w:val="none" w:sz="0" w:space="0" w:color="auto"/>
                                <w:bottom w:val="none" w:sz="0" w:space="0" w:color="auto"/>
                                <w:right w:val="none" w:sz="0" w:space="0" w:color="auto"/>
                              </w:divBdr>
                              <w:divsChild>
                                <w:div w:id="101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518004">
      <w:bodyDiv w:val="1"/>
      <w:marLeft w:val="0"/>
      <w:marRight w:val="0"/>
      <w:marTop w:val="0"/>
      <w:marBottom w:val="0"/>
      <w:divBdr>
        <w:top w:val="none" w:sz="0" w:space="0" w:color="auto"/>
        <w:left w:val="none" w:sz="0" w:space="0" w:color="auto"/>
        <w:bottom w:val="none" w:sz="0" w:space="0" w:color="auto"/>
        <w:right w:val="none" w:sz="0" w:space="0" w:color="auto"/>
      </w:divBdr>
      <w:divsChild>
        <w:div w:id="1721440869">
          <w:marLeft w:val="0"/>
          <w:marRight w:val="0"/>
          <w:marTop w:val="0"/>
          <w:marBottom w:val="0"/>
          <w:divBdr>
            <w:top w:val="none" w:sz="0" w:space="0" w:color="auto"/>
            <w:left w:val="none" w:sz="0" w:space="0" w:color="auto"/>
            <w:bottom w:val="none" w:sz="0" w:space="0" w:color="auto"/>
            <w:right w:val="none" w:sz="0" w:space="0" w:color="auto"/>
          </w:divBdr>
          <w:divsChild>
            <w:div w:id="636226673">
              <w:marLeft w:val="0"/>
              <w:marRight w:val="0"/>
              <w:marTop w:val="0"/>
              <w:marBottom w:val="0"/>
              <w:divBdr>
                <w:top w:val="none" w:sz="0" w:space="0" w:color="auto"/>
                <w:left w:val="none" w:sz="0" w:space="0" w:color="auto"/>
                <w:bottom w:val="none" w:sz="0" w:space="0" w:color="auto"/>
                <w:right w:val="none" w:sz="0" w:space="0" w:color="auto"/>
              </w:divBdr>
              <w:divsChild>
                <w:div w:id="490101243">
                  <w:marLeft w:val="0"/>
                  <w:marRight w:val="0"/>
                  <w:marTop w:val="0"/>
                  <w:marBottom w:val="0"/>
                  <w:divBdr>
                    <w:top w:val="none" w:sz="0" w:space="0" w:color="auto"/>
                    <w:left w:val="none" w:sz="0" w:space="0" w:color="auto"/>
                    <w:bottom w:val="none" w:sz="0" w:space="0" w:color="auto"/>
                    <w:right w:val="none" w:sz="0" w:space="0" w:color="auto"/>
                  </w:divBdr>
                  <w:divsChild>
                    <w:div w:id="115951114">
                      <w:marLeft w:val="0"/>
                      <w:marRight w:val="0"/>
                      <w:marTop w:val="90"/>
                      <w:marBottom w:val="0"/>
                      <w:divBdr>
                        <w:top w:val="none" w:sz="0" w:space="0" w:color="auto"/>
                        <w:left w:val="none" w:sz="0" w:space="0" w:color="auto"/>
                        <w:bottom w:val="none" w:sz="0" w:space="0" w:color="auto"/>
                        <w:right w:val="none" w:sz="0" w:space="0" w:color="auto"/>
                      </w:divBdr>
                      <w:divsChild>
                        <w:div w:id="482430725">
                          <w:marLeft w:val="0"/>
                          <w:marRight w:val="0"/>
                          <w:marTop w:val="0"/>
                          <w:marBottom w:val="0"/>
                          <w:divBdr>
                            <w:top w:val="none" w:sz="0" w:space="0" w:color="auto"/>
                            <w:left w:val="none" w:sz="0" w:space="0" w:color="auto"/>
                            <w:bottom w:val="none" w:sz="0" w:space="0" w:color="auto"/>
                            <w:right w:val="none" w:sz="0" w:space="0" w:color="auto"/>
                          </w:divBdr>
                          <w:divsChild>
                            <w:div w:id="1243682878">
                              <w:marLeft w:val="0"/>
                              <w:marRight w:val="0"/>
                              <w:marTop w:val="0"/>
                              <w:marBottom w:val="0"/>
                              <w:divBdr>
                                <w:top w:val="none" w:sz="0" w:space="0" w:color="auto"/>
                                <w:left w:val="none" w:sz="0" w:space="0" w:color="auto"/>
                                <w:bottom w:val="none" w:sz="0" w:space="0" w:color="auto"/>
                                <w:right w:val="none" w:sz="0" w:space="0" w:color="auto"/>
                              </w:divBdr>
                              <w:divsChild>
                                <w:div w:id="19274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717636">
      <w:bodyDiv w:val="1"/>
      <w:marLeft w:val="0"/>
      <w:marRight w:val="0"/>
      <w:marTop w:val="0"/>
      <w:marBottom w:val="0"/>
      <w:divBdr>
        <w:top w:val="none" w:sz="0" w:space="0" w:color="auto"/>
        <w:left w:val="none" w:sz="0" w:space="0" w:color="auto"/>
        <w:bottom w:val="none" w:sz="0" w:space="0" w:color="auto"/>
        <w:right w:val="none" w:sz="0" w:space="0" w:color="auto"/>
      </w:divBdr>
    </w:div>
    <w:div w:id="1237663806">
      <w:bodyDiv w:val="1"/>
      <w:marLeft w:val="0"/>
      <w:marRight w:val="0"/>
      <w:marTop w:val="0"/>
      <w:marBottom w:val="0"/>
      <w:divBdr>
        <w:top w:val="none" w:sz="0" w:space="0" w:color="auto"/>
        <w:left w:val="none" w:sz="0" w:space="0" w:color="auto"/>
        <w:bottom w:val="none" w:sz="0" w:space="0" w:color="auto"/>
        <w:right w:val="none" w:sz="0" w:space="0" w:color="auto"/>
      </w:divBdr>
      <w:divsChild>
        <w:div w:id="1565989071">
          <w:marLeft w:val="0"/>
          <w:marRight w:val="0"/>
          <w:marTop w:val="0"/>
          <w:marBottom w:val="0"/>
          <w:divBdr>
            <w:top w:val="none" w:sz="0" w:space="0" w:color="auto"/>
            <w:left w:val="none" w:sz="0" w:space="0" w:color="auto"/>
            <w:bottom w:val="none" w:sz="0" w:space="0" w:color="auto"/>
            <w:right w:val="none" w:sz="0" w:space="0" w:color="auto"/>
          </w:divBdr>
          <w:divsChild>
            <w:div w:id="395671282">
              <w:marLeft w:val="0"/>
              <w:marRight w:val="0"/>
              <w:marTop w:val="0"/>
              <w:marBottom w:val="0"/>
              <w:divBdr>
                <w:top w:val="none" w:sz="0" w:space="0" w:color="auto"/>
                <w:left w:val="none" w:sz="0" w:space="0" w:color="auto"/>
                <w:bottom w:val="none" w:sz="0" w:space="0" w:color="auto"/>
                <w:right w:val="none" w:sz="0" w:space="0" w:color="auto"/>
              </w:divBdr>
              <w:divsChild>
                <w:div w:id="1706060057">
                  <w:marLeft w:val="0"/>
                  <w:marRight w:val="0"/>
                  <w:marTop w:val="0"/>
                  <w:marBottom w:val="0"/>
                  <w:divBdr>
                    <w:top w:val="none" w:sz="0" w:space="0" w:color="auto"/>
                    <w:left w:val="none" w:sz="0" w:space="0" w:color="auto"/>
                    <w:bottom w:val="none" w:sz="0" w:space="0" w:color="auto"/>
                    <w:right w:val="none" w:sz="0" w:space="0" w:color="auto"/>
                  </w:divBdr>
                  <w:divsChild>
                    <w:div w:id="1618877061">
                      <w:marLeft w:val="0"/>
                      <w:marRight w:val="0"/>
                      <w:marTop w:val="90"/>
                      <w:marBottom w:val="0"/>
                      <w:divBdr>
                        <w:top w:val="none" w:sz="0" w:space="0" w:color="auto"/>
                        <w:left w:val="none" w:sz="0" w:space="0" w:color="auto"/>
                        <w:bottom w:val="none" w:sz="0" w:space="0" w:color="auto"/>
                        <w:right w:val="none" w:sz="0" w:space="0" w:color="auto"/>
                      </w:divBdr>
                      <w:divsChild>
                        <w:div w:id="1712532279">
                          <w:marLeft w:val="0"/>
                          <w:marRight w:val="0"/>
                          <w:marTop w:val="0"/>
                          <w:marBottom w:val="0"/>
                          <w:divBdr>
                            <w:top w:val="none" w:sz="0" w:space="0" w:color="auto"/>
                            <w:left w:val="none" w:sz="0" w:space="0" w:color="auto"/>
                            <w:bottom w:val="none" w:sz="0" w:space="0" w:color="auto"/>
                            <w:right w:val="none" w:sz="0" w:space="0" w:color="auto"/>
                          </w:divBdr>
                          <w:divsChild>
                            <w:div w:id="1998805928">
                              <w:marLeft w:val="0"/>
                              <w:marRight w:val="0"/>
                              <w:marTop w:val="0"/>
                              <w:marBottom w:val="0"/>
                              <w:divBdr>
                                <w:top w:val="none" w:sz="0" w:space="0" w:color="auto"/>
                                <w:left w:val="none" w:sz="0" w:space="0" w:color="auto"/>
                                <w:bottom w:val="none" w:sz="0" w:space="0" w:color="auto"/>
                                <w:right w:val="none" w:sz="0" w:space="0" w:color="auto"/>
                              </w:divBdr>
                              <w:divsChild>
                                <w:div w:id="1640264341">
                                  <w:marLeft w:val="0"/>
                                  <w:marRight w:val="0"/>
                                  <w:marTop w:val="300"/>
                                  <w:marBottom w:val="0"/>
                                  <w:divBdr>
                                    <w:top w:val="none" w:sz="0" w:space="0" w:color="auto"/>
                                    <w:left w:val="none" w:sz="0" w:space="0" w:color="auto"/>
                                    <w:bottom w:val="none" w:sz="0" w:space="0" w:color="auto"/>
                                    <w:right w:val="none" w:sz="0" w:space="0" w:color="auto"/>
                                  </w:divBdr>
                                  <w:divsChild>
                                    <w:div w:id="1774013137">
                                      <w:marLeft w:val="0"/>
                                      <w:marRight w:val="0"/>
                                      <w:marTop w:val="300"/>
                                      <w:marBottom w:val="0"/>
                                      <w:divBdr>
                                        <w:top w:val="none" w:sz="0" w:space="0" w:color="auto"/>
                                        <w:left w:val="none" w:sz="0" w:space="0" w:color="auto"/>
                                        <w:bottom w:val="none" w:sz="0" w:space="0" w:color="auto"/>
                                        <w:right w:val="none" w:sz="0" w:space="0" w:color="auto"/>
                                      </w:divBdr>
                                      <w:divsChild>
                                        <w:div w:id="1516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895886">
      <w:bodyDiv w:val="1"/>
      <w:marLeft w:val="0"/>
      <w:marRight w:val="0"/>
      <w:marTop w:val="0"/>
      <w:marBottom w:val="0"/>
      <w:divBdr>
        <w:top w:val="none" w:sz="0" w:space="0" w:color="auto"/>
        <w:left w:val="none" w:sz="0" w:space="0" w:color="auto"/>
        <w:bottom w:val="none" w:sz="0" w:space="0" w:color="auto"/>
        <w:right w:val="none" w:sz="0" w:space="0" w:color="auto"/>
      </w:divBdr>
      <w:divsChild>
        <w:div w:id="1937518477">
          <w:marLeft w:val="0"/>
          <w:marRight w:val="0"/>
          <w:marTop w:val="0"/>
          <w:marBottom w:val="0"/>
          <w:divBdr>
            <w:top w:val="none" w:sz="0" w:space="0" w:color="auto"/>
            <w:left w:val="none" w:sz="0" w:space="0" w:color="auto"/>
            <w:bottom w:val="none" w:sz="0" w:space="0" w:color="auto"/>
            <w:right w:val="none" w:sz="0" w:space="0" w:color="auto"/>
          </w:divBdr>
          <w:divsChild>
            <w:div w:id="307173154">
              <w:marLeft w:val="0"/>
              <w:marRight w:val="0"/>
              <w:marTop w:val="0"/>
              <w:marBottom w:val="0"/>
              <w:divBdr>
                <w:top w:val="none" w:sz="0" w:space="0" w:color="auto"/>
                <w:left w:val="none" w:sz="0" w:space="0" w:color="auto"/>
                <w:bottom w:val="none" w:sz="0" w:space="0" w:color="auto"/>
                <w:right w:val="none" w:sz="0" w:space="0" w:color="auto"/>
              </w:divBdr>
              <w:divsChild>
                <w:div w:id="1641497635">
                  <w:marLeft w:val="0"/>
                  <w:marRight w:val="0"/>
                  <w:marTop w:val="0"/>
                  <w:marBottom w:val="0"/>
                  <w:divBdr>
                    <w:top w:val="none" w:sz="0" w:space="0" w:color="auto"/>
                    <w:left w:val="none" w:sz="0" w:space="0" w:color="auto"/>
                    <w:bottom w:val="none" w:sz="0" w:space="0" w:color="auto"/>
                    <w:right w:val="none" w:sz="0" w:space="0" w:color="auto"/>
                  </w:divBdr>
                  <w:divsChild>
                    <w:div w:id="1305430881">
                      <w:marLeft w:val="0"/>
                      <w:marRight w:val="0"/>
                      <w:marTop w:val="90"/>
                      <w:marBottom w:val="0"/>
                      <w:divBdr>
                        <w:top w:val="none" w:sz="0" w:space="0" w:color="auto"/>
                        <w:left w:val="none" w:sz="0" w:space="0" w:color="auto"/>
                        <w:bottom w:val="none" w:sz="0" w:space="0" w:color="auto"/>
                        <w:right w:val="none" w:sz="0" w:space="0" w:color="auto"/>
                      </w:divBdr>
                      <w:divsChild>
                        <w:div w:id="1745637524">
                          <w:marLeft w:val="0"/>
                          <w:marRight w:val="0"/>
                          <w:marTop w:val="0"/>
                          <w:marBottom w:val="0"/>
                          <w:divBdr>
                            <w:top w:val="none" w:sz="0" w:space="0" w:color="auto"/>
                            <w:left w:val="none" w:sz="0" w:space="0" w:color="auto"/>
                            <w:bottom w:val="none" w:sz="0" w:space="0" w:color="auto"/>
                            <w:right w:val="none" w:sz="0" w:space="0" w:color="auto"/>
                          </w:divBdr>
                          <w:divsChild>
                            <w:div w:id="2034839471">
                              <w:marLeft w:val="0"/>
                              <w:marRight w:val="0"/>
                              <w:marTop w:val="0"/>
                              <w:marBottom w:val="0"/>
                              <w:divBdr>
                                <w:top w:val="none" w:sz="0" w:space="0" w:color="auto"/>
                                <w:left w:val="none" w:sz="0" w:space="0" w:color="auto"/>
                                <w:bottom w:val="none" w:sz="0" w:space="0" w:color="auto"/>
                                <w:right w:val="none" w:sz="0" w:space="0" w:color="auto"/>
                              </w:divBdr>
                              <w:divsChild>
                                <w:div w:id="18311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88489">
      <w:bodyDiv w:val="1"/>
      <w:marLeft w:val="0"/>
      <w:marRight w:val="0"/>
      <w:marTop w:val="0"/>
      <w:marBottom w:val="0"/>
      <w:divBdr>
        <w:top w:val="none" w:sz="0" w:space="0" w:color="auto"/>
        <w:left w:val="none" w:sz="0" w:space="0" w:color="auto"/>
        <w:bottom w:val="none" w:sz="0" w:space="0" w:color="auto"/>
        <w:right w:val="none" w:sz="0" w:space="0" w:color="auto"/>
      </w:divBdr>
    </w:div>
    <w:div w:id="1438061119">
      <w:bodyDiv w:val="1"/>
      <w:marLeft w:val="0"/>
      <w:marRight w:val="0"/>
      <w:marTop w:val="0"/>
      <w:marBottom w:val="0"/>
      <w:divBdr>
        <w:top w:val="none" w:sz="0" w:space="0" w:color="auto"/>
        <w:left w:val="none" w:sz="0" w:space="0" w:color="auto"/>
        <w:bottom w:val="none" w:sz="0" w:space="0" w:color="auto"/>
        <w:right w:val="none" w:sz="0" w:space="0" w:color="auto"/>
      </w:divBdr>
    </w:div>
    <w:div w:id="1474176478">
      <w:bodyDiv w:val="1"/>
      <w:marLeft w:val="0"/>
      <w:marRight w:val="0"/>
      <w:marTop w:val="0"/>
      <w:marBottom w:val="0"/>
      <w:divBdr>
        <w:top w:val="none" w:sz="0" w:space="0" w:color="auto"/>
        <w:left w:val="none" w:sz="0" w:space="0" w:color="auto"/>
        <w:bottom w:val="none" w:sz="0" w:space="0" w:color="auto"/>
        <w:right w:val="none" w:sz="0" w:space="0" w:color="auto"/>
      </w:divBdr>
      <w:divsChild>
        <w:div w:id="1565991457">
          <w:marLeft w:val="0"/>
          <w:marRight w:val="0"/>
          <w:marTop w:val="0"/>
          <w:marBottom w:val="0"/>
          <w:divBdr>
            <w:top w:val="none" w:sz="0" w:space="0" w:color="auto"/>
            <w:left w:val="none" w:sz="0" w:space="0" w:color="auto"/>
            <w:bottom w:val="none" w:sz="0" w:space="0" w:color="auto"/>
            <w:right w:val="none" w:sz="0" w:space="0" w:color="auto"/>
          </w:divBdr>
          <w:divsChild>
            <w:div w:id="1929387473">
              <w:marLeft w:val="0"/>
              <w:marRight w:val="0"/>
              <w:marTop w:val="0"/>
              <w:marBottom w:val="0"/>
              <w:divBdr>
                <w:top w:val="none" w:sz="0" w:space="0" w:color="auto"/>
                <w:left w:val="none" w:sz="0" w:space="0" w:color="auto"/>
                <w:bottom w:val="none" w:sz="0" w:space="0" w:color="auto"/>
                <w:right w:val="none" w:sz="0" w:space="0" w:color="auto"/>
              </w:divBdr>
              <w:divsChild>
                <w:div w:id="1002851253">
                  <w:marLeft w:val="0"/>
                  <w:marRight w:val="0"/>
                  <w:marTop w:val="0"/>
                  <w:marBottom w:val="0"/>
                  <w:divBdr>
                    <w:top w:val="none" w:sz="0" w:space="0" w:color="auto"/>
                    <w:left w:val="none" w:sz="0" w:space="0" w:color="auto"/>
                    <w:bottom w:val="none" w:sz="0" w:space="0" w:color="auto"/>
                    <w:right w:val="none" w:sz="0" w:space="0" w:color="auto"/>
                  </w:divBdr>
                  <w:divsChild>
                    <w:div w:id="997657275">
                      <w:marLeft w:val="0"/>
                      <w:marRight w:val="0"/>
                      <w:marTop w:val="90"/>
                      <w:marBottom w:val="0"/>
                      <w:divBdr>
                        <w:top w:val="none" w:sz="0" w:space="0" w:color="auto"/>
                        <w:left w:val="none" w:sz="0" w:space="0" w:color="auto"/>
                        <w:bottom w:val="none" w:sz="0" w:space="0" w:color="auto"/>
                        <w:right w:val="none" w:sz="0" w:space="0" w:color="auto"/>
                      </w:divBdr>
                      <w:divsChild>
                        <w:div w:id="291177687">
                          <w:marLeft w:val="0"/>
                          <w:marRight w:val="0"/>
                          <w:marTop w:val="0"/>
                          <w:marBottom w:val="0"/>
                          <w:divBdr>
                            <w:top w:val="none" w:sz="0" w:space="0" w:color="auto"/>
                            <w:left w:val="none" w:sz="0" w:space="0" w:color="auto"/>
                            <w:bottom w:val="none" w:sz="0" w:space="0" w:color="auto"/>
                            <w:right w:val="none" w:sz="0" w:space="0" w:color="auto"/>
                          </w:divBdr>
                          <w:divsChild>
                            <w:div w:id="2038308940">
                              <w:marLeft w:val="0"/>
                              <w:marRight w:val="0"/>
                              <w:marTop w:val="0"/>
                              <w:marBottom w:val="0"/>
                              <w:divBdr>
                                <w:top w:val="none" w:sz="0" w:space="0" w:color="auto"/>
                                <w:left w:val="none" w:sz="0" w:space="0" w:color="auto"/>
                                <w:bottom w:val="none" w:sz="0" w:space="0" w:color="auto"/>
                                <w:right w:val="none" w:sz="0" w:space="0" w:color="auto"/>
                              </w:divBdr>
                              <w:divsChild>
                                <w:div w:id="38096191">
                                  <w:marLeft w:val="0"/>
                                  <w:marRight w:val="0"/>
                                  <w:marTop w:val="300"/>
                                  <w:marBottom w:val="0"/>
                                  <w:divBdr>
                                    <w:top w:val="none" w:sz="0" w:space="0" w:color="auto"/>
                                    <w:left w:val="none" w:sz="0" w:space="0" w:color="auto"/>
                                    <w:bottom w:val="none" w:sz="0" w:space="0" w:color="auto"/>
                                    <w:right w:val="none" w:sz="0" w:space="0" w:color="auto"/>
                                  </w:divBdr>
                                  <w:divsChild>
                                    <w:div w:id="1608000087">
                                      <w:marLeft w:val="0"/>
                                      <w:marRight w:val="0"/>
                                      <w:marTop w:val="300"/>
                                      <w:marBottom w:val="0"/>
                                      <w:divBdr>
                                        <w:top w:val="none" w:sz="0" w:space="0" w:color="auto"/>
                                        <w:left w:val="none" w:sz="0" w:space="0" w:color="auto"/>
                                        <w:bottom w:val="none" w:sz="0" w:space="0" w:color="auto"/>
                                        <w:right w:val="none" w:sz="0" w:space="0" w:color="auto"/>
                                      </w:divBdr>
                                      <w:divsChild>
                                        <w:div w:id="171746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38802">
      <w:bodyDiv w:val="1"/>
      <w:marLeft w:val="0"/>
      <w:marRight w:val="0"/>
      <w:marTop w:val="0"/>
      <w:marBottom w:val="0"/>
      <w:divBdr>
        <w:top w:val="none" w:sz="0" w:space="0" w:color="auto"/>
        <w:left w:val="none" w:sz="0" w:space="0" w:color="auto"/>
        <w:bottom w:val="none" w:sz="0" w:space="0" w:color="auto"/>
        <w:right w:val="none" w:sz="0" w:space="0" w:color="auto"/>
      </w:divBdr>
      <w:divsChild>
        <w:div w:id="1894268818">
          <w:marLeft w:val="0"/>
          <w:marRight w:val="0"/>
          <w:marTop w:val="0"/>
          <w:marBottom w:val="0"/>
          <w:divBdr>
            <w:top w:val="none" w:sz="0" w:space="0" w:color="auto"/>
            <w:left w:val="none" w:sz="0" w:space="0" w:color="auto"/>
            <w:bottom w:val="none" w:sz="0" w:space="0" w:color="auto"/>
            <w:right w:val="none" w:sz="0" w:space="0" w:color="auto"/>
          </w:divBdr>
          <w:divsChild>
            <w:div w:id="323436538">
              <w:marLeft w:val="0"/>
              <w:marRight w:val="0"/>
              <w:marTop w:val="0"/>
              <w:marBottom w:val="0"/>
              <w:divBdr>
                <w:top w:val="none" w:sz="0" w:space="0" w:color="auto"/>
                <w:left w:val="none" w:sz="0" w:space="0" w:color="auto"/>
                <w:bottom w:val="none" w:sz="0" w:space="0" w:color="auto"/>
                <w:right w:val="none" w:sz="0" w:space="0" w:color="auto"/>
              </w:divBdr>
              <w:divsChild>
                <w:div w:id="1706564660">
                  <w:marLeft w:val="0"/>
                  <w:marRight w:val="0"/>
                  <w:marTop w:val="0"/>
                  <w:marBottom w:val="0"/>
                  <w:divBdr>
                    <w:top w:val="none" w:sz="0" w:space="0" w:color="auto"/>
                    <w:left w:val="none" w:sz="0" w:space="0" w:color="auto"/>
                    <w:bottom w:val="none" w:sz="0" w:space="0" w:color="auto"/>
                    <w:right w:val="none" w:sz="0" w:space="0" w:color="auto"/>
                  </w:divBdr>
                  <w:divsChild>
                    <w:div w:id="1950814255">
                      <w:marLeft w:val="0"/>
                      <w:marRight w:val="0"/>
                      <w:marTop w:val="90"/>
                      <w:marBottom w:val="0"/>
                      <w:divBdr>
                        <w:top w:val="none" w:sz="0" w:space="0" w:color="auto"/>
                        <w:left w:val="none" w:sz="0" w:space="0" w:color="auto"/>
                        <w:bottom w:val="none" w:sz="0" w:space="0" w:color="auto"/>
                        <w:right w:val="none" w:sz="0" w:space="0" w:color="auto"/>
                      </w:divBdr>
                      <w:divsChild>
                        <w:div w:id="1648633101">
                          <w:marLeft w:val="0"/>
                          <w:marRight w:val="0"/>
                          <w:marTop w:val="0"/>
                          <w:marBottom w:val="0"/>
                          <w:divBdr>
                            <w:top w:val="none" w:sz="0" w:space="0" w:color="auto"/>
                            <w:left w:val="none" w:sz="0" w:space="0" w:color="auto"/>
                            <w:bottom w:val="none" w:sz="0" w:space="0" w:color="auto"/>
                            <w:right w:val="none" w:sz="0" w:space="0" w:color="auto"/>
                          </w:divBdr>
                          <w:divsChild>
                            <w:div w:id="496961172">
                              <w:marLeft w:val="0"/>
                              <w:marRight w:val="0"/>
                              <w:marTop w:val="0"/>
                              <w:marBottom w:val="0"/>
                              <w:divBdr>
                                <w:top w:val="none" w:sz="0" w:space="0" w:color="auto"/>
                                <w:left w:val="none" w:sz="0" w:space="0" w:color="auto"/>
                                <w:bottom w:val="none" w:sz="0" w:space="0" w:color="auto"/>
                                <w:right w:val="none" w:sz="0" w:space="0" w:color="auto"/>
                              </w:divBdr>
                              <w:divsChild>
                                <w:div w:id="1606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0381">
      <w:bodyDiv w:val="1"/>
      <w:marLeft w:val="0"/>
      <w:marRight w:val="0"/>
      <w:marTop w:val="0"/>
      <w:marBottom w:val="0"/>
      <w:divBdr>
        <w:top w:val="none" w:sz="0" w:space="0" w:color="auto"/>
        <w:left w:val="none" w:sz="0" w:space="0" w:color="auto"/>
        <w:bottom w:val="none" w:sz="0" w:space="0" w:color="auto"/>
        <w:right w:val="none" w:sz="0" w:space="0" w:color="auto"/>
      </w:divBdr>
      <w:divsChild>
        <w:div w:id="2066027211">
          <w:marLeft w:val="0"/>
          <w:marRight w:val="0"/>
          <w:marTop w:val="0"/>
          <w:marBottom w:val="0"/>
          <w:divBdr>
            <w:top w:val="none" w:sz="0" w:space="0" w:color="auto"/>
            <w:left w:val="none" w:sz="0" w:space="0" w:color="auto"/>
            <w:bottom w:val="none" w:sz="0" w:space="0" w:color="auto"/>
            <w:right w:val="none" w:sz="0" w:space="0" w:color="auto"/>
          </w:divBdr>
          <w:divsChild>
            <w:div w:id="2039769195">
              <w:marLeft w:val="0"/>
              <w:marRight w:val="0"/>
              <w:marTop w:val="0"/>
              <w:marBottom w:val="0"/>
              <w:divBdr>
                <w:top w:val="none" w:sz="0" w:space="0" w:color="auto"/>
                <w:left w:val="none" w:sz="0" w:space="0" w:color="auto"/>
                <w:bottom w:val="none" w:sz="0" w:space="0" w:color="auto"/>
                <w:right w:val="none" w:sz="0" w:space="0" w:color="auto"/>
              </w:divBdr>
              <w:divsChild>
                <w:div w:id="1470392604">
                  <w:marLeft w:val="0"/>
                  <w:marRight w:val="0"/>
                  <w:marTop w:val="0"/>
                  <w:marBottom w:val="0"/>
                  <w:divBdr>
                    <w:top w:val="none" w:sz="0" w:space="0" w:color="auto"/>
                    <w:left w:val="none" w:sz="0" w:space="0" w:color="auto"/>
                    <w:bottom w:val="none" w:sz="0" w:space="0" w:color="auto"/>
                    <w:right w:val="none" w:sz="0" w:space="0" w:color="auto"/>
                  </w:divBdr>
                  <w:divsChild>
                    <w:div w:id="1669483481">
                      <w:marLeft w:val="0"/>
                      <w:marRight w:val="0"/>
                      <w:marTop w:val="90"/>
                      <w:marBottom w:val="0"/>
                      <w:divBdr>
                        <w:top w:val="none" w:sz="0" w:space="0" w:color="auto"/>
                        <w:left w:val="none" w:sz="0" w:space="0" w:color="auto"/>
                        <w:bottom w:val="none" w:sz="0" w:space="0" w:color="auto"/>
                        <w:right w:val="none" w:sz="0" w:space="0" w:color="auto"/>
                      </w:divBdr>
                      <w:divsChild>
                        <w:div w:id="634994885">
                          <w:marLeft w:val="0"/>
                          <w:marRight w:val="0"/>
                          <w:marTop w:val="0"/>
                          <w:marBottom w:val="0"/>
                          <w:divBdr>
                            <w:top w:val="none" w:sz="0" w:space="0" w:color="auto"/>
                            <w:left w:val="none" w:sz="0" w:space="0" w:color="auto"/>
                            <w:bottom w:val="none" w:sz="0" w:space="0" w:color="auto"/>
                            <w:right w:val="none" w:sz="0" w:space="0" w:color="auto"/>
                          </w:divBdr>
                          <w:divsChild>
                            <w:div w:id="884945070">
                              <w:marLeft w:val="0"/>
                              <w:marRight w:val="0"/>
                              <w:marTop w:val="0"/>
                              <w:marBottom w:val="0"/>
                              <w:divBdr>
                                <w:top w:val="none" w:sz="0" w:space="0" w:color="auto"/>
                                <w:left w:val="none" w:sz="0" w:space="0" w:color="auto"/>
                                <w:bottom w:val="none" w:sz="0" w:space="0" w:color="auto"/>
                                <w:right w:val="none" w:sz="0" w:space="0" w:color="auto"/>
                              </w:divBdr>
                              <w:divsChild>
                                <w:div w:id="1579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639807">
      <w:bodyDiv w:val="1"/>
      <w:marLeft w:val="0"/>
      <w:marRight w:val="0"/>
      <w:marTop w:val="0"/>
      <w:marBottom w:val="0"/>
      <w:divBdr>
        <w:top w:val="none" w:sz="0" w:space="0" w:color="auto"/>
        <w:left w:val="none" w:sz="0" w:space="0" w:color="auto"/>
        <w:bottom w:val="none" w:sz="0" w:space="0" w:color="auto"/>
        <w:right w:val="none" w:sz="0" w:space="0" w:color="auto"/>
      </w:divBdr>
    </w:div>
    <w:div w:id="1997611071">
      <w:bodyDiv w:val="1"/>
      <w:marLeft w:val="0"/>
      <w:marRight w:val="0"/>
      <w:marTop w:val="0"/>
      <w:marBottom w:val="0"/>
      <w:divBdr>
        <w:top w:val="none" w:sz="0" w:space="0" w:color="auto"/>
        <w:left w:val="none" w:sz="0" w:space="0" w:color="auto"/>
        <w:bottom w:val="none" w:sz="0" w:space="0" w:color="auto"/>
        <w:right w:val="none" w:sz="0" w:space="0" w:color="auto"/>
      </w:divBdr>
      <w:divsChild>
        <w:div w:id="280890689">
          <w:marLeft w:val="0"/>
          <w:marRight w:val="0"/>
          <w:marTop w:val="0"/>
          <w:marBottom w:val="0"/>
          <w:divBdr>
            <w:top w:val="none" w:sz="0" w:space="0" w:color="auto"/>
            <w:left w:val="none" w:sz="0" w:space="0" w:color="auto"/>
            <w:bottom w:val="none" w:sz="0" w:space="0" w:color="auto"/>
            <w:right w:val="none" w:sz="0" w:space="0" w:color="auto"/>
          </w:divBdr>
          <w:divsChild>
            <w:div w:id="164370924">
              <w:marLeft w:val="0"/>
              <w:marRight w:val="0"/>
              <w:marTop w:val="0"/>
              <w:marBottom w:val="0"/>
              <w:divBdr>
                <w:top w:val="none" w:sz="0" w:space="0" w:color="auto"/>
                <w:left w:val="none" w:sz="0" w:space="0" w:color="auto"/>
                <w:bottom w:val="none" w:sz="0" w:space="0" w:color="auto"/>
                <w:right w:val="none" w:sz="0" w:space="0" w:color="auto"/>
              </w:divBdr>
              <w:divsChild>
                <w:div w:id="1094202899">
                  <w:marLeft w:val="0"/>
                  <w:marRight w:val="0"/>
                  <w:marTop w:val="0"/>
                  <w:marBottom w:val="0"/>
                  <w:divBdr>
                    <w:top w:val="none" w:sz="0" w:space="0" w:color="auto"/>
                    <w:left w:val="none" w:sz="0" w:space="0" w:color="auto"/>
                    <w:bottom w:val="none" w:sz="0" w:space="0" w:color="auto"/>
                    <w:right w:val="none" w:sz="0" w:space="0" w:color="auto"/>
                  </w:divBdr>
                  <w:divsChild>
                    <w:div w:id="218328180">
                      <w:marLeft w:val="0"/>
                      <w:marRight w:val="0"/>
                      <w:marTop w:val="90"/>
                      <w:marBottom w:val="0"/>
                      <w:divBdr>
                        <w:top w:val="none" w:sz="0" w:space="0" w:color="auto"/>
                        <w:left w:val="none" w:sz="0" w:space="0" w:color="auto"/>
                        <w:bottom w:val="none" w:sz="0" w:space="0" w:color="auto"/>
                        <w:right w:val="none" w:sz="0" w:space="0" w:color="auto"/>
                      </w:divBdr>
                      <w:divsChild>
                        <w:div w:id="1368409110">
                          <w:marLeft w:val="0"/>
                          <w:marRight w:val="0"/>
                          <w:marTop w:val="0"/>
                          <w:marBottom w:val="0"/>
                          <w:divBdr>
                            <w:top w:val="none" w:sz="0" w:space="0" w:color="auto"/>
                            <w:left w:val="none" w:sz="0" w:space="0" w:color="auto"/>
                            <w:bottom w:val="none" w:sz="0" w:space="0" w:color="auto"/>
                            <w:right w:val="none" w:sz="0" w:space="0" w:color="auto"/>
                          </w:divBdr>
                          <w:divsChild>
                            <w:div w:id="1109083717">
                              <w:marLeft w:val="0"/>
                              <w:marRight w:val="0"/>
                              <w:marTop w:val="0"/>
                              <w:marBottom w:val="0"/>
                              <w:divBdr>
                                <w:top w:val="none" w:sz="0" w:space="0" w:color="auto"/>
                                <w:left w:val="none" w:sz="0" w:space="0" w:color="auto"/>
                                <w:bottom w:val="none" w:sz="0" w:space="0" w:color="auto"/>
                                <w:right w:val="none" w:sz="0" w:space="0" w:color="auto"/>
                              </w:divBdr>
                              <w:divsChild>
                                <w:div w:id="15406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m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8F75-4292-41BC-98FE-C633D9E6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1372</Characters>
  <Application>Microsoft Office Word</Application>
  <DocSecurity>4</DocSecurity>
  <Lines>11</Lines>
  <Paragraphs>3</Paragraphs>
  <ScaleCrop>false</ScaleCrop>
  <Company>Microsoft</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胡思思</dc:creator>
  <cp:lastModifiedBy>ZHONGM</cp:lastModifiedBy>
  <cp:revision>2</cp:revision>
  <cp:lastPrinted>2019-09-24T08:28:00Z</cp:lastPrinted>
  <dcterms:created xsi:type="dcterms:W3CDTF">2021-03-16T16:01:00Z</dcterms:created>
  <dcterms:modified xsi:type="dcterms:W3CDTF">2021-03-16T16:01:00Z</dcterms:modified>
</cp:coreProperties>
</file>