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7E3C">
      <w:pPr>
        <w:spacing w:line="400" w:lineRule="exact"/>
        <w:jc w:val="center"/>
        <w:rPr>
          <w:rStyle w:val="da"/>
          <w:rFonts w:ascii="宋体" w:hAnsi="宋体"/>
          <w:b/>
          <w:bCs/>
        </w:rPr>
      </w:pPr>
    </w:p>
    <w:p w:rsidR="00000000" w:rsidRDefault="00DD7E3C">
      <w:pPr>
        <w:spacing w:line="360" w:lineRule="auto"/>
        <w:jc w:val="center"/>
        <w:rPr>
          <w:rStyle w:val="da"/>
          <w:rFonts w:ascii="宋体" w:hAnsi="宋体" w:hint="eastAsia"/>
          <w:b/>
          <w:bCs/>
        </w:rPr>
      </w:pPr>
      <w:r>
        <w:rPr>
          <w:rStyle w:val="da"/>
          <w:rFonts w:ascii="宋体" w:hAnsi="宋体"/>
          <w:b/>
          <w:bCs/>
        </w:rPr>
        <w:t>东吴基金管理有限公司</w:t>
      </w:r>
      <w:r>
        <w:rPr>
          <w:rStyle w:val="da"/>
          <w:rFonts w:ascii="宋体" w:hAnsi="宋体" w:hint="eastAsia"/>
          <w:b/>
          <w:bCs/>
        </w:rPr>
        <w:t>关于旗下</w:t>
      </w:r>
      <w:r>
        <w:rPr>
          <w:rStyle w:val="da"/>
          <w:rFonts w:ascii="宋体" w:hAnsi="宋体" w:hint="eastAsia"/>
          <w:b/>
          <w:bCs/>
        </w:rPr>
        <w:t>部分</w:t>
      </w:r>
      <w:r>
        <w:rPr>
          <w:rStyle w:val="da"/>
          <w:rFonts w:ascii="宋体" w:hAnsi="宋体" w:hint="eastAsia"/>
          <w:b/>
          <w:bCs/>
        </w:rPr>
        <w:t>基金</w:t>
      </w:r>
      <w:r>
        <w:rPr>
          <w:rStyle w:val="da"/>
          <w:rFonts w:ascii="宋体" w:hAnsi="宋体" w:hint="eastAsia"/>
          <w:b/>
          <w:bCs/>
        </w:rPr>
        <w:t>开通在东方财富证券股份有限公司</w:t>
      </w:r>
    </w:p>
    <w:p w:rsidR="00000000" w:rsidRDefault="00DD7E3C">
      <w:pPr>
        <w:spacing w:line="360" w:lineRule="auto"/>
        <w:rPr>
          <w:rStyle w:val="da"/>
          <w:rFonts w:ascii="宋体" w:hAnsi="宋体" w:hint="eastAsia"/>
          <w:b/>
          <w:bCs/>
        </w:rPr>
      </w:pPr>
      <w:r>
        <w:rPr>
          <w:rStyle w:val="da"/>
          <w:rFonts w:ascii="宋体" w:hAnsi="宋体" w:hint="eastAsia"/>
          <w:b/>
          <w:bCs/>
        </w:rPr>
        <w:t xml:space="preserve">                       </w:t>
      </w:r>
      <w:r>
        <w:rPr>
          <w:rStyle w:val="da"/>
          <w:rFonts w:ascii="宋体" w:hAnsi="宋体" w:hint="eastAsia"/>
          <w:b/>
          <w:bCs/>
        </w:rPr>
        <w:t>的</w:t>
      </w:r>
      <w:r>
        <w:rPr>
          <w:rStyle w:val="da"/>
          <w:rFonts w:ascii="宋体" w:hAnsi="宋体" w:hint="eastAsia"/>
          <w:b/>
          <w:bCs/>
        </w:rPr>
        <w:t>定期定额业务</w:t>
      </w:r>
      <w:r>
        <w:rPr>
          <w:rStyle w:val="da"/>
          <w:rFonts w:ascii="宋体" w:hAnsi="宋体"/>
          <w:b/>
          <w:bCs/>
        </w:rPr>
        <w:t>的公告</w:t>
      </w:r>
    </w:p>
    <w:p w:rsidR="00000000" w:rsidRDefault="00DD7E3C">
      <w:pPr>
        <w:spacing w:line="400" w:lineRule="exact"/>
        <w:jc w:val="center"/>
        <w:rPr>
          <w:rStyle w:val="da"/>
          <w:rFonts w:ascii="宋体" w:hAnsi="宋体" w:cs="宋体" w:hint="eastAsia"/>
          <w:b/>
          <w:bCs/>
          <w:sz w:val="21"/>
          <w:szCs w:val="21"/>
        </w:rPr>
      </w:pPr>
    </w:p>
    <w:p w:rsidR="00000000" w:rsidRDefault="00DD7E3C">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为更好的满足广大投资者的理财需求，根据东吴基金管理有限公司（以下简称“东吴基金”）与东方财富证券股份有限公司（以下简称</w:t>
      </w:r>
      <w:r>
        <w:rPr>
          <w:rFonts w:ascii="宋体" w:hAnsi="宋体" w:cs="宋体" w:hint="eastAsia"/>
          <w:kern w:val="0"/>
          <w:szCs w:val="21"/>
        </w:rPr>
        <w:t>"</w:t>
      </w:r>
      <w:r>
        <w:rPr>
          <w:rFonts w:ascii="宋体" w:hAnsi="宋体" w:cs="宋体" w:hint="eastAsia"/>
          <w:kern w:val="0"/>
          <w:szCs w:val="21"/>
        </w:rPr>
        <w:t>东方财富证券</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日起</w:t>
      </w:r>
      <w:r>
        <w:rPr>
          <w:rFonts w:ascii="宋体" w:hAnsi="宋体" w:cs="宋体" w:hint="eastAsia"/>
          <w:kern w:val="0"/>
          <w:szCs w:val="21"/>
        </w:rPr>
        <w:t>，新增开通在东方财富证券的基金定期定额投资业务。</w:t>
      </w:r>
    </w:p>
    <w:p w:rsidR="00000000" w:rsidRDefault="00DD7E3C">
      <w:pPr>
        <w:widowControl/>
        <w:spacing w:line="400" w:lineRule="exact"/>
        <w:ind w:firstLineChars="200" w:firstLine="420"/>
        <w:jc w:val="left"/>
        <w:rPr>
          <w:rFonts w:ascii="宋体" w:hAnsi="宋体" w:cs="宋体" w:hint="eastAsia"/>
          <w:szCs w:val="21"/>
        </w:rPr>
      </w:pPr>
    </w:p>
    <w:p w:rsidR="00000000" w:rsidRDefault="00DD7E3C">
      <w:pPr>
        <w:widowControl/>
        <w:spacing w:line="360" w:lineRule="auto"/>
        <w:ind w:firstLineChars="200" w:firstLine="420"/>
        <w:jc w:val="left"/>
        <w:rPr>
          <w:rFonts w:ascii="宋体" w:hAnsi="宋体" w:cs="宋体" w:hint="eastAsia"/>
          <w:szCs w:val="21"/>
        </w:rPr>
      </w:pPr>
      <w:r>
        <w:rPr>
          <w:rFonts w:ascii="宋体" w:hAnsi="宋体" w:cs="宋体" w:hint="eastAsia"/>
          <w:szCs w:val="21"/>
        </w:rPr>
        <w:t>一</w:t>
      </w:r>
      <w:r>
        <w:rPr>
          <w:rFonts w:ascii="宋体" w:hAnsi="宋体" w:cs="宋体" w:hint="eastAsia"/>
          <w:szCs w:val="21"/>
        </w:rPr>
        <w:t>、开通东吴基金旗下部分基金定期定额投资业务</w:t>
      </w:r>
    </w:p>
    <w:p w:rsidR="00000000" w:rsidRDefault="00DD7E3C">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18</w:t>
      </w:r>
      <w:r>
        <w:rPr>
          <w:rFonts w:ascii="宋体" w:hAnsi="宋体" w:cs="宋体" w:hint="eastAsia"/>
          <w:kern w:val="0"/>
          <w:szCs w:val="21"/>
        </w:rPr>
        <w:t>日</w:t>
      </w:r>
      <w:r>
        <w:rPr>
          <w:rFonts w:ascii="宋体" w:hAnsi="宋体" w:cs="宋体" w:hint="eastAsia"/>
          <w:szCs w:val="21"/>
        </w:rPr>
        <w:t>起开通以下基金在</w:t>
      </w:r>
      <w:r>
        <w:rPr>
          <w:rFonts w:ascii="宋体" w:hAnsi="宋体" w:cs="宋体" w:hint="eastAsia"/>
          <w:kern w:val="0"/>
          <w:szCs w:val="21"/>
        </w:rPr>
        <w:t>东方财富证</w:t>
      </w:r>
      <w:r>
        <w:rPr>
          <w:rFonts w:ascii="宋体" w:hAnsi="宋体" w:cs="宋体" w:hint="eastAsia"/>
          <w:kern w:val="0"/>
          <w:szCs w:val="21"/>
        </w:rPr>
        <w:t>券</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5792"/>
        <w:gridCol w:w="1639"/>
      </w:tblGrid>
      <w:tr w:rsidR="00000000">
        <w:trPr>
          <w:jc w:val="center"/>
        </w:trPr>
        <w:tc>
          <w:tcPr>
            <w:tcW w:w="772" w:type="dxa"/>
            <w:vAlign w:val="center"/>
          </w:tcPr>
          <w:p w:rsidR="00000000" w:rsidRDefault="00DD7E3C">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792" w:type="dxa"/>
          </w:tcPr>
          <w:p w:rsidR="00000000" w:rsidRDefault="00DD7E3C">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39" w:type="dxa"/>
          </w:tcPr>
          <w:p w:rsidR="00000000" w:rsidRDefault="00DD7E3C">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东吴嘉禾优势精选混合型开放式证券投资基金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580001</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东吴价值成长双动力混合型证券投资基金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580002/011241</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东吴行业轮动混合型证券投资基金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580003/011240</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东吴进取策略灵活配置混合型开放式证券投资基金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580005/011242</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东吴新经济混合型证券投资基金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580006</w:t>
            </w:r>
          </w:p>
        </w:tc>
      </w:tr>
      <w:tr w:rsidR="00000000">
        <w:trPr>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东吴安享量化灵活配置混合型证券投资基金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580007</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东吴新产业精选股票型证券投资基金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580008/011470</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东吴货币市场证券投资基金</w:t>
            </w:r>
            <w:r>
              <w:rPr>
                <w:rFonts w:ascii="宋体" w:hAnsi="宋体" w:cs="宋体" w:hint="eastAsia"/>
                <w:color w:val="000000"/>
                <w:kern w:val="0"/>
                <w:szCs w:val="21"/>
                <w:lang/>
              </w:rPr>
              <w:t>A</w:t>
            </w:r>
            <w:r>
              <w:rPr>
                <w:rFonts w:ascii="宋体" w:hAnsi="宋体" w:cs="宋体" w:hint="eastAsia"/>
                <w:color w:val="000000"/>
                <w:kern w:val="0"/>
                <w:szCs w:val="21"/>
                <w:lang/>
              </w:rPr>
              <w:t>级</w:t>
            </w:r>
            <w:r>
              <w:rPr>
                <w:rFonts w:ascii="宋体" w:hAnsi="宋体" w:cs="宋体" w:hint="eastAsia"/>
                <w:color w:val="000000"/>
                <w:kern w:val="0"/>
                <w:szCs w:val="21"/>
                <w:lang/>
              </w:rPr>
              <w:t>/B</w:t>
            </w:r>
            <w:r>
              <w:rPr>
                <w:rFonts w:ascii="宋体" w:hAnsi="宋体" w:cs="宋体" w:hint="eastAsia"/>
                <w:color w:val="000000"/>
                <w:kern w:val="0"/>
                <w:szCs w:val="21"/>
                <w:lang/>
              </w:rPr>
              <w:t>级</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583001/583101</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东吴中证新兴产业指数证券投资基金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585001</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东吴配置优化灵活配置混合型证券投资基金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582003</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东吴多策略灵活配置混合型证券投资基金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580009</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东吴阿尔法灵活配置混合型证券投资基金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000531</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东吴移动互联灵活配置混合型证券投资基金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001323/002170</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东吴新趋势价值线灵活配置混合型证券投资基金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001322</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东吴国企改革主题灵活配置混合型证券投资</w:t>
            </w:r>
            <w:r>
              <w:rPr>
                <w:rFonts w:ascii="宋体" w:hAnsi="宋体" w:cs="宋体" w:hint="eastAsia"/>
                <w:color w:val="000000"/>
                <w:kern w:val="0"/>
                <w:szCs w:val="21"/>
                <w:lang/>
              </w:rPr>
              <w:t>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002159</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东吴安盈量化灵活配置混合型证券投资基金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002270</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东吴安鑫量化灵活配置混合型证券投资基金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002561</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东吴智慧医疗量化策略灵活配置混合型证券投资基金</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002919</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东吴增鑫宝货币市场基金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/B</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003588/003589</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东吴优益债券型证券投资基金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rPr>
            </w:pPr>
            <w:r>
              <w:rPr>
                <w:rFonts w:ascii="宋体" w:hAnsi="宋体" w:cs="宋体" w:hint="eastAsia"/>
                <w:color w:val="000000"/>
                <w:kern w:val="0"/>
                <w:szCs w:val="21"/>
                <w:lang/>
              </w:rPr>
              <w:t>005144/005145</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东吴双三角股票型证券投资基金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005209/005210</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东吴悦秀纯债债券型证券投资基金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r>
              <w:rPr>
                <w:rFonts w:ascii="宋体" w:hAnsi="宋体" w:cs="宋体" w:hint="eastAsia"/>
                <w:color w:val="000000"/>
                <w:kern w:val="0"/>
                <w:szCs w:val="21"/>
                <w:lang/>
              </w:rPr>
              <w:t>/C</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005573/005574</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东吴鼎泰纯债债券型证券投</w:t>
            </w:r>
            <w:r>
              <w:rPr>
                <w:rFonts w:ascii="宋体" w:hAnsi="宋体" w:cs="宋体" w:hint="eastAsia"/>
                <w:color w:val="000000"/>
                <w:kern w:val="0"/>
                <w:szCs w:val="21"/>
                <w:lang/>
              </w:rPr>
              <w:t>资基金</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006026</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东吴沪深</w:t>
            </w:r>
            <w:r>
              <w:rPr>
                <w:rFonts w:ascii="宋体" w:hAnsi="宋体" w:cs="宋体" w:hint="eastAsia"/>
                <w:color w:val="000000"/>
                <w:kern w:val="0"/>
                <w:szCs w:val="21"/>
                <w:lang/>
              </w:rPr>
              <w:t>300</w:t>
            </w:r>
            <w:r>
              <w:rPr>
                <w:rFonts w:ascii="宋体" w:hAnsi="宋体" w:cs="宋体" w:hint="eastAsia"/>
                <w:color w:val="000000"/>
                <w:kern w:val="0"/>
                <w:szCs w:val="21"/>
                <w:lang/>
              </w:rPr>
              <w:t>指数型证券投资基金</w:t>
            </w:r>
            <w:r>
              <w:rPr>
                <w:rFonts w:ascii="宋体" w:hAnsi="宋体" w:cs="宋体" w:hint="eastAsia"/>
                <w:color w:val="000000"/>
                <w:kern w:val="0"/>
                <w:szCs w:val="21"/>
                <w:lang/>
              </w:rPr>
              <w:t>A</w:t>
            </w:r>
            <w:r>
              <w:rPr>
                <w:rFonts w:ascii="宋体" w:hAnsi="宋体" w:cs="宋体" w:hint="eastAsia"/>
                <w:color w:val="000000"/>
                <w:kern w:val="0"/>
                <w:szCs w:val="21"/>
                <w:lang/>
              </w:rPr>
              <w:t>类</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165806</w:t>
            </w:r>
          </w:p>
        </w:tc>
      </w:tr>
      <w:tr w:rsidR="00000000">
        <w:trPr>
          <w:trHeight w:val="385"/>
          <w:jc w:val="center"/>
        </w:trPr>
        <w:tc>
          <w:tcPr>
            <w:tcW w:w="772" w:type="dxa"/>
            <w:vAlign w:val="center"/>
          </w:tcPr>
          <w:p w:rsidR="00000000" w:rsidRDefault="00DD7E3C">
            <w:pPr>
              <w:widowControl/>
              <w:numPr>
                <w:ilvl w:val="0"/>
                <w:numId w:val="2"/>
              </w:numPr>
              <w:spacing w:line="400" w:lineRule="exact"/>
              <w:jc w:val="center"/>
              <w:rPr>
                <w:rFonts w:ascii="宋体" w:hAnsi="宋体" w:cs="宋体" w:hint="eastAsia"/>
                <w:szCs w:val="21"/>
              </w:rPr>
            </w:pPr>
          </w:p>
        </w:tc>
        <w:tc>
          <w:tcPr>
            <w:tcW w:w="5792"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东吴中证可转换债券指数证券投资基金</w:t>
            </w:r>
          </w:p>
        </w:tc>
        <w:tc>
          <w:tcPr>
            <w:tcW w:w="1639" w:type="dxa"/>
            <w:vAlign w:val="center"/>
          </w:tcPr>
          <w:p w:rsidR="00000000" w:rsidRDefault="00DD7E3C">
            <w:pPr>
              <w:widowControl/>
              <w:jc w:val="left"/>
              <w:textAlignment w:val="center"/>
              <w:rPr>
                <w:rFonts w:ascii="宋体" w:hAnsi="宋体" w:cs="宋体" w:hint="eastAsia"/>
                <w:szCs w:val="21"/>
                <w:lang/>
              </w:rPr>
            </w:pPr>
            <w:r>
              <w:rPr>
                <w:rFonts w:ascii="宋体" w:hAnsi="宋体" w:cs="宋体" w:hint="eastAsia"/>
                <w:color w:val="000000"/>
                <w:kern w:val="0"/>
                <w:szCs w:val="21"/>
                <w:lang/>
              </w:rPr>
              <w:t>165809</w:t>
            </w:r>
          </w:p>
        </w:tc>
      </w:tr>
    </w:tbl>
    <w:p w:rsidR="00000000" w:rsidRDefault="00DD7E3C">
      <w:pPr>
        <w:widowControl/>
        <w:spacing w:line="400" w:lineRule="exact"/>
        <w:jc w:val="left"/>
        <w:rPr>
          <w:rFonts w:ascii="宋体" w:hAnsi="宋体" w:cs="宋体" w:hint="eastAsia"/>
          <w:szCs w:val="21"/>
        </w:rPr>
      </w:pPr>
    </w:p>
    <w:p w:rsidR="00000000" w:rsidRDefault="00DD7E3C">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东方财富证券</w:t>
      </w:r>
      <w:r>
        <w:rPr>
          <w:rFonts w:ascii="宋体" w:hAnsi="宋体" w:cs="宋体" w:hint="eastAsia"/>
          <w:szCs w:val="21"/>
        </w:rPr>
        <w:t>提交申请，约定每期扣款时间、扣款金额及扣款方式，由</w:t>
      </w:r>
      <w:r>
        <w:rPr>
          <w:rFonts w:ascii="宋体" w:hAnsi="宋体" w:cs="宋体" w:hint="eastAsia"/>
          <w:kern w:val="0"/>
          <w:szCs w:val="21"/>
        </w:rPr>
        <w:t>东方财富证券</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DD7E3C">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w:t>
      </w:r>
      <w:r>
        <w:rPr>
          <w:rFonts w:ascii="宋体" w:hAnsi="宋体" w:cs="宋体" w:hint="eastAsia"/>
          <w:szCs w:val="21"/>
        </w:rPr>
        <w:t>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东方财富证券</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东方财富证券</w:t>
      </w:r>
      <w:r>
        <w:rPr>
          <w:rFonts w:ascii="宋体" w:hAnsi="宋体" w:cs="宋体" w:hint="eastAsia"/>
          <w:szCs w:val="21"/>
        </w:rPr>
        <w:t>直接开户便可进行东吴基金定期定额投资业务。</w:t>
      </w:r>
    </w:p>
    <w:p w:rsidR="00000000" w:rsidRDefault="00DD7E3C">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东方财富证券</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DD7E3C">
      <w:pPr>
        <w:widowControl/>
        <w:snapToGrid w:val="0"/>
        <w:spacing w:line="360" w:lineRule="auto"/>
        <w:ind w:firstLineChars="200" w:firstLine="420"/>
        <w:jc w:val="left"/>
        <w:rPr>
          <w:rFonts w:ascii="宋体" w:hAnsi="宋体" w:cs="宋体" w:hint="eastAsia"/>
          <w:color w:val="000000"/>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东方财富证券</w:t>
      </w:r>
      <w:r>
        <w:rPr>
          <w:rFonts w:ascii="宋体" w:hAnsi="宋体" w:cs="宋体" w:hint="eastAsia"/>
          <w:szCs w:val="21"/>
        </w:rPr>
        <w:t>约定每期固定扣款（申购）金额，基</w:t>
      </w:r>
      <w:r>
        <w:rPr>
          <w:rFonts w:ascii="宋体" w:hAnsi="宋体" w:cs="宋体" w:hint="eastAsia"/>
          <w:szCs w:val="21"/>
        </w:rPr>
        <w:t>金每期定投</w:t>
      </w:r>
      <w:r>
        <w:rPr>
          <w:rFonts w:ascii="宋体" w:hAnsi="宋体" w:cs="宋体" w:hint="eastAsia"/>
          <w:szCs w:val="21"/>
        </w:rPr>
        <w:t>的最高最低扣款</w:t>
      </w:r>
      <w:r>
        <w:rPr>
          <w:rFonts w:ascii="宋体" w:hAnsi="宋体" w:cs="宋体" w:hint="eastAsia"/>
          <w:szCs w:val="21"/>
        </w:rPr>
        <w:t>金额以代销机构规定为准</w:t>
      </w:r>
      <w:r>
        <w:rPr>
          <w:rFonts w:ascii="宋体" w:hAnsi="宋体" w:cs="宋体" w:hint="eastAsia"/>
          <w:szCs w:val="21"/>
        </w:rPr>
        <w:t>，</w:t>
      </w:r>
      <w:r>
        <w:rPr>
          <w:rFonts w:ascii="宋体" w:hAnsi="宋体" w:cs="宋体" w:hint="eastAsia"/>
          <w:szCs w:val="21"/>
        </w:rPr>
        <w:t>但扣款金额不得低于</w:t>
      </w:r>
      <w:hyperlink r:id="rId7" w:tgtFrame="http://10.1.3.60/_blank" w:history="1">
        <w:r>
          <w:rPr>
            <w:rFonts w:ascii="宋体" w:hAnsi="宋体" w:cs="宋体" w:hint="eastAsia"/>
            <w:szCs w:val="21"/>
          </w:rPr>
          <w:t>人民币</w:t>
        </w:r>
      </w:hyperlink>
      <w:r>
        <w:rPr>
          <w:rFonts w:ascii="宋体" w:hAnsi="宋体" w:cs="宋体" w:hint="eastAsia"/>
          <w:szCs w:val="21"/>
        </w:rPr>
        <w:t>1.00</w:t>
      </w:r>
      <w:r>
        <w:rPr>
          <w:rFonts w:ascii="宋体" w:hAnsi="宋体" w:cs="宋体" w:hint="eastAsia"/>
          <w:szCs w:val="21"/>
        </w:rPr>
        <w:t>元（货币基金不得低于人民币</w:t>
      </w:r>
      <w:r>
        <w:rPr>
          <w:rFonts w:ascii="宋体" w:hAnsi="宋体" w:cs="宋体" w:hint="eastAsia"/>
          <w:szCs w:val="21"/>
        </w:rPr>
        <w:t>100</w:t>
      </w:r>
      <w:r>
        <w:rPr>
          <w:rFonts w:ascii="宋体" w:hAnsi="宋体" w:cs="宋体" w:hint="eastAsia"/>
          <w:szCs w:val="21"/>
        </w:rPr>
        <w:t>元）。</w:t>
      </w:r>
    </w:p>
    <w:p w:rsidR="00000000" w:rsidRDefault="00DD7E3C">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二</w:t>
      </w:r>
      <w:r>
        <w:rPr>
          <w:rFonts w:ascii="宋体" w:hAnsi="宋体" w:cs="宋体" w:hint="eastAsia"/>
          <w:color w:val="000000"/>
          <w:szCs w:val="21"/>
        </w:rPr>
        <w:t>、重要提示</w:t>
      </w:r>
    </w:p>
    <w:p w:rsidR="00000000" w:rsidRDefault="00DD7E3C">
      <w:pPr>
        <w:spacing w:line="400" w:lineRule="exact"/>
        <w:ind w:firstLineChars="200" w:firstLine="420"/>
        <w:rPr>
          <w:rFonts w:ascii="宋体" w:hAnsi="宋体" w:cs="宋体" w:hint="eastAsia"/>
          <w:kern w:val="0"/>
          <w:szCs w:val="21"/>
        </w:rPr>
      </w:pPr>
      <w:r>
        <w:rPr>
          <w:rFonts w:ascii="宋体" w:hAnsi="宋体" w:cs="宋体" w:hint="eastAsia"/>
          <w:kern w:val="0"/>
          <w:szCs w:val="21"/>
        </w:rPr>
        <w:t>投资者可通过以下途径咨询有关详情</w:t>
      </w:r>
      <w:r>
        <w:rPr>
          <w:rFonts w:ascii="宋体" w:hAnsi="宋体" w:cs="宋体" w:hint="eastAsia"/>
          <w:kern w:val="0"/>
          <w:szCs w:val="21"/>
        </w:rPr>
        <w:t>:</w:t>
      </w:r>
    </w:p>
    <w:p w:rsidR="00000000" w:rsidRDefault="00DD7E3C">
      <w:pPr>
        <w:spacing w:line="400" w:lineRule="exact"/>
        <w:rPr>
          <w:rFonts w:ascii="宋体" w:hAnsi="宋体" w:cs="宋体" w:hint="eastAsia"/>
          <w:kern w:val="0"/>
          <w:szCs w:val="21"/>
        </w:rPr>
      </w:pPr>
      <w:r>
        <w:rPr>
          <w:rFonts w:ascii="宋体" w:hAnsi="宋体" w:cs="宋体" w:hint="eastAsia"/>
          <w:kern w:val="0"/>
          <w:szCs w:val="21"/>
        </w:rPr>
        <w:t xml:space="preserve">    1</w:t>
      </w:r>
      <w:r>
        <w:rPr>
          <w:rFonts w:ascii="宋体" w:hAnsi="宋体" w:cs="宋体" w:hint="eastAsia"/>
          <w:kern w:val="0"/>
          <w:szCs w:val="21"/>
        </w:rPr>
        <w:t>）东方财富证券股份有限公司</w:t>
      </w:r>
    </w:p>
    <w:p w:rsidR="00000000" w:rsidRDefault="00DD7E3C">
      <w:pPr>
        <w:spacing w:line="400" w:lineRule="exact"/>
        <w:rPr>
          <w:rFonts w:ascii="宋体" w:hAnsi="宋体" w:cs="宋体"/>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95357</w:t>
      </w:r>
    </w:p>
    <w:p w:rsidR="00000000" w:rsidRDefault="00DD7E3C">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r>
        <w:rPr>
          <w:rFonts w:ascii="宋体" w:hAnsi="宋体" w:cs="宋体" w:hint="eastAsia"/>
          <w:kern w:val="0"/>
          <w:szCs w:val="21"/>
        </w:rPr>
        <w:t>http://www.18.cn</w:t>
      </w:r>
    </w:p>
    <w:p w:rsidR="00000000" w:rsidRDefault="00DD7E3C">
      <w:pPr>
        <w:spacing w:line="400" w:lineRule="exact"/>
        <w:ind w:firstLineChars="304" w:firstLine="638"/>
        <w:rPr>
          <w:rFonts w:ascii="宋体" w:hAnsi="宋体" w:cs="宋体" w:hint="eastAsia"/>
          <w:kern w:val="0"/>
          <w:szCs w:val="21"/>
        </w:rPr>
      </w:pPr>
    </w:p>
    <w:p w:rsidR="00000000" w:rsidRDefault="00DD7E3C">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DD7E3C">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w:t>
      </w:r>
      <w:r>
        <w:rPr>
          <w:rFonts w:ascii="宋体" w:hAnsi="宋体" w:cs="宋体" w:hint="eastAsia"/>
          <w:kern w:val="0"/>
          <w:szCs w:val="21"/>
        </w:rPr>
        <w:t>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DD7E3C">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8" w:history="1">
        <w:r>
          <w:rPr>
            <w:rFonts w:ascii="宋体" w:hAnsi="宋体" w:cs="宋体" w:hint="eastAsia"/>
            <w:szCs w:val="21"/>
          </w:rPr>
          <w:t>www.scfund.com.cn</w:t>
        </w:r>
      </w:hyperlink>
    </w:p>
    <w:p w:rsidR="00000000" w:rsidRDefault="00DD7E3C">
      <w:pPr>
        <w:spacing w:line="400" w:lineRule="exact"/>
        <w:rPr>
          <w:rFonts w:ascii="宋体" w:hAnsi="宋体" w:cs="宋体" w:hint="eastAsia"/>
          <w:color w:val="000000"/>
          <w:kern w:val="0"/>
          <w:szCs w:val="21"/>
        </w:rPr>
      </w:pPr>
    </w:p>
    <w:p w:rsidR="00000000" w:rsidRDefault="00DD7E3C">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三</w:t>
      </w:r>
      <w:r>
        <w:rPr>
          <w:rFonts w:ascii="宋体" w:hAnsi="宋体" w:cs="宋体" w:hint="eastAsia"/>
          <w:color w:val="000000"/>
          <w:kern w:val="0"/>
          <w:szCs w:val="21"/>
        </w:rPr>
        <w:t>、风险提示</w:t>
      </w:r>
    </w:p>
    <w:p w:rsidR="00000000" w:rsidRDefault="00DD7E3C">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DD7E3C">
      <w:pPr>
        <w:spacing w:line="400" w:lineRule="exact"/>
        <w:ind w:firstLineChars="200" w:firstLine="420"/>
        <w:rPr>
          <w:rFonts w:ascii="宋体" w:hAnsi="宋体" w:cs="宋体" w:hint="eastAsia"/>
          <w:szCs w:val="21"/>
        </w:rPr>
      </w:pPr>
      <w:r>
        <w:rPr>
          <w:rFonts w:ascii="宋体" w:hAnsi="宋体" w:cs="宋体" w:hint="eastAsia"/>
          <w:szCs w:val="21"/>
        </w:rPr>
        <w:t>特此公告。</w:t>
      </w:r>
      <w:r>
        <w:rPr>
          <w:rFonts w:ascii="宋体" w:hAnsi="宋体" w:cs="宋体" w:hint="eastAsia"/>
          <w:szCs w:val="21"/>
        </w:rPr>
        <w:t xml:space="preserve"> </w:t>
      </w:r>
    </w:p>
    <w:p w:rsidR="00000000" w:rsidRDefault="00DD7E3C">
      <w:pPr>
        <w:spacing w:line="400" w:lineRule="exact"/>
        <w:rPr>
          <w:rFonts w:ascii="宋体" w:hAnsi="宋体" w:cs="宋体" w:hint="eastAsia"/>
          <w:szCs w:val="21"/>
        </w:rPr>
      </w:pPr>
    </w:p>
    <w:p w:rsidR="00000000" w:rsidRDefault="00DD7E3C">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DD7E3C">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17</w:t>
      </w:r>
      <w:r>
        <w:rPr>
          <w:rFonts w:ascii="宋体" w:hAnsi="宋体" w:cs="宋体" w:hint="eastAsia"/>
          <w:szCs w:val="21"/>
        </w:rPr>
        <w:t>日</w:t>
      </w:r>
    </w:p>
    <w:sectPr w:rsidR="0000000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3C" w:rsidRPr="00DD7E3C" w:rsidRDefault="00DD7E3C" w:rsidP="00DD7E3C">
      <w:pPr>
        <w:rPr>
          <w:sz w:val="24"/>
        </w:rPr>
      </w:pPr>
      <w:r>
        <w:separator/>
      </w:r>
    </w:p>
  </w:endnote>
  <w:endnote w:type="continuationSeparator" w:id="0">
    <w:p w:rsidR="00DD7E3C" w:rsidRPr="00DD7E3C" w:rsidRDefault="00DD7E3C" w:rsidP="00DD7E3C">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3C" w:rsidRPr="00DD7E3C" w:rsidRDefault="00DD7E3C" w:rsidP="00DD7E3C">
      <w:pPr>
        <w:rPr>
          <w:sz w:val="24"/>
        </w:rPr>
      </w:pPr>
      <w:r>
        <w:separator/>
      </w:r>
    </w:p>
  </w:footnote>
  <w:footnote w:type="continuationSeparator" w:id="0">
    <w:p w:rsidR="00DD7E3C" w:rsidRPr="00DD7E3C" w:rsidRDefault="00DD7E3C" w:rsidP="00DD7E3C">
      <w:pPr>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E3C" w:rsidRDefault="00DD7E3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62C02FED"/>
    <w:multiLevelType w:val="singleLevel"/>
    <w:tmpl w:val="62C02FED"/>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D7E3C"/>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BF4636"/>
    <w:rsid w:val="0517058A"/>
    <w:rsid w:val="05282922"/>
    <w:rsid w:val="05381270"/>
    <w:rsid w:val="05FD0EAD"/>
    <w:rsid w:val="06171B42"/>
    <w:rsid w:val="0731695F"/>
    <w:rsid w:val="07426877"/>
    <w:rsid w:val="076808B4"/>
    <w:rsid w:val="097914DE"/>
    <w:rsid w:val="0A641E54"/>
    <w:rsid w:val="0AFA04AF"/>
    <w:rsid w:val="0B2854B7"/>
    <w:rsid w:val="0C1734E6"/>
    <w:rsid w:val="0D781E29"/>
    <w:rsid w:val="0F5A6124"/>
    <w:rsid w:val="0FDD728A"/>
    <w:rsid w:val="113B260F"/>
    <w:rsid w:val="11D35ECA"/>
    <w:rsid w:val="12260115"/>
    <w:rsid w:val="126C35C1"/>
    <w:rsid w:val="13A147CE"/>
    <w:rsid w:val="1412586F"/>
    <w:rsid w:val="149A6E87"/>
    <w:rsid w:val="149B08DC"/>
    <w:rsid w:val="156173A0"/>
    <w:rsid w:val="16E41E49"/>
    <w:rsid w:val="176C38A0"/>
    <w:rsid w:val="183F3F70"/>
    <w:rsid w:val="185A6A58"/>
    <w:rsid w:val="18712614"/>
    <w:rsid w:val="196E49C7"/>
    <w:rsid w:val="1B983254"/>
    <w:rsid w:val="1BED5CE0"/>
    <w:rsid w:val="1CDF3654"/>
    <w:rsid w:val="1FC7683A"/>
    <w:rsid w:val="1FDF5B04"/>
    <w:rsid w:val="211B1988"/>
    <w:rsid w:val="21FC2E7E"/>
    <w:rsid w:val="221E1973"/>
    <w:rsid w:val="225C7323"/>
    <w:rsid w:val="2269333F"/>
    <w:rsid w:val="235231CF"/>
    <w:rsid w:val="23A83A0D"/>
    <w:rsid w:val="23DF120B"/>
    <w:rsid w:val="24140680"/>
    <w:rsid w:val="2534229A"/>
    <w:rsid w:val="25EC6BD7"/>
    <w:rsid w:val="27C45851"/>
    <w:rsid w:val="280C74C5"/>
    <w:rsid w:val="297E1EFC"/>
    <w:rsid w:val="2A490204"/>
    <w:rsid w:val="2AAE6793"/>
    <w:rsid w:val="2B382728"/>
    <w:rsid w:val="2B5C6850"/>
    <w:rsid w:val="2C15743B"/>
    <w:rsid w:val="2C445CD5"/>
    <w:rsid w:val="2CB23497"/>
    <w:rsid w:val="2D2F0A6E"/>
    <w:rsid w:val="2D8108DF"/>
    <w:rsid w:val="2E290C48"/>
    <w:rsid w:val="2FAA2872"/>
    <w:rsid w:val="2FCA1259"/>
    <w:rsid w:val="301369CA"/>
    <w:rsid w:val="309148BA"/>
    <w:rsid w:val="3094794A"/>
    <w:rsid w:val="312100DD"/>
    <w:rsid w:val="3258004E"/>
    <w:rsid w:val="33576347"/>
    <w:rsid w:val="33915228"/>
    <w:rsid w:val="351A72AD"/>
    <w:rsid w:val="354D41DF"/>
    <w:rsid w:val="36AC5178"/>
    <w:rsid w:val="371F6ECB"/>
    <w:rsid w:val="373E372F"/>
    <w:rsid w:val="38137F9C"/>
    <w:rsid w:val="384F7EF3"/>
    <w:rsid w:val="399D3EBE"/>
    <w:rsid w:val="39FB0130"/>
    <w:rsid w:val="3A0D38CD"/>
    <w:rsid w:val="3B7E185D"/>
    <w:rsid w:val="3DA939C5"/>
    <w:rsid w:val="3E1F1601"/>
    <w:rsid w:val="3E431917"/>
    <w:rsid w:val="3EA74EA6"/>
    <w:rsid w:val="40591B82"/>
    <w:rsid w:val="412133EB"/>
    <w:rsid w:val="41BE6799"/>
    <w:rsid w:val="41F017A8"/>
    <w:rsid w:val="42197735"/>
    <w:rsid w:val="428772D4"/>
    <w:rsid w:val="431369E3"/>
    <w:rsid w:val="443C6B00"/>
    <w:rsid w:val="453E3F7B"/>
    <w:rsid w:val="45BC5CB8"/>
    <w:rsid w:val="467C28B2"/>
    <w:rsid w:val="46B05CA5"/>
    <w:rsid w:val="46D91E43"/>
    <w:rsid w:val="47C17D67"/>
    <w:rsid w:val="48463A92"/>
    <w:rsid w:val="489354A0"/>
    <w:rsid w:val="49083735"/>
    <w:rsid w:val="490F7BDD"/>
    <w:rsid w:val="49993861"/>
    <w:rsid w:val="49FC1ED4"/>
    <w:rsid w:val="4AFB1112"/>
    <w:rsid w:val="4C5E5660"/>
    <w:rsid w:val="4C8C3A8E"/>
    <w:rsid w:val="4CC340C8"/>
    <w:rsid w:val="4E053C46"/>
    <w:rsid w:val="4EC201C3"/>
    <w:rsid w:val="4F691C56"/>
    <w:rsid w:val="4FD81752"/>
    <w:rsid w:val="511B3346"/>
    <w:rsid w:val="51C41695"/>
    <w:rsid w:val="524B0146"/>
    <w:rsid w:val="52861B73"/>
    <w:rsid w:val="53506042"/>
    <w:rsid w:val="551136CC"/>
    <w:rsid w:val="5794651A"/>
    <w:rsid w:val="580F7213"/>
    <w:rsid w:val="58BB67A0"/>
    <w:rsid w:val="58DA0FD3"/>
    <w:rsid w:val="58FF5142"/>
    <w:rsid w:val="59391735"/>
    <w:rsid w:val="59C33488"/>
    <w:rsid w:val="5A765101"/>
    <w:rsid w:val="5A9F0071"/>
    <w:rsid w:val="5B031ABD"/>
    <w:rsid w:val="5B850857"/>
    <w:rsid w:val="5BA33C64"/>
    <w:rsid w:val="5C661F95"/>
    <w:rsid w:val="5C712910"/>
    <w:rsid w:val="5D057564"/>
    <w:rsid w:val="5E2A5AED"/>
    <w:rsid w:val="5E7D2556"/>
    <w:rsid w:val="5F110351"/>
    <w:rsid w:val="5F772004"/>
    <w:rsid w:val="5FAA4FFC"/>
    <w:rsid w:val="5FBB4ABD"/>
    <w:rsid w:val="600816B0"/>
    <w:rsid w:val="6025124B"/>
    <w:rsid w:val="603D5AAD"/>
    <w:rsid w:val="6072134A"/>
    <w:rsid w:val="608A7D81"/>
    <w:rsid w:val="61BE058B"/>
    <w:rsid w:val="6219297F"/>
    <w:rsid w:val="62E01DCA"/>
    <w:rsid w:val="63857653"/>
    <w:rsid w:val="63D931E2"/>
    <w:rsid w:val="641D434E"/>
    <w:rsid w:val="650A6E75"/>
    <w:rsid w:val="651560BA"/>
    <w:rsid w:val="652E52F0"/>
    <w:rsid w:val="65890AB7"/>
    <w:rsid w:val="66F43AF7"/>
    <w:rsid w:val="67787F8D"/>
    <w:rsid w:val="67F266AF"/>
    <w:rsid w:val="68FC32F2"/>
    <w:rsid w:val="697B224C"/>
    <w:rsid w:val="69A07404"/>
    <w:rsid w:val="69E95778"/>
    <w:rsid w:val="6A596387"/>
    <w:rsid w:val="6A732B77"/>
    <w:rsid w:val="6AA97939"/>
    <w:rsid w:val="6B3016EB"/>
    <w:rsid w:val="6BBB6AAD"/>
    <w:rsid w:val="6DB15CE3"/>
    <w:rsid w:val="6DCF7A62"/>
    <w:rsid w:val="6EB448FD"/>
    <w:rsid w:val="6F1C4FCE"/>
    <w:rsid w:val="6F383D07"/>
    <w:rsid w:val="6F421085"/>
    <w:rsid w:val="706C7FA2"/>
    <w:rsid w:val="71127BA2"/>
    <w:rsid w:val="726F6D4C"/>
    <w:rsid w:val="734F09D5"/>
    <w:rsid w:val="73FD2CDB"/>
    <w:rsid w:val="757438E6"/>
    <w:rsid w:val="765811C9"/>
    <w:rsid w:val="768C1119"/>
    <w:rsid w:val="776C6CE8"/>
    <w:rsid w:val="77B37523"/>
    <w:rsid w:val="77EF43DC"/>
    <w:rsid w:val="77FC49BB"/>
    <w:rsid w:val="78501E3B"/>
    <w:rsid w:val="795A5208"/>
    <w:rsid w:val="79833C7C"/>
    <w:rsid w:val="79C91A00"/>
    <w:rsid w:val="79DB41C3"/>
    <w:rsid w:val="7A56204E"/>
    <w:rsid w:val="7A5709DC"/>
    <w:rsid w:val="7B9F358C"/>
    <w:rsid w:val="7C271FE0"/>
    <w:rsid w:val="7D0801C2"/>
    <w:rsid w:val="7D3B2EE5"/>
    <w:rsid w:val="7D8E1395"/>
    <w:rsid w:val="7DA60233"/>
    <w:rsid w:val="7DB74490"/>
    <w:rsid w:val="7E1A4758"/>
    <w:rsid w:val="7F1C5F9D"/>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style>
  <w:style w:type="character" w:styleId="a3">
    <w:name w:val="Hyperlink"/>
    <w:basedOn w:val="a0"/>
    <w:rPr>
      <w:color w:val="0000FF"/>
      <w:u w:val="single"/>
    </w:rPr>
  </w:style>
  <w:style w:type="character" w:styleId="a4">
    <w:name w:val="page number"/>
    <w:basedOn w:val="a0"/>
  </w:style>
  <w:style w:type="character" w:styleId="a5">
    <w:name w:val="FollowedHyperlink"/>
    <w:basedOn w:val="a0"/>
    <w:rPr>
      <w:color w:val="800080"/>
      <w:u w:val="single"/>
    </w:rPr>
  </w:style>
  <w:style w:type="character" w:styleId="a6">
    <w:name w:val="annotation reference"/>
    <w:semiHidden/>
    <w:rPr>
      <w:sz w:val="21"/>
      <w:szCs w:val="21"/>
    </w:rPr>
  </w:style>
  <w:style w:type="character" w:customStyle="1" w:styleId="emailstyle27">
    <w:name w:val="emailstyle27"/>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Char">
    <w:name w:val="文档结构图 Char"/>
    <w:link w:val="a7"/>
    <w:rPr>
      <w:rFonts w:ascii="宋体"/>
      <w:kern w:val="2"/>
      <w:sz w:val="18"/>
      <w:szCs w:val="18"/>
    </w:rPr>
  </w:style>
  <w:style w:type="character" w:customStyle="1" w:styleId="emailstyle24">
    <w:name w:val="emailstyle24"/>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Char0">
    <w:name w:val="页眉 Char"/>
    <w:link w:val="a8"/>
    <w:rPr>
      <w:kern w:val="2"/>
      <w:sz w:val="18"/>
      <w:szCs w:val="18"/>
    </w:rPr>
  </w:style>
  <w:style w:type="character" w:customStyle="1" w:styleId="Char1">
    <w:name w:val="批注框文本 Char"/>
    <w:link w:val="a9"/>
    <w:rPr>
      <w:rFonts w:ascii="宋体" w:eastAsia="宋体" w:hAnsi="宋体" w:cs="宋体" w:hint="eastAsia"/>
    </w:rPr>
  </w:style>
  <w:style w:type="character" w:customStyle="1" w:styleId="emailstyle21">
    <w:name w:val="emailstyle21"/>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Char2">
    <w:name w:val="页脚 Char"/>
    <w:link w:val="aa"/>
    <w:rPr>
      <w:kern w:val="2"/>
      <w:sz w:val="18"/>
      <w:szCs w:val="18"/>
    </w:rPr>
  </w:style>
  <w:style w:type="character" w:customStyle="1" w:styleId="emailstyle20">
    <w:name w:val="emailstyle20"/>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emailstyle23">
    <w:name w:val="emailstyle23"/>
    <w:rPr>
      <w:rFonts w:ascii="Calibri" w:hAnsi="Calibri" w:cs="Calibri" w:hint="default"/>
      <w:color w:val="1F497D"/>
    </w:rPr>
  </w:style>
  <w:style w:type="paragraph" w:styleId="a8">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9">
    <w:name w:val="Balloon Text"/>
    <w:basedOn w:val="a"/>
    <w:link w:val="Char1"/>
    <w:semiHidden/>
    <w:rPr>
      <w:sz w:val="18"/>
      <w:szCs w:val="18"/>
    </w:rPr>
  </w:style>
  <w:style w:type="paragraph" w:styleId="ab">
    <w:name w:val="annotation subject"/>
    <w:basedOn w:val="ac"/>
    <w:next w:val="ac"/>
    <w:semiHidden/>
    <w:rPr>
      <w:b/>
      <w:bCs/>
    </w:rPr>
  </w:style>
  <w:style w:type="paragraph" w:styleId="ac">
    <w:name w:val="annotation text"/>
    <w:basedOn w:val="a"/>
    <w:semiHidden/>
    <w:pPr>
      <w:jc w:val="left"/>
    </w:pPr>
  </w:style>
  <w:style w:type="paragraph" w:styleId="a7">
    <w:name w:val="Document Map"/>
    <w:basedOn w:val="a"/>
    <w:link w:val="Char"/>
    <w:rPr>
      <w:rFonts w:ascii="宋体"/>
      <w:sz w:val="18"/>
      <w:szCs w:val="18"/>
    </w:rPr>
  </w:style>
  <w:style w:type="paragraph" w:styleId="ad">
    <w:name w:val="Normal (Web)"/>
    <w:basedOn w:val="a"/>
    <w:pPr>
      <w:widowControl/>
      <w:spacing w:before="100" w:beforeAutospacing="1" w:after="100" w:afterAutospacing="1"/>
      <w:jc w:val="left"/>
    </w:pPr>
    <w:rPr>
      <w:rFonts w:ascii="宋体" w:hAnsi="宋体"/>
      <w:kern w:val="0"/>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customStyle="1" w:styleId="CharCharCharChar">
    <w:name w:val=" Char Char Char Char"/>
    <w:basedOn w:val="a"/>
    <w:link w:val="a0"/>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paragraph" w:customStyle="1" w:styleId="CharCharCharCharCharCharChar">
    <w:name w:val=" Char Char Char Char Char Char Char"/>
    <w:basedOn w:val="a"/>
    <w:pPr>
      <w:tabs>
        <w:tab w:val="left" w:pos="360"/>
      </w:tabs>
    </w:pPr>
    <w:rPr>
      <w:sz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fund.com.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finance.ifeng.com/news/special/rm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1779</Characters>
  <Application>Microsoft Office Word</Application>
  <DocSecurity>4</DocSecurity>
  <PresentationFormat/>
  <Lines>14</Lines>
  <Paragraphs>4</Paragraphs>
  <Slides>0</Slides>
  <Notes>0</Notes>
  <HiddenSlides>0</HiddenSlides>
  <MMClips>0</MMClips>
  <ScaleCrop>false</ScaleCrop>
  <Manager/>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东吴基金管理有限公司关于旗下部分基金开通在东方财富证券股份有限公司的定期定额业务的公告</dc:title>
  <dc:subject/>
  <dc:creator>dingxue</dc:creator>
  <cp:keywords/>
  <dc:description/>
  <cp:lastModifiedBy>ZHONGM</cp:lastModifiedBy>
  <cp:revision>2</cp:revision>
  <cp:lastPrinted>2015-06-11T02:51:00Z</cp:lastPrinted>
  <dcterms:created xsi:type="dcterms:W3CDTF">2021-03-16T16:01:00Z</dcterms:created>
  <dcterms:modified xsi:type="dcterms:W3CDTF">2021-03-16T16:01:00Z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