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C6" w:rsidRDefault="00A33605" w:rsidP="00A33605">
      <w:pPr>
        <w:jc w:val="center"/>
        <w:rPr>
          <w:b/>
          <w:sz w:val="24"/>
          <w:szCs w:val="24"/>
        </w:rPr>
      </w:pPr>
      <w:r w:rsidRPr="00A33605">
        <w:rPr>
          <w:rFonts w:hint="eastAsia"/>
          <w:b/>
          <w:sz w:val="24"/>
          <w:szCs w:val="24"/>
        </w:rPr>
        <w:t>永赢基金管理有限公司</w:t>
      </w:r>
      <w:r w:rsidR="00685588">
        <w:rPr>
          <w:rFonts w:hint="eastAsia"/>
          <w:b/>
          <w:sz w:val="24"/>
          <w:szCs w:val="24"/>
        </w:rPr>
        <w:t>关于</w:t>
      </w:r>
      <w:r w:rsidRPr="00A33605">
        <w:rPr>
          <w:rFonts w:hint="eastAsia"/>
          <w:b/>
          <w:sz w:val="24"/>
          <w:szCs w:val="24"/>
        </w:rPr>
        <w:t>旗下部分基金投资非公开发行股票的公告</w:t>
      </w:r>
    </w:p>
    <w:p w:rsidR="00A33605" w:rsidRDefault="00A33605" w:rsidP="00A33605">
      <w:pPr>
        <w:rPr>
          <w:b/>
          <w:sz w:val="24"/>
          <w:szCs w:val="24"/>
        </w:rPr>
      </w:pPr>
    </w:p>
    <w:p w:rsidR="00A33605" w:rsidRPr="005C3B0E" w:rsidRDefault="00680EE7" w:rsidP="005C3B0E">
      <w:pPr>
        <w:pStyle w:val="Default"/>
      </w:pPr>
      <w:r>
        <w:rPr>
          <w:rFonts w:ascii="Times New Roman" w:hAnsi="Times New Roman" w:hint="eastAsia"/>
        </w:rPr>
        <w:t xml:space="preserve">    </w:t>
      </w:r>
      <w:r w:rsidR="00A33605" w:rsidRPr="00680EE7">
        <w:rPr>
          <w:rFonts w:ascii="Times New Roman" w:hAnsi="Times New Roman" w:hint="eastAsia"/>
          <w:sz w:val="22"/>
        </w:rPr>
        <w:t>永赢</w:t>
      </w:r>
      <w:r w:rsidR="00A33605" w:rsidRPr="00680EE7">
        <w:rPr>
          <w:rFonts w:ascii="Times New Roman" w:hAnsi="Times New Roman"/>
          <w:sz w:val="22"/>
        </w:rPr>
        <w:t>基金管理有限公司（以下简称</w:t>
      </w:r>
      <w:r w:rsidR="00A33605" w:rsidRPr="00680EE7">
        <w:rPr>
          <w:rFonts w:ascii="Times New Roman" w:hAnsi="Times New Roman"/>
          <w:sz w:val="22"/>
        </w:rPr>
        <w:t>“</w:t>
      </w:r>
      <w:r w:rsidR="00A33605" w:rsidRPr="00680EE7">
        <w:rPr>
          <w:rFonts w:ascii="Times New Roman" w:hAnsi="Times New Roman"/>
          <w:sz w:val="22"/>
        </w:rPr>
        <w:t>本公司</w:t>
      </w:r>
      <w:r w:rsidR="00A33605" w:rsidRPr="00680EE7">
        <w:rPr>
          <w:rFonts w:ascii="Times New Roman" w:hAnsi="Times New Roman"/>
          <w:sz w:val="22"/>
        </w:rPr>
        <w:t>”</w:t>
      </w:r>
      <w:r w:rsidR="00A33605" w:rsidRPr="00680EE7">
        <w:rPr>
          <w:rFonts w:ascii="Times New Roman" w:hAnsi="Times New Roman"/>
          <w:sz w:val="22"/>
        </w:rPr>
        <w:t>）旗下部分基金参加</w:t>
      </w:r>
      <w:r w:rsidR="004B5E13">
        <w:rPr>
          <w:rFonts w:hint="eastAsia"/>
        </w:rPr>
        <w:t>了</w:t>
      </w:r>
      <w:r w:rsidR="00391EDF">
        <w:rPr>
          <w:rFonts w:hint="eastAsia"/>
          <w:sz w:val="23"/>
          <w:szCs w:val="23"/>
        </w:rPr>
        <w:t>中国重汽集团济南卡车股份有限公司（股票简称：中国重汽，证券代码：</w:t>
      </w:r>
      <w:r w:rsidR="004B5E13">
        <w:rPr>
          <w:sz w:val="23"/>
          <w:szCs w:val="23"/>
        </w:rPr>
        <w:t>000951</w:t>
      </w:r>
      <w:r w:rsidR="004B5E13">
        <w:rPr>
          <w:rFonts w:hint="eastAsia"/>
          <w:sz w:val="23"/>
          <w:szCs w:val="23"/>
        </w:rPr>
        <w:t>）</w:t>
      </w:r>
      <w:r w:rsidR="00A33605" w:rsidRPr="00680EE7">
        <w:rPr>
          <w:rFonts w:ascii="Times New Roman" w:hAnsi="Times New Roman"/>
          <w:sz w:val="22"/>
        </w:rPr>
        <w:t>非公开发行股票的认购。根据</w:t>
      </w:r>
      <w:r w:rsidR="007D4377" w:rsidRPr="007D4377">
        <w:rPr>
          <w:rFonts w:ascii="Times New Roman" w:hAnsi="Times New Roman" w:hint="eastAsia"/>
          <w:sz w:val="22"/>
        </w:rPr>
        <w:t>中国证券监督管理委员会</w:t>
      </w:r>
      <w:r w:rsidR="00A33605" w:rsidRPr="00680EE7">
        <w:rPr>
          <w:rFonts w:ascii="Times New Roman" w:hAnsi="Times New Roman"/>
          <w:sz w:val="22"/>
        </w:rPr>
        <w:t>《关于基金投资非公开发行股票等流通受限证券有关问题的通知》（证监基金字</w:t>
      </w:r>
      <w:r w:rsidR="00A33605" w:rsidRPr="00680EE7">
        <w:rPr>
          <w:rFonts w:ascii="Times New Roman" w:hAnsi="Times New Roman"/>
          <w:sz w:val="22"/>
        </w:rPr>
        <w:t>[2006]141</w:t>
      </w:r>
      <w:r w:rsidR="00A33605" w:rsidRPr="00680EE7">
        <w:rPr>
          <w:rFonts w:ascii="Times New Roman" w:hAnsi="Times New Roman"/>
          <w:sz w:val="22"/>
        </w:rPr>
        <w:t>号）等有关规定，本公司现将旗下</w:t>
      </w:r>
      <w:r w:rsidR="00DB3F12">
        <w:rPr>
          <w:rFonts w:ascii="Times New Roman" w:hAnsi="Times New Roman"/>
          <w:sz w:val="22"/>
        </w:rPr>
        <w:t>公募</w:t>
      </w:r>
      <w:r w:rsidR="00A33605" w:rsidRPr="00680EE7">
        <w:rPr>
          <w:rFonts w:ascii="Times New Roman" w:hAnsi="Times New Roman"/>
          <w:sz w:val="22"/>
        </w:rPr>
        <w:t>基金投资</w:t>
      </w:r>
      <w:r w:rsidR="004B5E13">
        <w:rPr>
          <w:rFonts w:hint="eastAsia"/>
          <w:sz w:val="23"/>
          <w:szCs w:val="23"/>
        </w:rPr>
        <w:t>中国重汽集团济南卡车股份有限</w:t>
      </w:r>
      <w:r w:rsidR="00DB3F12">
        <w:rPr>
          <w:rFonts w:ascii="Times New Roman" w:hAnsi="Times New Roman" w:hint="eastAsia"/>
          <w:sz w:val="22"/>
        </w:rPr>
        <w:t>公司本次</w:t>
      </w:r>
      <w:r w:rsidR="00A33605" w:rsidRPr="00680EE7">
        <w:rPr>
          <w:rFonts w:ascii="Times New Roman" w:hAnsi="Times New Roman"/>
          <w:sz w:val="22"/>
        </w:rPr>
        <w:t>非公开发行股票的相关信息公告如下：</w:t>
      </w:r>
    </w:p>
    <w:p w:rsidR="006C580F" w:rsidRPr="006C580F" w:rsidRDefault="006C580F" w:rsidP="006C580F">
      <w:pPr>
        <w:ind w:firstLineChars="200" w:firstLine="420"/>
        <w:rPr>
          <w:rFonts w:ascii="Times New Roman" w:eastAsia="宋体" w:hAnsi="Times New Roman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526"/>
        <w:gridCol w:w="1134"/>
        <w:gridCol w:w="1116"/>
        <w:gridCol w:w="1302"/>
        <w:gridCol w:w="1267"/>
        <w:gridCol w:w="1114"/>
        <w:gridCol w:w="1063"/>
      </w:tblGrid>
      <w:tr w:rsidR="006C580F" w:rsidRPr="006C580F" w:rsidTr="005C3B0E">
        <w:tc>
          <w:tcPr>
            <w:tcW w:w="1526" w:type="dxa"/>
            <w:vAlign w:val="center"/>
          </w:tcPr>
          <w:p w:rsidR="006C580F" w:rsidRPr="006C580F" w:rsidRDefault="006C580F" w:rsidP="006C580F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6C580F">
              <w:rPr>
                <w:rFonts w:ascii="Times New Roman" w:eastAsia="宋体" w:hint="eastAsia"/>
                <w:b/>
                <w:sz w:val="24"/>
                <w:szCs w:val="24"/>
              </w:rPr>
              <w:t>基金名称</w:t>
            </w:r>
          </w:p>
        </w:tc>
        <w:tc>
          <w:tcPr>
            <w:tcW w:w="1134" w:type="dxa"/>
            <w:vAlign w:val="center"/>
          </w:tcPr>
          <w:p w:rsidR="006C580F" w:rsidRPr="006C580F" w:rsidRDefault="006C580F" w:rsidP="006C580F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6C580F">
              <w:rPr>
                <w:rFonts w:ascii="Times New Roman" w:eastAsia="宋体" w:hint="eastAsia"/>
                <w:b/>
                <w:sz w:val="24"/>
                <w:szCs w:val="24"/>
              </w:rPr>
              <w:t>认购数量（股）</w:t>
            </w:r>
          </w:p>
        </w:tc>
        <w:tc>
          <w:tcPr>
            <w:tcW w:w="1116" w:type="dxa"/>
            <w:vAlign w:val="center"/>
          </w:tcPr>
          <w:p w:rsidR="006C580F" w:rsidRPr="006C580F" w:rsidRDefault="006C580F" w:rsidP="006C580F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6C580F">
              <w:rPr>
                <w:rFonts w:ascii="Times New Roman" w:eastAsia="宋体" w:hint="eastAsia"/>
                <w:b/>
                <w:sz w:val="24"/>
                <w:szCs w:val="24"/>
              </w:rPr>
              <w:t>总成本</w:t>
            </w:r>
            <w:r w:rsidR="00DC48E0">
              <w:rPr>
                <w:rFonts w:ascii="Times New Roman" w:eastAsia="宋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302" w:type="dxa"/>
            <w:vAlign w:val="center"/>
          </w:tcPr>
          <w:p w:rsidR="006C580F" w:rsidRPr="006C580F" w:rsidRDefault="006C580F" w:rsidP="006C580F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6C580F">
              <w:rPr>
                <w:rFonts w:ascii="Times New Roman" w:eastAsia="宋体"/>
                <w:b/>
                <w:sz w:val="24"/>
                <w:szCs w:val="24"/>
              </w:rPr>
              <w:t>总成本占</w:t>
            </w:r>
            <w:r w:rsidRPr="006C580F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6C580F">
              <w:rPr>
                <w:rFonts w:ascii="Times New Roman" w:eastAsia="宋体"/>
                <w:b/>
                <w:sz w:val="24"/>
                <w:szCs w:val="24"/>
              </w:rPr>
              <w:t>基金资产</w:t>
            </w:r>
            <w:r w:rsidRPr="006C580F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6C580F">
              <w:rPr>
                <w:rFonts w:ascii="Times New Roman" w:eastAsia="宋体"/>
                <w:b/>
                <w:sz w:val="24"/>
                <w:szCs w:val="24"/>
              </w:rPr>
              <w:t>净值比例</w:t>
            </w:r>
            <w:r w:rsidR="00DC48E0">
              <w:rPr>
                <w:rFonts w:ascii="Times New Roman" w:eastAsia="宋体" w:hint="eastAsia"/>
                <w:b/>
                <w:sz w:val="24"/>
                <w:szCs w:val="24"/>
              </w:rPr>
              <w:t>（</w:t>
            </w:r>
            <w:r w:rsidR="00DC48E0">
              <w:rPr>
                <w:rFonts w:ascii="Times New Roman" w:eastAsia="宋体" w:hint="eastAsia"/>
                <w:b/>
                <w:sz w:val="24"/>
                <w:szCs w:val="24"/>
              </w:rPr>
              <w:t>%</w:t>
            </w:r>
            <w:r w:rsidR="00DC48E0">
              <w:rPr>
                <w:rFonts w:ascii="Times New Roman" w:eastAsia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67" w:type="dxa"/>
            <w:vAlign w:val="center"/>
          </w:tcPr>
          <w:p w:rsidR="006C580F" w:rsidRPr="006C580F" w:rsidRDefault="006C580F" w:rsidP="006C580F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6C580F">
              <w:rPr>
                <w:rFonts w:ascii="Times New Roman" w:eastAsia="宋体"/>
                <w:b/>
                <w:sz w:val="24"/>
                <w:szCs w:val="24"/>
              </w:rPr>
              <w:t>账面价值（元）</w:t>
            </w:r>
          </w:p>
        </w:tc>
        <w:tc>
          <w:tcPr>
            <w:tcW w:w="1114" w:type="dxa"/>
            <w:vAlign w:val="center"/>
          </w:tcPr>
          <w:p w:rsidR="006C580F" w:rsidRPr="006C580F" w:rsidRDefault="006C580F" w:rsidP="006C580F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6C580F">
              <w:rPr>
                <w:rFonts w:ascii="Times New Roman" w:eastAsia="宋体"/>
                <w:b/>
                <w:sz w:val="24"/>
                <w:szCs w:val="24"/>
              </w:rPr>
              <w:t>账面价值</w:t>
            </w:r>
            <w:r w:rsidRPr="006C580F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6C580F">
              <w:rPr>
                <w:rFonts w:ascii="Times New Roman" w:eastAsia="宋体"/>
                <w:b/>
                <w:sz w:val="24"/>
                <w:szCs w:val="24"/>
              </w:rPr>
              <w:t>占基金资</w:t>
            </w:r>
            <w:r w:rsidRPr="006C580F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6C580F">
              <w:rPr>
                <w:rFonts w:ascii="Times New Roman" w:eastAsia="宋体"/>
                <w:b/>
                <w:sz w:val="24"/>
                <w:szCs w:val="24"/>
              </w:rPr>
              <w:t>产净值比</w:t>
            </w:r>
            <w:r w:rsidRPr="006C580F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6C580F">
              <w:rPr>
                <w:rFonts w:ascii="Times New Roman" w:eastAsia="宋体"/>
                <w:b/>
                <w:sz w:val="24"/>
                <w:szCs w:val="24"/>
              </w:rPr>
              <w:t>例</w:t>
            </w:r>
            <w:r w:rsidR="00DC48E0">
              <w:rPr>
                <w:rFonts w:ascii="Times New Roman" w:eastAsia="宋体" w:hint="eastAsia"/>
                <w:b/>
                <w:sz w:val="24"/>
                <w:szCs w:val="24"/>
              </w:rPr>
              <w:t>（</w:t>
            </w:r>
            <w:r w:rsidR="00DC48E0">
              <w:rPr>
                <w:rFonts w:ascii="Times New Roman" w:eastAsia="宋体" w:hint="eastAsia"/>
                <w:b/>
                <w:sz w:val="24"/>
                <w:szCs w:val="24"/>
              </w:rPr>
              <w:t>%</w:t>
            </w:r>
            <w:r w:rsidR="00DC48E0">
              <w:rPr>
                <w:rFonts w:ascii="Times New Roman" w:eastAsia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063" w:type="dxa"/>
            <w:vAlign w:val="center"/>
          </w:tcPr>
          <w:p w:rsidR="006C580F" w:rsidRPr="006C580F" w:rsidRDefault="006C580F" w:rsidP="006C580F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6C580F">
              <w:rPr>
                <w:rFonts w:ascii="Times New Roman" w:eastAsia="宋体"/>
                <w:b/>
                <w:sz w:val="24"/>
                <w:szCs w:val="24"/>
              </w:rPr>
              <w:t>限售期</w:t>
            </w:r>
            <w:r w:rsidR="00DC48E0">
              <w:rPr>
                <w:rFonts w:ascii="Times New Roman" w:eastAsia="宋体" w:hint="eastAsia"/>
                <w:b/>
                <w:sz w:val="24"/>
                <w:szCs w:val="24"/>
              </w:rPr>
              <w:t>（月）</w:t>
            </w:r>
          </w:p>
        </w:tc>
      </w:tr>
      <w:tr w:rsidR="00F369C5" w:rsidRPr="006C580F" w:rsidTr="005C3B0E">
        <w:trPr>
          <w:trHeight w:val="946"/>
        </w:trPr>
        <w:tc>
          <w:tcPr>
            <w:tcW w:w="1526" w:type="dxa"/>
          </w:tcPr>
          <w:p w:rsidR="00F369C5" w:rsidRPr="005C3B0E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3B0E">
              <w:rPr>
                <w:rFonts w:ascii="宋体" w:hAnsi="宋体" w:cs="宋体" w:hint="eastAsia"/>
                <w:color w:val="000000"/>
                <w:kern w:val="0"/>
                <w:szCs w:val="21"/>
              </w:rPr>
              <w:t>永赢高端制造混合型证券投资基金</w:t>
            </w:r>
          </w:p>
        </w:tc>
        <w:tc>
          <w:tcPr>
            <w:tcW w:w="1134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503,018</w:t>
            </w:r>
          </w:p>
        </w:tc>
        <w:tc>
          <w:tcPr>
            <w:tcW w:w="1116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14,999,996.76</w:t>
            </w:r>
          </w:p>
        </w:tc>
        <w:tc>
          <w:tcPr>
            <w:tcW w:w="1302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3.04%</w:t>
            </w:r>
          </w:p>
        </w:tc>
        <w:tc>
          <w:tcPr>
            <w:tcW w:w="1267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17796776.84</w:t>
            </w:r>
          </w:p>
        </w:tc>
        <w:tc>
          <w:tcPr>
            <w:tcW w:w="1114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3.61%</w:t>
            </w:r>
          </w:p>
        </w:tc>
        <w:tc>
          <w:tcPr>
            <w:tcW w:w="1063" w:type="dxa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 w:hint="eastAsia"/>
                <w:color w:val="000000"/>
                <w:kern w:val="0"/>
                <w:szCs w:val="21"/>
              </w:rPr>
              <w:t>6个月</w:t>
            </w:r>
          </w:p>
        </w:tc>
      </w:tr>
      <w:tr w:rsidR="00F369C5" w:rsidRPr="006C580F" w:rsidTr="005C3B0E">
        <w:trPr>
          <w:trHeight w:val="974"/>
        </w:trPr>
        <w:tc>
          <w:tcPr>
            <w:tcW w:w="1526" w:type="dxa"/>
          </w:tcPr>
          <w:p w:rsidR="00F369C5" w:rsidRPr="005C3B0E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3B0E">
              <w:rPr>
                <w:rFonts w:ascii="宋体" w:hAnsi="宋体" w:cs="宋体" w:hint="eastAsia"/>
                <w:color w:val="000000"/>
                <w:kern w:val="0"/>
                <w:szCs w:val="21"/>
              </w:rPr>
              <w:t>永赢乾元三年定期开放混合型证券投资基金</w:t>
            </w:r>
          </w:p>
        </w:tc>
        <w:tc>
          <w:tcPr>
            <w:tcW w:w="1134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1,006,036</w:t>
            </w:r>
          </w:p>
        </w:tc>
        <w:tc>
          <w:tcPr>
            <w:tcW w:w="1116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29,999,993.52</w:t>
            </w:r>
          </w:p>
        </w:tc>
        <w:tc>
          <w:tcPr>
            <w:tcW w:w="1302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2.49%</w:t>
            </w:r>
          </w:p>
        </w:tc>
        <w:tc>
          <w:tcPr>
            <w:tcW w:w="1267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35593553.68</w:t>
            </w:r>
          </w:p>
        </w:tc>
        <w:tc>
          <w:tcPr>
            <w:tcW w:w="1114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2.95%</w:t>
            </w:r>
          </w:p>
        </w:tc>
        <w:tc>
          <w:tcPr>
            <w:tcW w:w="1063" w:type="dxa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 w:hint="eastAsia"/>
                <w:color w:val="000000"/>
                <w:kern w:val="0"/>
                <w:szCs w:val="21"/>
              </w:rPr>
              <w:t>6个月</w:t>
            </w:r>
          </w:p>
        </w:tc>
      </w:tr>
      <w:tr w:rsidR="00F369C5" w:rsidRPr="006C580F" w:rsidTr="005C3B0E">
        <w:trPr>
          <w:trHeight w:val="974"/>
        </w:trPr>
        <w:tc>
          <w:tcPr>
            <w:tcW w:w="1526" w:type="dxa"/>
          </w:tcPr>
          <w:p w:rsidR="00F369C5" w:rsidRPr="005C3B0E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3B0E">
              <w:rPr>
                <w:rFonts w:ascii="宋体" w:hAnsi="宋体" w:cs="宋体" w:hint="eastAsia"/>
                <w:color w:val="000000"/>
                <w:kern w:val="0"/>
                <w:szCs w:val="21"/>
              </w:rPr>
              <w:t>永赢惠添利</w:t>
            </w:r>
            <w:r w:rsidR="00391EDF">
              <w:rPr>
                <w:rFonts w:ascii="宋体" w:hAnsi="宋体" w:cs="宋体" w:hint="eastAsia"/>
                <w:color w:val="000000"/>
                <w:kern w:val="0"/>
                <w:szCs w:val="21"/>
              </w:rPr>
              <w:t>灵活配置</w:t>
            </w:r>
            <w:r w:rsidRPr="005C3B0E">
              <w:rPr>
                <w:rFonts w:ascii="宋体" w:hAnsi="宋体" w:cs="宋体" w:hint="eastAsia"/>
                <w:color w:val="000000"/>
                <w:kern w:val="0"/>
                <w:szCs w:val="21"/>
              </w:rPr>
              <w:t>混合型证券投资基金</w:t>
            </w:r>
          </w:p>
        </w:tc>
        <w:tc>
          <w:tcPr>
            <w:tcW w:w="1134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1,676,727</w:t>
            </w:r>
          </w:p>
        </w:tc>
        <w:tc>
          <w:tcPr>
            <w:tcW w:w="1116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49,999,999.14</w:t>
            </w:r>
          </w:p>
        </w:tc>
        <w:tc>
          <w:tcPr>
            <w:tcW w:w="1302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1.73%</w:t>
            </w:r>
          </w:p>
        </w:tc>
        <w:tc>
          <w:tcPr>
            <w:tcW w:w="1267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59322601.26</w:t>
            </w:r>
          </w:p>
        </w:tc>
        <w:tc>
          <w:tcPr>
            <w:tcW w:w="1114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2.05%</w:t>
            </w:r>
          </w:p>
        </w:tc>
        <w:tc>
          <w:tcPr>
            <w:tcW w:w="1063" w:type="dxa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 w:hint="eastAsia"/>
                <w:color w:val="000000"/>
                <w:kern w:val="0"/>
                <w:szCs w:val="21"/>
              </w:rPr>
              <w:t>6个月</w:t>
            </w:r>
          </w:p>
        </w:tc>
      </w:tr>
      <w:tr w:rsidR="00F369C5" w:rsidRPr="006C580F" w:rsidTr="005C3B0E">
        <w:trPr>
          <w:trHeight w:val="974"/>
        </w:trPr>
        <w:tc>
          <w:tcPr>
            <w:tcW w:w="1526" w:type="dxa"/>
          </w:tcPr>
          <w:p w:rsidR="00F369C5" w:rsidRPr="005C3B0E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3B0E">
              <w:rPr>
                <w:rFonts w:ascii="宋体" w:hAnsi="宋体" w:cs="宋体" w:hint="eastAsia"/>
                <w:color w:val="000000"/>
                <w:kern w:val="0"/>
                <w:szCs w:val="21"/>
              </w:rPr>
              <w:t>永赢医药健康股票型证券投资基金</w:t>
            </w:r>
          </w:p>
        </w:tc>
        <w:tc>
          <w:tcPr>
            <w:tcW w:w="1134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33,534</w:t>
            </w:r>
          </w:p>
        </w:tc>
        <w:tc>
          <w:tcPr>
            <w:tcW w:w="1116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999,983.88</w:t>
            </w:r>
          </w:p>
        </w:tc>
        <w:tc>
          <w:tcPr>
            <w:tcW w:w="1302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1.11%</w:t>
            </w:r>
          </w:p>
        </w:tc>
        <w:tc>
          <w:tcPr>
            <w:tcW w:w="1267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1186432.92</w:t>
            </w:r>
          </w:p>
        </w:tc>
        <w:tc>
          <w:tcPr>
            <w:tcW w:w="1114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1.31%</w:t>
            </w:r>
          </w:p>
        </w:tc>
        <w:tc>
          <w:tcPr>
            <w:tcW w:w="1063" w:type="dxa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 w:hint="eastAsia"/>
                <w:color w:val="000000"/>
                <w:kern w:val="0"/>
                <w:szCs w:val="21"/>
              </w:rPr>
              <w:t>6个月</w:t>
            </w:r>
          </w:p>
        </w:tc>
      </w:tr>
      <w:tr w:rsidR="00F369C5" w:rsidRPr="006C580F" w:rsidTr="005C3B0E">
        <w:trPr>
          <w:trHeight w:val="974"/>
        </w:trPr>
        <w:tc>
          <w:tcPr>
            <w:tcW w:w="1526" w:type="dxa"/>
          </w:tcPr>
          <w:p w:rsidR="00F369C5" w:rsidRPr="005C3B0E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3B0E">
              <w:rPr>
                <w:rFonts w:ascii="宋体" w:hAnsi="宋体" w:cs="宋体" w:hint="eastAsia"/>
                <w:color w:val="000000"/>
                <w:kern w:val="0"/>
                <w:szCs w:val="21"/>
              </w:rPr>
              <w:t>永赢股息优选混合型证券投资基金</w:t>
            </w:r>
          </w:p>
        </w:tc>
        <w:tc>
          <w:tcPr>
            <w:tcW w:w="1134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503,018</w:t>
            </w:r>
          </w:p>
        </w:tc>
        <w:tc>
          <w:tcPr>
            <w:tcW w:w="1116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14,999,996.76</w:t>
            </w:r>
          </w:p>
        </w:tc>
        <w:tc>
          <w:tcPr>
            <w:tcW w:w="1302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2.29%</w:t>
            </w:r>
          </w:p>
        </w:tc>
        <w:tc>
          <w:tcPr>
            <w:tcW w:w="1267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17796776.84</w:t>
            </w:r>
          </w:p>
        </w:tc>
        <w:tc>
          <w:tcPr>
            <w:tcW w:w="1114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2.72%</w:t>
            </w:r>
          </w:p>
        </w:tc>
        <w:tc>
          <w:tcPr>
            <w:tcW w:w="1063" w:type="dxa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 w:hint="eastAsia"/>
                <w:color w:val="000000"/>
                <w:kern w:val="0"/>
                <w:szCs w:val="21"/>
              </w:rPr>
              <w:t>6个月</w:t>
            </w:r>
          </w:p>
        </w:tc>
      </w:tr>
      <w:tr w:rsidR="00F369C5" w:rsidRPr="006C580F" w:rsidTr="005C3B0E">
        <w:trPr>
          <w:trHeight w:val="974"/>
        </w:trPr>
        <w:tc>
          <w:tcPr>
            <w:tcW w:w="1526" w:type="dxa"/>
          </w:tcPr>
          <w:p w:rsidR="00F369C5" w:rsidRPr="005C3B0E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3B0E">
              <w:rPr>
                <w:rFonts w:ascii="宋体" w:hAnsi="宋体" w:cs="宋体" w:hint="eastAsia"/>
                <w:color w:val="000000"/>
                <w:kern w:val="0"/>
                <w:szCs w:val="21"/>
              </w:rPr>
              <w:t>永赢港股通品质生活慧选混合型证券投资基金</w:t>
            </w:r>
          </w:p>
        </w:tc>
        <w:tc>
          <w:tcPr>
            <w:tcW w:w="1134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1,341,381</w:t>
            </w:r>
          </w:p>
        </w:tc>
        <w:tc>
          <w:tcPr>
            <w:tcW w:w="1116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39,999,981.42</w:t>
            </w:r>
          </w:p>
        </w:tc>
        <w:tc>
          <w:tcPr>
            <w:tcW w:w="1302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1.87%</w:t>
            </w:r>
          </w:p>
        </w:tc>
        <w:tc>
          <w:tcPr>
            <w:tcW w:w="1267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47458059.78</w:t>
            </w:r>
          </w:p>
        </w:tc>
        <w:tc>
          <w:tcPr>
            <w:tcW w:w="1114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2.22%</w:t>
            </w:r>
          </w:p>
        </w:tc>
        <w:tc>
          <w:tcPr>
            <w:tcW w:w="1063" w:type="dxa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 w:hint="eastAsia"/>
                <w:color w:val="000000"/>
                <w:kern w:val="0"/>
                <w:szCs w:val="21"/>
              </w:rPr>
              <w:t>6个月</w:t>
            </w:r>
          </w:p>
        </w:tc>
      </w:tr>
      <w:tr w:rsidR="00F369C5" w:rsidRPr="006C580F" w:rsidTr="005C3B0E">
        <w:trPr>
          <w:trHeight w:val="974"/>
        </w:trPr>
        <w:tc>
          <w:tcPr>
            <w:tcW w:w="1526" w:type="dxa"/>
            <w:vAlign w:val="center"/>
          </w:tcPr>
          <w:p w:rsidR="00F369C5" w:rsidRDefault="00F369C5" w:rsidP="00F369C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E1A92">
              <w:rPr>
                <w:rFonts w:ascii="宋体" w:hAnsi="宋体" w:cs="宋体" w:hint="eastAsia"/>
                <w:color w:val="000000"/>
                <w:kern w:val="0"/>
                <w:szCs w:val="21"/>
              </w:rPr>
              <w:t>永赢消费主题灵活配置混合型证券投资基金</w:t>
            </w:r>
          </w:p>
        </w:tc>
        <w:tc>
          <w:tcPr>
            <w:tcW w:w="1134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1,509,054</w:t>
            </w:r>
          </w:p>
        </w:tc>
        <w:tc>
          <w:tcPr>
            <w:tcW w:w="1116" w:type="dxa"/>
            <w:vAlign w:val="center"/>
          </w:tcPr>
          <w:p w:rsidR="00F369C5" w:rsidRPr="008938A6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8A6">
              <w:rPr>
                <w:rFonts w:ascii="宋体" w:hAnsi="宋体" w:cs="宋体"/>
                <w:color w:val="000000"/>
                <w:kern w:val="0"/>
                <w:szCs w:val="21"/>
              </w:rPr>
              <w:t>44,999,990.28</w:t>
            </w:r>
          </w:p>
        </w:tc>
        <w:tc>
          <w:tcPr>
            <w:tcW w:w="1302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1.90%</w:t>
            </w:r>
          </w:p>
        </w:tc>
        <w:tc>
          <w:tcPr>
            <w:tcW w:w="1267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53390330.52</w:t>
            </w:r>
          </w:p>
        </w:tc>
        <w:tc>
          <w:tcPr>
            <w:tcW w:w="1114" w:type="dxa"/>
            <w:vAlign w:val="center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2.2</w:t>
            </w:r>
            <w:bookmarkStart w:id="0" w:name="_GoBack"/>
            <w:bookmarkEnd w:id="0"/>
            <w:r w:rsidRPr="00906EA1">
              <w:rPr>
                <w:rFonts w:ascii="宋体" w:hAnsi="宋体" w:cs="宋体"/>
                <w:color w:val="000000"/>
                <w:kern w:val="0"/>
                <w:szCs w:val="21"/>
              </w:rPr>
              <w:t>6%</w:t>
            </w:r>
          </w:p>
        </w:tc>
        <w:tc>
          <w:tcPr>
            <w:tcW w:w="1063" w:type="dxa"/>
          </w:tcPr>
          <w:p w:rsidR="00F369C5" w:rsidRPr="00906EA1" w:rsidRDefault="00F369C5" w:rsidP="00F36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EA1">
              <w:rPr>
                <w:rFonts w:ascii="宋体" w:hAnsi="宋体" w:cs="宋体" w:hint="eastAsia"/>
                <w:color w:val="000000"/>
                <w:kern w:val="0"/>
                <w:szCs w:val="21"/>
              </w:rPr>
              <w:t>6个月</w:t>
            </w:r>
          </w:p>
        </w:tc>
      </w:tr>
    </w:tbl>
    <w:p w:rsidR="006C580F" w:rsidRPr="006C580F" w:rsidRDefault="006C580F" w:rsidP="006C580F">
      <w:pPr>
        <w:ind w:firstLineChars="150" w:firstLine="315"/>
        <w:rPr>
          <w:rFonts w:ascii="Times New Roman" w:eastAsia="宋体" w:hAnsi="Times New Roman"/>
          <w:b/>
          <w:sz w:val="24"/>
          <w:szCs w:val="24"/>
        </w:rPr>
      </w:pPr>
      <w:r w:rsidRPr="006C580F">
        <w:rPr>
          <w:rFonts w:ascii="Times New Roman" w:eastAsia="宋体"/>
        </w:rPr>
        <w:t>注：基金资产净值、账面价值为</w:t>
      </w:r>
      <w:r w:rsidR="004B5E13">
        <w:rPr>
          <w:rFonts w:ascii="Times New Roman" w:eastAsia="宋体"/>
        </w:rPr>
        <w:t>2021</w:t>
      </w:r>
      <w:r w:rsidRPr="006C580F">
        <w:rPr>
          <w:rFonts w:ascii="Times New Roman" w:eastAsia="宋体"/>
        </w:rPr>
        <w:t>年</w:t>
      </w:r>
      <w:r w:rsidR="006172EA">
        <w:rPr>
          <w:rFonts w:ascii="Times New Roman" w:eastAsia="宋体" w:hAnsi="Times New Roman"/>
        </w:rPr>
        <w:t>3</w:t>
      </w:r>
      <w:r w:rsidRPr="006C580F">
        <w:rPr>
          <w:rFonts w:ascii="Times New Roman" w:eastAsia="宋体"/>
        </w:rPr>
        <w:t>月</w:t>
      </w:r>
      <w:r w:rsidR="006172EA">
        <w:rPr>
          <w:rFonts w:ascii="Times New Roman" w:eastAsia="宋体" w:hAnsi="Times New Roman"/>
        </w:rPr>
        <w:t>12</w:t>
      </w:r>
      <w:r w:rsidRPr="006C580F">
        <w:rPr>
          <w:rFonts w:ascii="Times New Roman" w:eastAsia="宋体"/>
        </w:rPr>
        <w:t>日数据。</w:t>
      </w:r>
    </w:p>
    <w:p w:rsidR="006C580F" w:rsidRPr="006C580F" w:rsidRDefault="006C580F" w:rsidP="006C580F">
      <w:pPr>
        <w:rPr>
          <w:rFonts w:ascii="Times New Roman" w:eastAsia="宋体" w:hAnsi="Times New Roman"/>
          <w:b/>
          <w:sz w:val="24"/>
          <w:szCs w:val="24"/>
        </w:rPr>
      </w:pPr>
      <w:r w:rsidRPr="006C580F">
        <w:rPr>
          <w:rFonts w:ascii="Times New Roman" w:eastAsia="宋体" w:hAnsi="Times New Roman" w:hint="eastAsia"/>
          <w:b/>
          <w:sz w:val="24"/>
          <w:szCs w:val="24"/>
        </w:rPr>
        <w:t xml:space="preserve">   </w:t>
      </w:r>
    </w:p>
    <w:p w:rsidR="00680EE7" w:rsidRDefault="00680EE7" w:rsidP="00DC48E0">
      <w:pPr>
        <w:spacing w:line="360" w:lineRule="auto"/>
        <w:ind w:firstLine="480"/>
        <w:rPr>
          <w:rFonts w:ascii="Times New Roman" w:eastAsia="宋体"/>
          <w:sz w:val="22"/>
        </w:rPr>
      </w:pPr>
      <w:r>
        <w:rPr>
          <w:rFonts w:ascii="Times New Roman" w:eastAsia="宋体" w:hint="eastAsia"/>
          <w:sz w:val="22"/>
        </w:rPr>
        <w:t>风险提示：</w:t>
      </w:r>
      <w:r w:rsidR="009E53E8" w:rsidRPr="00B8628E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本基金管理人承诺以诚实信用、勤勉尽责的原则管理和运用基金资产，但不保证基金一定盈利，也不保证最低收益。</w:t>
      </w:r>
      <w:r w:rsidR="009E53E8" w:rsidRPr="00B8628E">
        <w:rPr>
          <w:rFonts w:ascii="宋体" w:eastAsia="宋体" w:hAnsi="Arial" w:cs="宋体"/>
          <w:color w:val="000000"/>
          <w:kern w:val="0"/>
          <w:sz w:val="22"/>
          <w:szCs w:val="24"/>
        </w:rPr>
        <w:t>基金的过往业绩及其净值高低并不预示其未来业绩表现，基金管理人管理的其他基金的业绩不构成对本基金业绩表现的保证。投</w:t>
      </w:r>
      <w:r w:rsidR="009E53E8" w:rsidRPr="00B8628E">
        <w:rPr>
          <w:rFonts w:ascii="宋体" w:eastAsia="宋体" w:hAnsi="Arial" w:cs="宋体"/>
          <w:color w:val="000000"/>
          <w:kern w:val="0"/>
          <w:sz w:val="22"/>
          <w:szCs w:val="24"/>
        </w:rPr>
        <w:lastRenderedPageBreak/>
        <w:t>资有风险，敬请投资者在投资基金前认真阅读</w:t>
      </w:r>
      <w:r w:rsidR="002931FF" w:rsidRPr="002931FF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基金合同、招募说明书、</w:t>
      </w:r>
      <w:r w:rsidR="0097784B" w:rsidRPr="0097784B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基金</w:t>
      </w:r>
      <w:r w:rsidR="002931FF" w:rsidRPr="002931FF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产品资料概要</w:t>
      </w:r>
      <w:r w:rsidR="009E53E8" w:rsidRPr="00B8628E">
        <w:rPr>
          <w:rFonts w:ascii="宋体" w:eastAsia="宋体" w:hAnsi="Arial" w:cs="宋体"/>
          <w:color w:val="000000"/>
          <w:kern w:val="0"/>
          <w:sz w:val="22"/>
          <w:szCs w:val="24"/>
        </w:rPr>
        <w:t>等基金法律文件，了解基金的风险收益特征，并根据自身的风险承受能力选择适合自己的基金产品。敬请投资者在购买基金前认真考虑、谨慎决策。</w:t>
      </w:r>
    </w:p>
    <w:p w:rsidR="00DC48E0" w:rsidRDefault="00DC48E0" w:rsidP="00DC48E0">
      <w:pPr>
        <w:spacing w:line="360" w:lineRule="auto"/>
        <w:ind w:firstLine="480"/>
        <w:rPr>
          <w:rFonts w:ascii="Times New Roman" w:eastAsia="宋体"/>
          <w:sz w:val="22"/>
        </w:rPr>
      </w:pPr>
    </w:p>
    <w:p w:rsidR="00DC48E0" w:rsidRDefault="00DC48E0" w:rsidP="00DC48E0">
      <w:pPr>
        <w:spacing w:line="360" w:lineRule="auto"/>
        <w:ind w:firstLine="480"/>
        <w:rPr>
          <w:rFonts w:ascii="Times New Roman" w:eastAsia="宋体"/>
          <w:sz w:val="22"/>
        </w:rPr>
      </w:pPr>
      <w:r>
        <w:rPr>
          <w:rFonts w:ascii="Times New Roman" w:eastAsia="宋体"/>
          <w:sz w:val="22"/>
        </w:rPr>
        <w:t>特此公告</w:t>
      </w:r>
      <w:r>
        <w:rPr>
          <w:rFonts w:ascii="Times New Roman" w:eastAsia="宋体" w:hint="eastAsia"/>
          <w:sz w:val="22"/>
        </w:rPr>
        <w:t>。</w:t>
      </w:r>
    </w:p>
    <w:p w:rsidR="006C580F" w:rsidRPr="00680EE7" w:rsidRDefault="006C580F" w:rsidP="006C580F">
      <w:pPr>
        <w:rPr>
          <w:rFonts w:ascii="Times New Roman" w:eastAsia="宋体" w:hAnsi="Times New Roman"/>
          <w:b/>
          <w:sz w:val="24"/>
          <w:szCs w:val="24"/>
        </w:rPr>
      </w:pPr>
    </w:p>
    <w:p w:rsidR="006C580F" w:rsidRPr="006C580F" w:rsidRDefault="006C580F" w:rsidP="006C580F">
      <w:pPr>
        <w:rPr>
          <w:rFonts w:ascii="Times New Roman" w:eastAsia="宋体" w:hAnsi="Times New Roman"/>
          <w:b/>
          <w:sz w:val="24"/>
          <w:szCs w:val="24"/>
        </w:rPr>
      </w:pPr>
    </w:p>
    <w:p w:rsidR="006C580F" w:rsidRPr="006C580F" w:rsidRDefault="006C580F" w:rsidP="006C580F">
      <w:pPr>
        <w:jc w:val="right"/>
        <w:rPr>
          <w:rFonts w:ascii="Times New Roman" w:eastAsia="宋体" w:hAnsi="Times New Roman"/>
          <w:b/>
          <w:sz w:val="24"/>
          <w:szCs w:val="24"/>
        </w:rPr>
      </w:pPr>
      <w:r w:rsidRPr="006C580F">
        <w:rPr>
          <w:rFonts w:ascii="Times New Roman" w:eastAsia="宋体" w:hint="eastAsia"/>
          <w:b/>
          <w:sz w:val="24"/>
          <w:szCs w:val="24"/>
        </w:rPr>
        <w:t>永赢基金管理有限公司</w:t>
      </w:r>
    </w:p>
    <w:p w:rsidR="006C580F" w:rsidRPr="006C580F" w:rsidRDefault="006C580F" w:rsidP="006C580F">
      <w:pPr>
        <w:jc w:val="right"/>
        <w:rPr>
          <w:rFonts w:ascii="Times New Roman" w:eastAsia="宋体" w:hAnsi="Times New Roman"/>
          <w:b/>
          <w:sz w:val="24"/>
          <w:szCs w:val="24"/>
        </w:rPr>
      </w:pPr>
    </w:p>
    <w:p w:rsidR="006C580F" w:rsidRPr="006C580F" w:rsidRDefault="004B5E13" w:rsidP="006C580F">
      <w:pPr>
        <w:jc w:val="right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/>
          <w:b/>
          <w:sz w:val="24"/>
          <w:szCs w:val="24"/>
        </w:rPr>
        <w:t>2021</w:t>
      </w:r>
      <w:r w:rsidR="006C580F" w:rsidRPr="006C580F">
        <w:rPr>
          <w:rFonts w:ascii="Times New Roman" w:eastAsia="宋体" w:hint="eastAsia"/>
          <w:b/>
          <w:sz w:val="24"/>
          <w:szCs w:val="24"/>
        </w:rPr>
        <w:t>年</w:t>
      </w:r>
      <w:r w:rsidR="006C580F" w:rsidRPr="006C580F">
        <w:rPr>
          <w:rFonts w:ascii="Times New Roman" w:eastAsia="宋体" w:hAnsi="Times New Roman" w:hint="eastAsia"/>
          <w:b/>
          <w:sz w:val="24"/>
          <w:szCs w:val="24"/>
        </w:rPr>
        <w:t xml:space="preserve">  </w:t>
      </w:r>
      <w:r>
        <w:rPr>
          <w:rFonts w:ascii="Times New Roman" w:eastAsia="宋体" w:hAnsi="Times New Roman"/>
          <w:b/>
          <w:sz w:val="24"/>
          <w:szCs w:val="24"/>
        </w:rPr>
        <w:t>3</w:t>
      </w:r>
      <w:r w:rsidR="006172EA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="006C580F" w:rsidRPr="006C580F">
        <w:rPr>
          <w:rFonts w:ascii="Times New Roman" w:eastAsia="宋体" w:hint="eastAsia"/>
          <w:b/>
          <w:sz w:val="24"/>
          <w:szCs w:val="24"/>
        </w:rPr>
        <w:t>月</w:t>
      </w:r>
      <w:r w:rsidR="006C580F" w:rsidRPr="006C580F">
        <w:rPr>
          <w:rFonts w:ascii="Times New Roman" w:eastAsia="宋体" w:hAnsi="Times New Roman" w:hint="eastAsia"/>
          <w:b/>
          <w:sz w:val="24"/>
          <w:szCs w:val="24"/>
        </w:rPr>
        <w:t xml:space="preserve">  </w:t>
      </w:r>
      <w:r>
        <w:rPr>
          <w:rFonts w:ascii="Times New Roman" w:eastAsia="宋体" w:hAnsi="Times New Roman"/>
          <w:b/>
          <w:sz w:val="24"/>
          <w:szCs w:val="24"/>
        </w:rPr>
        <w:t>1</w:t>
      </w:r>
      <w:r w:rsidR="00391EDF">
        <w:rPr>
          <w:rFonts w:ascii="Times New Roman" w:eastAsia="宋体" w:hAnsi="Times New Roman"/>
          <w:b/>
          <w:sz w:val="24"/>
          <w:szCs w:val="24"/>
        </w:rPr>
        <w:t>6</w:t>
      </w:r>
      <w:r w:rsidR="006172EA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="006C580F" w:rsidRPr="006C580F">
        <w:rPr>
          <w:rFonts w:ascii="Times New Roman" w:eastAsia="宋体" w:hint="eastAsia"/>
          <w:b/>
          <w:sz w:val="24"/>
          <w:szCs w:val="24"/>
        </w:rPr>
        <w:t>日</w:t>
      </w:r>
    </w:p>
    <w:sectPr w:rsidR="006C580F" w:rsidRPr="006C580F" w:rsidSect="00ED5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06" w:rsidRDefault="00A17A06" w:rsidP="00CA6CAF">
      <w:r>
        <w:separator/>
      </w:r>
    </w:p>
  </w:endnote>
  <w:endnote w:type="continuationSeparator" w:id="0">
    <w:p w:rsidR="00A17A06" w:rsidRDefault="00A17A06" w:rsidP="00CA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06" w:rsidRDefault="00A17A06" w:rsidP="00CA6CAF">
      <w:r>
        <w:separator/>
      </w:r>
    </w:p>
  </w:footnote>
  <w:footnote w:type="continuationSeparator" w:id="0">
    <w:p w:rsidR="00A17A06" w:rsidRDefault="00A17A06" w:rsidP="00CA6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605"/>
    <w:rsid w:val="00083A22"/>
    <w:rsid w:val="0009034B"/>
    <w:rsid w:val="000B3923"/>
    <w:rsid w:val="000E3E32"/>
    <w:rsid w:val="00170331"/>
    <w:rsid w:val="001C1646"/>
    <w:rsid w:val="002931FF"/>
    <w:rsid w:val="003433C6"/>
    <w:rsid w:val="00391EDF"/>
    <w:rsid w:val="003E127C"/>
    <w:rsid w:val="004674F6"/>
    <w:rsid w:val="004B5E13"/>
    <w:rsid w:val="005C3B0E"/>
    <w:rsid w:val="006172EA"/>
    <w:rsid w:val="00680EE7"/>
    <w:rsid w:val="00685588"/>
    <w:rsid w:val="006C580F"/>
    <w:rsid w:val="00731C20"/>
    <w:rsid w:val="007D4377"/>
    <w:rsid w:val="00843F94"/>
    <w:rsid w:val="008938A6"/>
    <w:rsid w:val="00896B2C"/>
    <w:rsid w:val="009056FE"/>
    <w:rsid w:val="00906EA1"/>
    <w:rsid w:val="00907BC2"/>
    <w:rsid w:val="00923EDC"/>
    <w:rsid w:val="0097784B"/>
    <w:rsid w:val="009868D2"/>
    <w:rsid w:val="009E53E8"/>
    <w:rsid w:val="00A17A06"/>
    <w:rsid w:val="00A20D91"/>
    <w:rsid w:val="00A24A88"/>
    <w:rsid w:val="00A33605"/>
    <w:rsid w:val="00A84098"/>
    <w:rsid w:val="00B34095"/>
    <w:rsid w:val="00B64677"/>
    <w:rsid w:val="00BC79BD"/>
    <w:rsid w:val="00C90F50"/>
    <w:rsid w:val="00CA6CAF"/>
    <w:rsid w:val="00D34C1E"/>
    <w:rsid w:val="00D447D9"/>
    <w:rsid w:val="00DB3F12"/>
    <w:rsid w:val="00DC48E0"/>
    <w:rsid w:val="00DC4F46"/>
    <w:rsid w:val="00ED59A7"/>
    <w:rsid w:val="00F369C5"/>
    <w:rsid w:val="00F4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C58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580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A6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6C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A6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A6CA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90F5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90F5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90F50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90F5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90F50"/>
    <w:rPr>
      <w:b/>
      <w:bCs/>
    </w:rPr>
  </w:style>
  <w:style w:type="paragraph" w:styleId="aa">
    <w:name w:val="footnote text"/>
    <w:basedOn w:val="a"/>
    <w:link w:val="Char4"/>
    <w:uiPriority w:val="99"/>
    <w:semiHidden/>
    <w:unhideWhenUsed/>
    <w:rsid w:val="00A20D91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A20D91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A20D91"/>
    <w:rPr>
      <w:vertAlign w:val="superscript"/>
    </w:rPr>
  </w:style>
  <w:style w:type="paragraph" w:customStyle="1" w:styleId="Default">
    <w:name w:val="Default"/>
    <w:rsid w:val="004B5E1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6DE-1A59-46D5-9173-2A2AF7E3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4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liyl</dc:creator>
  <cp:lastModifiedBy>ZHONGM</cp:lastModifiedBy>
  <cp:revision>2</cp:revision>
  <dcterms:created xsi:type="dcterms:W3CDTF">2021-03-15T16:01:00Z</dcterms:created>
  <dcterms:modified xsi:type="dcterms:W3CDTF">2021-03-15T16:01:00Z</dcterms:modified>
</cp:coreProperties>
</file>