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5372">
      <w:pPr>
        <w:spacing w:line="400" w:lineRule="exact"/>
        <w:jc w:val="center"/>
        <w:rPr>
          <w:rStyle w:val="da"/>
          <w:rFonts w:ascii="宋体" w:hAnsi="宋体"/>
          <w:b/>
          <w:bCs/>
          <w:sz w:val="24"/>
        </w:rPr>
      </w:pPr>
    </w:p>
    <w:p w:rsidR="00000000" w:rsidRDefault="00955372">
      <w:pPr>
        <w:spacing w:line="400" w:lineRule="exact"/>
        <w:jc w:val="center"/>
        <w:rPr>
          <w:rStyle w:val="da"/>
          <w:rFonts w:ascii="宋体" w:hAnsi="宋体" w:cs="宋体" w:hint="eastAsia"/>
          <w:b/>
          <w:bCs/>
          <w:sz w:val="24"/>
        </w:rPr>
      </w:pPr>
      <w:r>
        <w:rPr>
          <w:rStyle w:val="da"/>
          <w:rFonts w:ascii="宋体" w:hAnsi="宋体" w:cs="宋体" w:hint="eastAsia"/>
          <w:b/>
          <w:bCs/>
          <w:sz w:val="24"/>
        </w:rPr>
        <w:t>东吴基金管理有限公司关于旗下</w:t>
      </w:r>
      <w:r>
        <w:rPr>
          <w:rStyle w:val="da"/>
          <w:rFonts w:ascii="宋体" w:hAnsi="宋体" w:cs="宋体" w:hint="eastAsia"/>
          <w:b/>
          <w:bCs/>
          <w:sz w:val="24"/>
        </w:rPr>
        <w:t>部分</w:t>
      </w:r>
      <w:r>
        <w:rPr>
          <w:rStyle w:val="da"/>
          <w:rFonts w:ascii="宋体" w:hAnsi="宋体" w:cs="宋体" w:hint="eastAsia"/>
          <w:b/>
          <w:bCs/>
          <w:sz w:val="24"/>
        </w:rPr>
        <w:t>基金新增弘业期货股份有限公司</w:t>
      </w:r>
    </w:p>
    <w:p w:rsidR="00000000" w:rsidRDefault="00955372">
      <w:pPr>
        <w:spacing w:line="400" w:lineRule="exact"/>
        <w:jc w:val="center"/>
        <w:rPr>
          <w:rStyle w:val="da"/>
          <w:rFonts w:ascii="宋体" w:hAnsi="宋体" w:cs="宋体" w:hint="eastAsia"/>
          <w:b/>
          <w:bCs/>
          <w:sz w:val="24"/>
        </w:rPr>
      </w:pPr>
      <w:r>
        <w:rPr>
          <w:rStyle w:val="da"/>
          <w:rFonts w:ascii="宋体" w:hAnsi="宋体" w:cs="宋体" w:hint="eastAsia"/>
          <w:b/>
          <w:bCs/>
          <w:sz w:val="24"/>
        </w:rPr>
        <w:t>为代销机构</w:t>
      </w:r>
      <w:r>
        <w:rPr>
          <w:rStyle w:val="da"/>
          <w:rFonts w:ascii="宋体" w:hAnsi="宋体" w:cs="宋体" w:hint="eastAsia"/>
          <w:b/>
          <w:bCs/>
          <w:sz w:val="24"/>
        </w:rPr>
        <w:t>、开通</w:t>
      </w:r>
      <w:r>
        <w:rPr>
          <w:rStyle w:val="da"/>
          <w:rFonts w:ascii="宋体" w:hAnsi="宋体" w:cs="宋体" w:hint="eastAsia"/>
          <w:b/>
          <w:bCs/>
          <w:sz w:val="24"/>
        </w:rPr>
        <w:t>定期定额及转换业务</w:t>
      </w:r>
      <w:r>
        <w:rPr>
          <w:rStyle w:val="da"/>
          <w:rFonts w:ascii="宋体" w:hAnsi="宋体" w:cs="宋体" w:hint="eastAsia"/>
          <w:b/>
          <w:bCs/>
          <w:sz w:val="24"/>
        </w:rPr>
        <w:t>并参加费率优惠</w:t>
      </w:r>
      <w:r>
        <w:rPr>
          <w:rStyle w:val="da"/>
          <w:rFonts w:ascii="宋体" w:hAnsi="宋体" w:cs="宋体" w:hint="eastAsia"/>
          <w:b/>
          <w:bCs/>
          <w:sz w:val="24"/>
        </w:rPr>
        <w:t>的公告</w:t>
      </w:r>
    </w:p>
    <w:p w:rsidR="00000000" w:rsidRDefault="00955372">
      <w:pPr>
        <w:spacing w:line="400" w:lineRule="exact"/>
        <w:jc w:val="center"/>
        <w:rPr>
          <w:rStyle w:val="da"/>
          <w:rFonts w:ascii="宋体" w:hAnsi="宋体" w:hint="eastAsia"/>
          <w:b/>
          <w:bCs/>
          <w:sz w:val="24"/>
        </w:rPr>
      </w:pPr>
    </w:p>
    <w:p w:rsidR="00000000" w:rsidRDefault="00955372">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一、新增弘业期货股份有限公司为东吴基金管理有限公司旗下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955372">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根据东吴基金管理有限公司（以下简称“东吴基金”）与弘业期货股份有限公司（以下简称</w:t>
      </w:r>
      <w:r>
        <w:rPr>
          <w:rFonts w:ascii="宋体" w:hAnsi="宋体" w:cs="宋体" w:hint="eastAsia"/>
          <w:kern w:val="0"/>
          <w:szCs w:val="21"/>
        </w:rPr>
        <w:t>"</w:t>
      </w:r>
      <w:r>
        <w:rPr>
          <w:rFonts w:ascii="宋体" w:hAnsi="宋体" w:cs="宋体" w:hint="eastAsia"/>
          <w:kern w:val="0"/>
          <w:szCs w:val="21"/>
        </w:rPr>
        <w:t>弘业期货</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11</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弘业期货</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955372">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955372">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955372">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东吴嘉禾优</w:t>
            </w:r>
            <w:r>
              <w:rPr>
                <w:rFonts w:ascii="宋体" w:hAnsi="宋体" w:cs="宋体" w:hint="eastAsia"/>
                <w:szCs w:val="21"/>
                <w:lang/>
              </w:rPr>
              <w:t>势精选混合型开放式证券投资基金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580001</w:t>
            </w:r>
          </w:p>
        </w:tc>
      </w:tr>
      <w:tr w:rsidR="00000000">
        <w:trPr>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类（前端收费）</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东吴新经济混合型证券投资基金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580006</w:t>
            </w:r>
          </w:p>
        </w:tc>
      </w:tr>
      <w:tr w:rsidR="00000000">
        <w:trPr>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东吴安享量化灵活配置混合型证券投资基金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textAlignment w:val="center"/>
              <w:rPr>
                <w:rFonts w:ascii="宋体" w:hAnsi="宋体" w:cs="宋体" w:hint="eastAsia"/>
                <w:szCs w:val="21"/>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东吴中证新兴产业指数证券投资基金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szCs w:val="21"/>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582003</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东吴多策略灵活配置混合型证券投资基金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580009</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东吴阿尔法灵活配置混合型证券投资基金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000531</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textAlignment w:val="center"/>
              <w:rPr>
                <w:rFonts w:ascii="宋体" w:hAnsi="宋体" w:cs="宋体" w:hint="eastAsia"/>
                <w:szCs w:val="21"/>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jc w:val="center"/>
              <w:textAlignment w:val="center"/>
              <w:rPr>
                <w:rFonts w:ascii="宋体" w:hAnsi="宋体" w:cs="宋体" w:hint="eastAsia"/>
                <w:szCs w:val="21"/>
              </w:rPr>
            </w:pPr>
            <w:r>
              <w:rPr>
                <w:rFonts w:ascii="宋体" w:hAnsi="宋体" w:cs="宋体" w:hint="eastAsia"/>
                <w:szCs w:val="21"/>
                <w:lang/>
              </w:rPr>
              <w:t>001323/002170</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东吴新趋势价值线灵活配置混合型证券投资基金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001322</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东吴国企改革主题灵活配置混合型证券投资基金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002159</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东吴安盈量化灵活配置混合型证券投资基金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002270</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东吴安鑫量化灵活配置混合型证券投资基金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002561</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东吴智慧医疗量化策略灵活配置混合型证券投资基金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002919</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003588/003589</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005144/005145</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东吴兴享成长混合型证券投资基金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01</w:t>
            </w:r>
            <w:r>
              <w:rPr>
                <w:rFonts w:ascii="宋体" w:hAnsi="宋体" w:cs="宋体" w:hint="eastAsia"/>
                <w:szCs w:val="21"/>
                <w:lang/>
              </w:rPr>
              <w:t>0330</w:t>
            </w:r>
          </w:p>
        </w:tc>
      </w:tr>
      <w:tr w:rsidR="00000000">
        <w:trPr>
          <w:trHeight w:val="385"/>
          <w:jc w:val="center"/>
        </w:trPr>
        <w:tc>
          <w:tcPr>
            <w:tcW w:w="676" w:type="dxa"/>
          </w:tcPr>
          <w:p w:rsidR="00000000" w:rsidRDefault="00955372">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955372">
      <w:pPr>
        <w:widowControl/>
        <w:spacing w:line="400" w:lineRule="exact"/>
        <w:jc w:val="left"/>
        <w:rPr>
          <w:rFonts w:ascii="宋体" w:hAnsi="宋体" w:cs="宋体" w:hint="eastAsia"/>
          <w:szCs w:val="21"/>
        </w:rPr>
      </w:pPr>
    </w:p>
    <w:p w:rsidR="00000000" w:rsidRDefault="00955372">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955372">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二、开通东吴基金旗下部分基金定期定额投资业务</w:t>
      </w:r>
    </w:p>
    <w:p w:rsidR="00000000" w:rsidRDefault="00955372">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11</w:t>
      </w:r>
      <w:r>
        <w:rPr>
          <w:rFonts w:ascii="宋体" w:hAnsi="宋体" w:cs="宋体" w:hint="eastAsia"/>
          <w:szCs w:val="21"/>
        </w:rPr>
        <w:t>日</w:t>
      </w:r>
      <w:r>
        <w:rPr>
          <w:rFonts w:ascii="宋体" w:hAnsi="宋体" w:cs="宋体" w:hint="eastAsia"/>
          <w:szCs w:val="21"/>
        </w:rPr>
        <w:t>起开通以下基金在</w:t>
      </w:r>
      <w:r>
        <w:rPr>
          <w:rFonts w:ascii="宋体" w:hAnsi="宋体" w:cs="宋体" w:hint="eastAsia"/>
          <w:kern w:val="0"/>
          <w:szCs w:val="21"/>
        </w:rPr>
        <w:t>弘业期货</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955372">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955372">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955372">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东吴嘉禾优势精选混合型开放式证券投资基金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580001</w:t>
            </w:r>
          </w:p>
        </w:tc>
      </w:tr>
      <w:tr w:rsidR="00000000">
        <w:trPr>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类（前端收费）</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东吴新经济混合型证券投资基金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580006</w:t>
            </w:r>
          </w:p>
        </w:tc>
      </w:tr>
      <w:tr w:rsidR="00000000">
        <w:trPr>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东吴安享量化灵活配置混合型证券投资基金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textAlignment w:val="center"/>
              <w:rPr>
                <w:rFonts w:ascii="宋体" w:hAnsi="宋体" w:cs="宋体" w:hint="eastAsia"/>
                <w:szCs w:val="21"/>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583001</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东吴中证新兴产业指数证券投资基金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szCs w:val="21"/>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582003</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w:t>
            </w:r>
            <w:r>
              <w:rPr>
                <w:rFonts w:ascii="宋体" w:hAnsi="宋体" w:cs="宋体" w:hint="eastAsia"/>
                <w:szCs w:val="21"/>
                <w:lang/>
              </w:rPr>
              <w:t>吴多策略灵活配置混合型证券投资基金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580009</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东吴阿尔法灵活配置混合型证券投资基金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000531</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textAlignment w:val="center"/>
              <w:rPr>
                <w:rFonts w:ascii="宋体" w:hAnsi="宋体" w:cs="宋体" w:hint="eastAsia"/>
                <w:szCs w:val="21"/>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jc w:val="center"/>
              <w:textAlignment w:val="center"/>
              <w:rPr>
                <w:rFonts w:ascii="宋体" w:hAnsi="宋体" w:cs="宋体" w:hint="eastAsia"/>
                <w:szCs w:val="21"/>
              </w:rPr>
            </w:pPr>
            <w:r>
              <w:rPr>
                <w:rFonts w:ascii="宋体" w:hAnsi="宋体" w:cs="宋体" w:hint="eastAsia"/>
                <w:szCs w:val="21"/>
                <w:lang/>
              </w:rPr>
              <w:t>001323/002170</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东吴新趋势价值线灵活配置混合型证券投资基金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001322</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东吴国企改革主题灵活配置混合型证券投资基金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002159</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东吴安盈量化灵活配置混合型证券投资基金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002270</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东吴安鑫量化灵活配置混合型证券投资基金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002561</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东吴智慧医疗量化策略灵活配置混合型证券投资基金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002919</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东吴增鑫宝货币</w:t>
            </w:r>
            <w:r>
              <w:rPr>
                <w:rFonts w:ascii="宋体" w:hAnsi="宋体" w:cs="宋体" w:hint="eastAsia"/>
                <w:szCs w:val="21"/>
                <w:lang/>
              </w:rPr>
              <w:t>市场基金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003588</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005144/005145</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东吴兴享成长混合型证券投资基金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010330</w:t>
            </w:r>
          </w:p>
        </w:tc>
      </w:tr>
      <w:tr w:rsidR="00000000">
        <w:trPr>
          <w:trHeight w:val="385"/>
          <w:jc w:val="center"/>
        </w:trPr>
        <w:tc>
          <w:tcPr>
            <w:tcW w:w="676" w:type="dxa"/>
          </w:tcPr>
          <w:p w:rsidR="00000000" w:rsidRDefault="00955372">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955372">
      <w:pPr>
        <w:widowControl/>
        <w:spacing w:line="400" w:lineRule="exact"/>
        <w:ind w:firstLineChars="200" w:firstLine="420"/>
        <w:jc w:val="left"/>
        <w:rPr>
          <w:rFonts w:ascii="宋体" w:hAnsi="宋体" w:cs="宋体" w:hint="eastAsia"/>
          <w:szCs w:val="21"/>
        </w:rPr>
      </w:pPr>
    </w:p>
    <w:p w:rsidR="00000000" w:rsidRDefault="00955372">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弘业期货</w:t>
      </w:r>
      <w:r>
        <w:rPr>
          <w:rFonts w:ascii="宋体" w:hAnsi="宋体" w:cs="宋体" w:hint="eastAsia"/>
          <w:szCs w:val="21"/>
        </w:rPr>
        <w:t>提交申请，约定每期扣款时间、扣款金额及扣</w:t>
      </w:r>
      <w:r>
        <w:rPr>
          <w:rFonts w:ascii="宋体" w:hAnsi="宋体" w:cs="宋体" w:hint="eastAsia"/>
          <w:szCs w:val="21"/>
        </w:rPr>
        <w:t>款方式，由</w:t>
      </w:r>
      <w:r>
        <w:rPr>
          <w:rFonts w:ascii="宋体" w:hAnsi="宋体" w:cs="宋体" w:hint="eastAsia"/>
          <w:kern w:val="0"/>
          <w:szCs w:val="21"/>
        </w:rPr>
        <w:t>弘业期货</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弘业期货</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弘业期货</w:t>
      </w:r>
      <w:r>
        <w:rPr>
          <w:rFonts w:ascii="宋体" w:hAnsi="宋体" w:cs="宋体" w:hint="eastAsia"/>
          <w:szCs w:val="21"/>
        </w:rPr>
        <w:t>直接开户便可进行东吴基金定期定额投资业务。</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w:t>
      </w:r>
      <w:r>
        <w:rPr>
          <w:rFonts w:ascii="宋体" w:hAnsi="宋体" w:cs="宋体" w:hint="eastAsia"/>
          <w:szCs w:val="21"/>
        </w:rPr>
        <w:t>司开放式基金账户的投资者，可在</w:t>
      </w:r>
      <w:r>
        <w:rPr>
          <w:rFonts w:ascii="宋体" w:hAnsi="宋体" w:cs="宋体" w:hint="eastAsia"/>
          <w:kern w:val="0"/>
          <w:szCs w:val="21"/>
        </w:rPr>
        <w:t>弘业期货</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955372">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弘业期货</w:t>
      </w:r>
      <w:r>
        <w:rPr>
          <w:rFonts w:ascii="宋体" w:hAnsi="宋体" w:cs="宋体" w:hint="eastAsia"/>
          <w:szCs w:val="21"/>
        </w:rPr>
        <w:t>约定每期固定扣款（申购）金额，基金每期定投申购金额最低下限以代销机构规定为准。</w:t>
      </w:r>
    </w:p>
    <w:p w:rsidR="00000000" w:rsidRDefault="00955372">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开通东吴基金旗下部分基金的基金转换业务</w:t>
      </w:r>
    </w:p>
    <w:p w:rsidR="00000000" w:rsidRDefault="00955372">
      <w:pPr>
        <w:widowControl/>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kern w:val="0"/>
          <w:szCs w:val="21"/>
        </w:rPr>
        <w:t>弘业期货</w:t>
      </w:r>
      <w:r>
        <w:rPr>
          <w:rFonts w:ascii="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955372">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955372">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955372">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东吴嘉禾优势精选混合型开放式证券投资基金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580001</w:t>
            </w:r>
          </w:p>
        </w:tc>
      </w:tr>
      <w:tr w:rsidR="00000000">
        <w:trPr>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东吴价值成长双动力</w:t>
            </w:r>
            <w:r>
              <w:rPr>
                <w:rFonts w:ascii="宋体" w:hAnsi="宋体" w:cs="宋体" w:hint="eastAsia"/>
                <w:szCs w:val="21"/>
                <w:lang/>
              </w:rPr>
              <w:t>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类（前端收费）</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东吴新经济混合型证券投资基金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580006</w:t>
            </w:r>
          </w:p>
        </w:tc>
      </w:tr>
      <w:tr w:rsidR="00000000">
        <w:trPr>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东吴安享量化灵活配置混合型证券投资基金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textAlignment w:val="center"/>
              <w:rPr>
                <w:rFonts w:ascii="宋体" w:hAnsi="宋体" w:cs="宋体" w:hint="eastAsia"/>
                <w:szCs w:val="21"/>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东吴中证新兴产业指数证券投</w:t>
            </w:r>
            <w:r>
              <w:rPr>
                <w:rFonts w:ascii="宋体" w:hAnsi="宋体" w:cs="宋体" w:hint="eastAsia"/>
                <w:szCs w:val="21"/>
                <w:lang/>
              </w:rPr>
              <w:t>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szCs w:val="21"/>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582003</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东吴多策略灵活配置混合型证券投资基金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580009</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东吴阿尔法灵活配置混合型证券投资基金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000531</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textAlignment w:val="center"/>
              <w:rPr>
                <w:rFonts w:ascii="宋体" w:hAnsi="宋体" w:cs="宋体" w:hint="eastAsia"/>
                <w:szCs w:val="21"/>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jc w:val="center"/>
              <w:textAlignment w:val="center"/>
              <w:rPr>
                <w:rFonts w:ascii="宋体" w:hAnsi="宋体" w:cs="宋体" w:hint="eastAsia"/>
                <w:szCs w:val="21"/>
              </w:rPr>
            </w:pPr>
            <w:r>
              <w:rPr>
                <w:rFonts w:ascii="宋体" w:hAnsi="宋体" w:cs="宋体" w:hint="eastAsia"/>
                <w:szCs w:val="21"/>
                <w:lang/>
              </w:rPr>
              <w:t>001323/002170</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东吴新趋势价值线灵活配置混合型证券投资基金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001322</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东吴国企改革主题灵活配置混合型证券投资基金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002159</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东吴安盈量化灵活配置混合型证券投资基金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002270</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东吴安鑫量化灵活配置混合型证券投资基金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0025</w:t>
            </w:r>
            <w:r>
              <w:rPr>
                <w:rFonts w:ascii="宋体" w:hAnsi="宋体" w:cs="宋体" w:hint="eastAsia"/>
                <w:szCs w:val="21"/>
                <w:lang/>
              </w:rPr>
              <w:t>61</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东吴智慧医疗量化策略灵活配置混合型证券投资基金</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002919</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003588/003589</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rPr>
            </w:pPr>
            <w:r>
              <w:rPr>
                <w:rFonts w:ascii="宋体" w:hAnsi="宋体" w:cs="宋体" w:hint="eastAsia"/>
                <w:szCs w:val="21"/>
                <w:lang/>
              </w:rPr>
              <w:t>005144/005145</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955372">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东吴兴享成长混合型证券投资基金</w:t>
            </w:r>
          </w:p>
        </w:tc>
        <w:tc>
          <w:tcPr>
            <w:tcW w:w="1602" w:type="dxa"/>
            <w:vAlign w:val="center"/>
          </w:tcPr>
          <w:p w:rsidR="00000000" w:rsidRDefault="00955372">
            <w:pPr>
              <w:widowControl/>
              <w:spacing w:line="400" w:lineRule="exact"/>
              <w:jc w:val="left"/>
              <w:rPr>
                <w:rFonts w:ascii="宋体" w:hAnsi="宋体" w:cs="宋体" w:hint="eastAsia"/>
                <w:szCs w:val="21"/>
                <w:lang/>
              </w:rPr>
            </w:pPr>
            <w:r>
              <w:rPr>
                <w:rFonts w:ascii="宋体" w:hAnsi="宋体" w:cs="宋体" w:hint="eastAsia"/>
                <w:szCs w:val="21"/>
                <w:lang/>
              </w:rPr>
              <w:t>010330</w:t>
            </w:r>
          </w:p>
        </w:tc>
      </w:tr>
    </w:tbl>
    <w:p w:rsidR="00000000" w:rsidRDefault="00955372">
      <w:pPr>
        <w:widowControl/>
        <w:spacing w:line="400" w:lineRule="exact"/>
        <w:ind w:firstLineChars="100" w:firstLine="210"/>
        <w:jc w:val="left"/>
        <w:rPr>
          <w:rFonts w:ascii="宋体" w:hAnsi="宋体" w:cs="宋体" w:hint="eastAsia"/>
          <w:szCs w:val="21"/>
        </w:rPr>
      </w:pPr>
    </w:p>
    <w:p w:rsidR="00000000" w:rsidRDefault="00955372">
      <w:pPr>
        <w:widowControl/>
        <w:spacing w:line="400" w:lineRule="exact"/>
        <w:ind w:firstLineChars="100" w:firstLine="210"/>
        <w:jc w:val="left"/>
        <w:rPr>
          <w:rFonts w:ascii="宋体" w:hAnsi="宋体" w:cs="宋体" w:hint="eastAsia"/>
          <w:szCs w:val="21"/>
        </w:rPr>
      </w:pPr>
      <w:r>
        <w:rPr>
          <w:rFonts w:ascii="宋体" w:hAnsi="宋体" w:cs="宋体" w:hint="eastAsia"/>
          <w:szCs w:val="21"/>
        </w:rPr>
        <w:t>（一）、基金转换业务适用投资者范围</w:t>
      </w:r>
    </w:p>
    <w:p w:rsidR="00000000" w:rsidRDefault="00955372">
      <w:pPr>
        <w:pStyle w:val="HTML"/>
        <w:spacing w:line="400" w:lineRule="exact"/>
        <w:ind w:firstLine="420"/>
        <w:rPr>
          <w:rFonts w:hint="eastAsia"/>
          <w:color w:val="auto"/>
          <w:sz w:val="21"/>
          <w:szCs w:val="21"/>
        </w:rPr>
      </w:pPr>
      <w:r>
        <w:rPr>
          <w:rFonts w:hint="eastAsia"/>
          <w:color w:val="auto"/>
          <w:sz w:val="21"/>
          <w:szCs w:val="21"/>
        </w:rPr>
        <w:t>已持有本公司管理的</w:t>
      </w:r>
      <w:r>
        <w:rPr>
          <w:rFonts w:hint="eastAsia"/>
          <w:color w:val="auto"/>
          <w:sz w:val="21"/>
          <w:szCs w:val="21"/>
        </w:rPr>
        <w:t>开放式基金产品的投资者。</w:t>
      </w:r>
    </w:p>
    <w:p w:rsidR="00000000" w:rsidRDefault="00955372">
      <w:pPr>
        <w:pStyle w:val="HTML"/>
        <w:spacing w:line="400" w:lineRule="exact"/>
        <w:ind w:firstLineChars="100" w:firstLine="210"/>
        <w:rPr>
          <w:rFonts w:hint="eastAsia"/>
          <w:color w:val="auto"/>
          <w:sz w:val="21"/>
          <w:szCs w:val="21"/>
        </w:rPr>
      </w:pPr>
      <w:r>
        <w:rPr>
          <w:rFonts w:hint="eastAsia"/>
          <w:color w:val="auto"/>
          <w:sz w:val="21"/>
          <w:szCs w:val="21"/>
        </w:rPr>
        <w:t>（二）、基金转换受理时间</w:t>
      </w:r>
    </w:p>
    <w:p w:rsidR="00000000" w:rsidRDefault="00955372">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基金办理转换业务的开放日为上海证券交易所和深圳证券交易所交易日（本公司公告暂停转换时除外）。具体业务办理时间与基金日常申购业务时间相同。</w:t>
      </w:r>
    </w:p>
    <w:p w:rsidR="00000000" w:rsidRDefault="00955372">
      <w:pPr>
        <w:spacing w:line="400" w:lineRule="exact"/>
        <w:rPr>
          <w:rFonts w:ascii="宋体" w:hAnsi="宋体" w:cs="宋体" w:hint="eastAsia"/>
          <w:szCs w:val="21"/>
        </w:rPr>
      </w:pPr>
      <w:r>
        <w:rPr>
          <w:rFonts w:ascii="宋体" w:hAnsi="宋体" w:cs="宋体" w:hint="eastAsia"/>
          <w:szCs w:val="21"/>
        </w:rPr>
        <w:t xml:space="preserve">　（三）、基金转换业务规则</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基金转换是指开放式基金份额持有人将其持有的某只基金的部分或全部份额转换为同一基金管理人管理的另一只开放式基金的份额；</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基金转换只能转换为本公司管理的、同一注册登记人登记存管的、同一基金账户下的基金份额，并只能在同一销售机构进行，且该销售机构须同时代理拟转出基金及拟转入基金的销售；</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拟转出的基金必须处于可赎回状态，拟转入的基金必须处于可申购状态；</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目前只开通前端收费模式下进行基金转换，而不能将前端收费基金份额转换为后端收费基金份额，或将后端收费基金份额转换为前端收费基金份额。如今后本公司开通后端收费模</w:t>
      </w:r>
      <w:r>
        <w:rPr>
          <w:rFonts w:ascii="宋体" w:hAnsi="宋体" w:cs="宋体" w:hint="eastAsia"/>
          <w:szCs w:val="21"/>
        </w:rPr>
        <w:t>式基金的转换业务，具体转换业务规则以相关公告内容为准；</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基金转换遵循“份额转换”的原则，转换申请份额精确到小数点后两位，单笔转换申请份额不得低于</w:t>
      </w:r>
      <w:r>
        <w:rPr>
          <w:rFonts w:ascii="宋体" w:hAnsi="宋体" w:cs="宋体" w:hint="eastAsia"/>
          <w:szCs w:val="21"/>
        </w:rPr>
        <w:t>1</w:t>
      </w:r>
      <w:r>
        <w:rPr>
          <w:rFonts w:ascii="宋体" w:hAnsi="宋体" w:cs="宋体" w:hint="eastAsia"/>
          <w:szCs w:val="21"/>
        </w:rPr>
        <w:t>份</w:t>
      </w:r>
      <w:r>
        <w:rPr>
          <w:rFonts w:ascii="宋体" w:hAnsi="宋体" w:cs="宋体" w:hint="eastAsia"/>
          <w:szCs w:val="21"/>
        </w:rPr>
        <w:t>(</w:t>
      </w:r>
      <w:r>
        <w:rPr>
          <w:rFonts w:ascii="宋体" w:hAnsi="宋体" w:cs="宋体" w:hint="eastAsia"/>
          <w:szCs w:val="21"/>
        </w:rPr>
        <w:t>货币基金不得低于</w:t>
      </w:r>
      <w:r>
        <w:rPr>
          <w:rFonts w:ascii="宋体" w:hAnsi="宋体" w:cs="宋体" w:hint="eastAsia"/>
          <w:szCs w:val="21"/>
        </w:rPr>
        <w:t>100</w:t>
      </w:r>
      <w:r>
        <w:rPr>
          <w:rFonts w:ascii="宋体" w:hAnsi="宋体" w:cs="宋体" w:hint="eastAsia"/>
          <w:szCs w:val="21"/>
        </w:rPr>
        <w:t>份）</w:t>
      </w:r>
      <w:r>
        <w:rPr>
          <w:rFonts w:ascii="宋体" w:hAnsi="宋体" w:cs="宋体" w:hint="eastAsia"/>
          <w:szCs w:val="21"/>
        </w:rPr>
        <w:t>。单笔转入申请不受转入基金最低申购限额限制和转出基金最低赎回数额限制。</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对于基金分红时，权益登记日</w:t>
      </w:r>
      <w:r>
        <w:rPr>
          <w:rFonts w:ascii="宋体" w:hAnsi="宋体" w:cs="宋体" w:hint="eastAsia"/>
          <w:szCs w:val="21"/>
        </w:rPr>
        <w:t>申请转换转出的基金份额享有该次分红权益，权益登记日申请转换转入的基金份额不享有该次分红权益；</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基金转换采取未知价法，即基金的转换价格以转换申请受理当日各转出、转入基金的份额净值为基准进行计算；</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8</w:t>
      </w:r>
      <w:r>
        <w:rPr>
          <w:rFonts w:ascii="宋体" w:hAnsi="宋体" w:cs="宋体" w:hint="eastAsia"/>
          <w:szCs w:val="21"/>
        </w:rPr>
        <w:t>、</w:t>
      </w:r>
      <w:r>
        <w:rPr>
          <w:rFonts w:ascii="宋体" w:hAnsi="宋体" w:cs="宋体" w:hint="eastAsia"/>
          <w:szCs w:val="21"/>
        </w:rPr>
        <w:t>转换业务遵循“先进先出”的业务规则，先确认的认购或者申购的基金份额在转换时先转换；</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9</w:t>
      </w:r>
      <w:r>
        <w:rPr>
          <w:rFonts w:ascii="宋体" w:hAnsi="宋体" w:cs="宋体" w:hint="eastAsia"/>
          <w:szCs w:val="21"/>
        </w:rPr>
        <w:t>、</w:t>
      </w:r>
      <w:r>
        <w:rPr>
          <w:rFonts w:ascii="宋体" w:hAnsi="宋体" w:cs="宋体" w:hint="eastAsia"/>
          <w:szCs w:val="21"/>
        </w:rPr>
        <w:t>单个开放日基金净赎回份额及净转换转出申请份额之和超出上一开放日基金总份额的</w:t>
      </w:r>
      <w:r>
        <w:rPr>
          <w:rFonts w:ascii="宋体" w:hAnsi="宋体" w:cs="宋体" w:hint="eastAsia"/>
          <w:szCs w:val="21"/>
        </w:rPr>
        <w:t>10%</w:t>
      </w:r>
      <w:r>
        <w:rPr>
          <w:rFonts w:ascii="宋体" w:hAnsi="宋体" w:cs="宋体" w:hint="eastAsia"/>
          <w:szCs w:val="21"/>
        </w:rPr>
        <w:t>时，为巨额赎回。发生巨额赎回时，基金转出与基金赎回具有相同的优先级，基金管理人可根据基金资产组合情况，决定全额转出或部分转出，并且对于基金转出</w:t>
      </w:r>
      <w:r>
        <w:rPr>
          <w:rFonts w:ascii="宋体" w:hAnsi="宋体" w:cs="宋体" w:hint="eastAsia"/>
          <w:szCs w:val="21"/>
        </w:rPr>
        <w:t>和基金赎回，将采取相同的比例确认。在转出申请得到部分确认的情况下，未确认的转出申请将不予以顺延；</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10</w:t>
      </w:r>
      <w:r>
        <w:rPr>
          <w:rFonts w:ascii="宋体" w:hAnsi="宋体" w:cs="宋体" w:hint="eastAsia"/>
          <w:szCs w:val="21"/>
        </w:rPr>
        <w:t>、</w:t>
      </w:r>
      <w:r>
        <w:rPr>
          <w:rFonts w:ascii="宋体" w:hAnsi="宋体" w:cs="宋体" w:hint="eastAsia"/>
          <w:szCs w:val="21"/>
        </w:rPr>
        <w:t>转入基金的持有时间将重新计算，与转出基金的持有时间无关；</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11</w:t>
      </w:r>
      <w:r>
        <w:rPr>
          <w:rFonts w:ascii="宋体" w:hAnsi="宋体" w:cs="宋体" w:hint="eastAsia"/>
          <w:szCs w:val="21"/>
        </w:rPr>
        <w:t>、</w:t>
      </w:r>
      <w:r>
        <w:rPr>
          <w:rFonts w:ascii="宋体" w:hAnsi="宋体" w:cs="宋体" w:hint="eastAsia"/>
          <w:szCs w:val="21"/>
        </w:rPr>
        <w:t>投资者在Ｔ日办理的基金转换申请，基金注册登机构在Ｔ＋１日内为投资者对该交易的有效性进行确认，在Ｔ＋２日后（包括该日）投资者可通过基金份额发售机构和</w:t>
      </w:r>
      <w:r>
        <w:rPr>
          <w:rFonts w:ascii="宋体" w:hAnsi="宋体" w:cs="宋体" w:hint="eastAsia"/>
          <w:szCs w:val="21"/>
        </w:rPr>
        <w:t>弘业期货</w:t>
      </w:r>
      <w:r>
        <w:rPr>
          <w:rFonts w:ascii="宋体" w:hAnsi="宋体" w:cs="宋体" w:hint="eastAsia"/>
          <w:szCs w:val="21"/>
        </w:rPr>
        <w:t>官网查询成交情况；</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w:t>
      </w:r>
      <w:r>
        <w:rPr>
          <w:rFonts w:ascii="宋体" w:hAnsi="宋体" w:cs="宋体" w:hint="eastAsia"/>
          <w:szCs w:val="21"/>
        </w:rPr>
        <w:t>基金转换费用由基金持有人承担；</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13</w:t>
      </w:r>
      <w:r>
        <w:rPr>
          <w:rFonts w:ascii="宋体" w:hAnsi="宋体" w:cs="宋体" w:hint="eastAsia"/>
          <w:szCs w:val="21"/>
        </w:rPr>
        <w:t>、</w:t>
      </w:r>
      <w:r>
        <w:rPr>
          <w:rFonts w:ascii="宋体" w:hAnsi="宋体" w:cs="宋体" w:hint="eastAsia"/>
          <w:szCs w:val="21"/>
        </w:rPr>
        <w:t>本公司将根据今后发行的其他开放式基金的具体情况对本业务规则进行补充和调整。</w:t>
      </w:r>
    </w:p>
    <w:p w:rsidR="00000000" w:rsidRDefault="00955372">
      <w:pPr>
        <w:spacing w:line="360" w:lineRule="auto"/>
        <w:rPr>
          <w:rFonts w:ascii="宋体" w:hAnsi="宋体" w:cs="宋体" w:hint="eastAsia"/>
          <w:szCs w:val="21"/>
        </w:rPr>
      </w:pPr>
      <w:r>
        <w:rPr>
          <w:rFonts w:ascii="宋体" w:hAnsi="宋体" w:cs="宋体" w:hint="eastAsia"/>
          <w:szCs w:val="21"/>
        </w:rPr>
        <w:t xml:space="preserve">　（四）、基金转换费及份额计算方法</w:t>
      </w:r>
    </w:p>
    <w:p w:rsidR="00000000" w:rsidRDefault="00955372">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、基金转</w:t>
      </w:r>
      <w:r>
        <w:rPr>
          <w:rFonts w:ascii="宋体" w:hAnsi="宋体" w:cs="宋体" w:hint="eastAsia"/>
          <w:szCs w:val="21"/>
        </w:rPr>
        <w:t>换费用由转出基金的赎回费和转出与转入基金的申购费补差两部分构成，具体收取情况视每次转换时两只基金的申购费率差异情况和赎回费率而定。基金转换费用由基金份额持有人承担。</w:t>
      </w:r>
    </w:p>
    <w:p w:rsidR="00000000" w:rsidRDefault="00955372">
      <w:pPr>
        <w:spacing w:line="360" w:lineRule="auto"/>
        <w:rPr>
          <w:rFonts w:ascii="宋体" w:hAnsi="宋体" w:cs="宋体" w:hint="eastAsia"/>
          <w:szCs w:val="21"/>
        </w:rPr>
      </w:pPr>
      <w:r>
        <w:rPr>
          <w:rFonts w:ascii="宋体" w:hAnsi="宋体" w:cs="宋体" w:hint="eastAsia"/>
          <w:szCs w:val="21"/>
        </w:rPr>
        <w:t xml:space="preserve">　　转换公式如下：</w:t>
      </w:r>
    </w:p>
    <w:p w:rsidR="00000000" w:rsidRDefault="00955372">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）转出金额＝转出基金份额×转出基金Ｔ日基金份额净值</w:t>
      </w:r>
    </w:p>
    <w:p w:rsidR="00000000" w:rsidRDefault="00955372">
      <w:pPr>
        <w:spacing w:line="360" w:lineRule="auto"/>
        <w:rPr>
          <w:rFonts w:ascii="宋体" w:hAnsi="宋体" w:cs="宋体" w:hint="eastAsia"/>
          <w:szCs w:val="21"/>
        </w:rPr>
      </w:pPr>
      <w:r>
        <w:rPr>
          <w:rFonts w:ascii="宋体" w:hAnsi="宋体" w:cs="宋体" w:hint="eastAsia"/>
          <w:szCs w:val="21"/>
        </w:rPr>
        <w:t xml:space="preserve">　　（此处的Ｔ日指基金转换申请日，下同）</w:t>
      </w:r>
    </w:p>
    <w:p w:rsidR="00000000" w:rsidRDefault="00955372">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）转出赎回费＝转出金额×转出基金赎回费率</w:t>
      </w:r>
    </w:p>
    <w:p w:rsidR="00000000" w:rsidRDefault="00955372">
      <w:pPr>
        <w:spacing w:line="360" w:lineRule="auto"/>
        <w:rPr>
          <w:rFonts w:ascii="宋体" w:hAnsi="宋体" w:cs="宋体" w:hint="eastAsia"/>
          <w:szCs w:val="21"/>
        </w:rPr>
      </w:pPr>
      <w:r>
        <w:rPr>
          <w:rFonts w:ascii="宋体" w:hAnsi="宋体" w:cs="宋体" w:hint="eastAsia"/>
          <w:szCs w:val="21"/>
        </w:rPr>
        <w:t xml:space="preserve">　　（注：</w:t>
      </w:r>
      <w:r>
        <w:rPr>
          <w:rFonts w:ascii="宋体" w:hAnsi="宋体" w:cs="宋体" w:hint="eastAsia"/>
          <w:szCs w:val="21"/>
        </w:rPr>
        <w:t xml:space="preserve"> </w:t>
      </w:r>
      <w:r>
        <w:rPr>
          <w:rFonts w:ascii="宋体" w:hAnsi="宋体" w:cs="宋体" w:hint="eastAsia"/>
          <w:szCs w:val="21"/>
        </w:rPr>
        <w:t>转出赎回费的</w:t>
      </w:r>
      <w:r>
        <w:rPr>
          <w:rFonts w:ascii="宋体" w:hAnsi="宋体" w:cs="宋体" w:hint="eastAsia"/>
          <w:szCs w:val="21"/>
        </w:rPr>
        <w:t xml:space="preserve"> </w:t>
      </w:r>
      <w:r>
        <w:rPr>
          <w:rFonts w:ascii="宋体" w:hAnsi="宋体" w:cs="宋体" w:hint="eastAsia"/>
          <w:szCs w:val="21"/>
        </w:rPr>
        <w:t>至少</w:t>
      </w:r>
      <w:r>
        <w:rPr>
          <w:rFonts w:ascii="宋体" w:hAnsi="宋体" w:cs="宋体" w:hint="eastAsia"/>
          <w:szCs w:val="21"/>
        </w:rPr>
        <w:t>25</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将归入转出方基金的基金财产，具体计入比例详见基金合同）</w:t>
      </w:r>
    </w:p>
    <w:p w:rsidR="00000000" w:rsidRDefault="00955372">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）转入金额＝转出金额－转出赎回费</w:t>
      </w:r>
    </w:p>
    <w:p w:rsidR="00000000" w:rsidRDefault="00955372">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）如果，转出基金的申购费率＜</w:t>
      </w:r>
      <w:r>
        <w:rPr>
          <w:rFonts w:ascii="宋体" w:hAnsi="宋体" w:cs="宋体" w:hint="eastAsia"/>
          <w:szCs w:val="21"/>
        </w:rPr>
        <w:t xml:space="preserve"> </w:t>
      </w:r>
      <w:r>
        <w:rPr>
          <w:rFonts w:ascii="宋体" w:hAnsi="宋体" w:cs="宋体" w:hint="eastAsia"/>
          <w:szCs w:val="21"/>
        </w:rPr>
        <w:t>转入基金</w:t>
      </w:r>
      <w:r>
        <w:rPr>
          <w:rFonts w:ascii="宋体" w:hAnsi="宋体" w:cs="宋体" w:hint="eastAsia"/>
          <w:szCs w:val="21"/>
        </w:rPr>
        <w:t>的申购费率，</w:t>
      </w:r>
    </w:p>
    <w:p w:rsidR="00000000" w:rsidRDefault="00955372">
      <w:pPr>
        <w:spacing w:line="360" w:lineRule="auto"/>
        <w:rPr>
          <w:rFonts w:ascii="宋体" w:hAnsi="宋体" w:cs="宋体" w:hint="eastAsia"/>
          <w:szCs w:val="21"/>
        </w:rPr>
      </w:pPr>
      <w:r>
        <w:rPr>
          <w:rFonts w:ascii="宋体" w:hAnsi="宋体" w:cs="宋体" w:hint="eastAsia"/>
          <w:szCs w:val="21"/>
        </w:rPr>
        <w:t xml:space="preserve">　　申购补差费率＝转入基金的申购费率－转出基金的申购费率</w:t>
      </w:r>
    </w:p>
    <w:p w:rsidR="00000000" w:rsidRDefault="00955372">
      <w:pPr>
        <w:spacing w:line="360" w:lineRule="auto"/>
        <w:rPr>
          <w:rFonts w:ascii="宋体" w:hAnsi="宋体" w:cs="宋体" w:hint="eastAsia"/>
          <w:szCs w:val="21"/>
        </w:rPr>
      </w:pPr>
      <w:r>
        <w:rPr>
          <w:rFonts w:ascii="宋体" w:hAnsi="宋体" w:cs="宋体" w:hint="eastAsia"/>
          <w:szCs w:val="21"/>
        </w:rPr>
        <w:t xml:space="preserve">　　申购补差费＝转入金额×申购补差费率／（</w:t>
      </w:r>
      <w:r>
        <w:rPr>
          <w:rFonts w:ascii="宋体" w:hAnsi="宋体" w:cs="宋体" w:hint="eastAsia"/>
          <w:szCs w:val="21"/>
        </w:rPr>
        <w:t>1</w:t>
      </w:r>
      <w:r>
        <w:rPr>
          <w:rFonts w:ascii="宋体" w:hAnsi="宋体" w:cs="宋体" w:hint="eastAsia"/>
          <w:szCs w:val="21"/>
        </w:rPr>
        <w:t>＋申购补差费率）</w:t>
      </w:r>
    </w:p>
    <w:p w:rsidR="00000000" w:rsidRDefault="00955372">
      <w:pPr>
        <w:spacing w:line="360" w:lineRule="auto"/>
        <w:rPr>
          <w:rFonts w:ascii="宋体" w:hAnsi="宋体" w:cs="宋体" w:hint="eastAsia"/>
          <w:szCs w:val="21"/>
        </w:rPr>
      </w:pPr>
      <w:r>
        <w:rPr>
          <w:rFonts w:ascii="宋体" w:hAnsi="宋体" w:cs="宋体" w:hint="eastAsia"/>
          <w:szCs w:val="21"/>
        </w:rPr>
        <w:t xml:space="preserve">　　转入净额＝转入金额－申购补差费</w:t>
      </w:r>
    </w:p>
    <w:p w:rsidR="00000000" w:rsidRDefault="00955372">
      <w:pPr>
        <w:spacing w:line="360" w:lineRule="auto"/>
        <w:rPr>
          <w:rFonts w:ascii="宋体" w:hAnsi="宋体" w:cs="宋体" w:hint="eastAsia"/>
          <w:szCs w:val="21"/>
        </w:rPr>
      </w:pPr>
      <w:r>
        <w:rPr>
          <w:rFonts w:ascii="宋体" w:hAnsi="宋体" w:cs="宋体" w:hint="eastAsia"/>
          <w:szCs w:val="21"/>
        </w:rPr>
        <w:t xml:space="preserve">　　如果，转出基金的申购费率≥转入基金的申购费率，</w:t>
      </w:r>
    </w:p>
    <w:p w:rsidR="00000000" w:rsidRDefault="00955372">
      <w:pPr>
        <w:spacing w:line="360" w:lineRule="auto"/>
        <w:rPr>
          <w:rFonts w:ascii="宋体" w:hAnsi="宋体" w:cs="宋体" w:hint="eastAsia"/>
          <w:szCs w:val="21"/>
        </w:rPr>
      </w:pPr>
      <w:r>
        <w:rPr>
          <w:rFonts w:ascii="宋体" w:hAnsi="宋体" w:cs="宋体" w:hint="eastAsia"/>
          <w:szCs w:val="21"/>
        </w:rPr>
        <w:t xml:space="preserve">　　转入净额＝转入金额</w:t>
      </w:r>
    </w:p>
    <w:p w:rsidR="00000000" w:rsidRDefault="00955372">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）转入份额＝转入净额÷转入基金Ｔ日基金份额净值</w:t>
      </w:r>
    </w:p>
    <w:p w:rsidR="00000000" w:rsidRDefault="00955372">
      <w:pPr>
        <w:spacing w:line="360" w:lineRule="auto"/>
        <w:ind w:firstLine="420"/>
        <w:rPr>
          <w:rFonts w:ascii="宋体" w:hAnsi="宋体" w:cs="宋体" w:hint="eastAsia"/>
          <w:szCs w:val="21"/>
        </w:rPr>
      </w:pPr>
      <w:r>
        <w:rPr>
          <w:rFonts w:ascii="宋体" w:hAnsi="宋体" w:cs="宋体" w:hint="eastAsia"/>
          <w:szCs w:val="21"/>
        </w:rPr>
        <w:t>其中，转入基金的申购费率和转出基金的申购费率均以转出金额为确定依据。</w:t>
      </w:r>
    </w:p>
    <w:p w:rsidR="00000000" w:rsidRDefault="00955372">
      <w:pPr>
        <w:spacing w:line="360" w:lineRule="auto"/>
        <w:ind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、转出金额、转出基金转换费的计算保留小数点后两位，第三位四舍五入，由此产生的误差在转出基金资产中列支；转入份额、申购补差费的计算保留小数点后</w:t>
      </w:r>
      <w:r>
        <w:rPr>
          <w:rFonts w:ascii="宋体" w:hAnsi="宋体" w:cs="宋体" w:hint="eastAsia"/>
          <w:szCs w:val="21"/>
        </w:rPr>
        <w:t>两位，第三位四舍五入，由此产生的误差在转入基金资产中列支。</w:t>
      </w:r>
    </w:p>
    <w:p w:rsidR="00000000" w:rsidRDefault="00955372">
      <w:pPr>
        <w:spacing w:line="360" w:lineRule="auto"/>
        <w:ind w:firstLine="420"/>
        <w:rPr>
          <w:rFonts w:ascii="宋体" w:hAnsi="宋体" w:cs="宋体" w:hint="eastAsia"/>
          <w:kern w:val="0"/>
          <w:szCs w:val="21"/>
        </w:rPr>
      </w:pPr>
      <w:r>
        <w:rPr>
          <w:rFonts w:ascii="宋体" w:hAnsi="宋体" w:cs="宋体" w:hint="eastAsia"/>
          <w:kern w:val="0"/>
          <w:szCs w:val="21"/>
        </w:rPr>
        <w:t>3</w:t>
      </w:r>
      <w:r>
        <w:rPr>
          <w:rFonts w:ascii="宋体" w:hAnsi="宋体" w:cs="宋体" w:hint="eastAsia"/>
          <w:kern w:val="0"/>
          <w:szCs w:val="21"/>
        </w:rPr>
        <w:t>、对于实行级差申购费率</w:t>
      </w:r>
      <w:r>
        <w:rPr>
          <w:rFonts w:ascii="宋体" w:hAnsi="宋体" w:cs="宋体" w:hint="eastAsia"/>
          <w:kern w:val="0"/>
          <w:szCs w:val="21"/>
        </w:rPr>
        <w:t>(</w:t>
      </w:r>
      <w:r>
        <w:rPr>
          <w:rFonts w:ascii="宋体" w:hAnsi="宋体" w:cs="宋体" w:hint="eastAsia"/>
          <w:kern w:val="0"/>
          <w:szCs w:val="21"/>
        </w:rPr>
        <w:t>不同申购金额对应不同申购费率</w:t>
      </w:r>
      <w:r>
        <w:rPr>
          <w:rFonts w:ascii="宋体" w:hAnsi="宋体" w:cs="宋体" w:hint="eastAsia"/>
          <w:kern w:val="0"/>
          <w:szCs w:val="21"/>
        </w:rPr>
        <w:t>)</w:t>
      </w:r>
      <w:r>
        <w:rPr>
          <w:rFonts w:ascii="宋体" w:hAnsi="宋体" w:cs="宋体" w:hint="eastAsia"/>
          <w:kern w:val="0"/>
          <w:szCs w:val="21"/>
        </w:rPr>
        <w:t>的基金，以转入总金额对应的转出基金申购费率、转入基金申购费率计算申购补差费用；如转入总金额对应转出基金申购费或转入基金申购费为固定费用时，申购补差费用视为</w:t>
      </w:r>
      <w:r>
        <w:rPr>
          <w:rFonts w:ascii="宋体" w:hAnsi="宋体" w:cs="宋体" w:hint="eastAsia"/>
          <w:kern w:val="0"/>
          <w:szCs w:val="21"/>
        </w:rPr>
        <w:t>0</w:t>
      </w:r>
      <w:r>
        <w:rPr>
          <w:rFonts w:ascii="宋体" w:hAnsi="宋体" w:cs="宋体" w:hint="eastAsia"/>
          <w:kern w:val="0"/>
          <w:szCs w:val="21"/>
        </w:rPr>
        <w:t>。</w:t>
      </w:r>
    </w:p>
    <w:p w:rsidR="00000000" w:rsidRDefault="00955372">
      <w:pPr>
        <w:spacing w:line="360" w:lineRule="auto"/>
        <w:ind w:firstLine="420"/>
        <w:rPr>
          <w:rFonts w:ascii="宋体" w:hAnsi="宋体" w:cs="宋体" w:hint="eastAsia"/>
          <w:kern w:val="0"/>
          <w:szCs w:val="21"/>
        </w:rPr>
      </w:pPr>
      <w:r>
        <w:rPr>
          <w:rFonts w:ascii="宋体" w:hAnsi="宋体" w:cs="宋体" w:hint="eastAsia"/>
          <w:kern w:val="0"/>
          <w:szCs w:val="21"/>
        </w:rPr>
        <w:t>4</w:t>
      </w:r>
      <w:r>
        <w:rPr>
          <w:rFonts w:ascii="宋体" w:hAnsi="宋体" w:cs="宋体" w:hint="eastAsia"/>
          <w:kern w:val="0"/>
          <w:szCs w:val="21"/>
        </w:rPr>
        <w:t>、计算基金转换费用所涉及的申购费率和赎回费率均按基金合同、更新的招募说明书规定费率执行，对于通过本公司网上交易、费率优惠活动期间发生的基金转换业务，按照本公司最新公告的相关费率计算基金转换费用。</w:t>
      </w:r>
    </w:p>
    <w:p w:rsidR="00000000" w:rsidRDefault="00955372">
      <w:pPr>
        <w:spacing w:line="360" w:lineRule="auto"/>
        <w:rPr>
          <w:rFonts w:ascii="宋体" w:hAnsi="宋体" w:cs="宋体" w:hint="eastAsia"/>
          <w:szCs w:val="21"/>
        </w:rPr>
      </w:pPr>
      <w:r>
        <w:rPr>
          <w:rFonts w:ascii="宋体" w:hAnsi="宋体" w:cs="宋体" w:hint="eastAsia"/>
          <w:szCs w:val="21"/>
        </w:rPr>
        <w:t xml:space="preserve">　（五）、暂停基金转换的情形及处理</w:t>
      </w:r>
    </w:p>
    <w:p w:rsidR="00000000" w:rsidRDefault="00955372">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出现下列情况之一时，基金管理人可以暂停接受基金份额持有人的基金转换申请：</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不可抗力的原因导致基金无法正常运作；</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证券交易场所在交易时间非正常停市或证券交易场所依法决定临时停市，导致当日基金资产净值无法计算；</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因市场剧烈波动或其它原因而出现连续巨额赎回，导致基金的现金支付出现困难；</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基金管理人认为会有损于现有基金份额持有人利益的某笔转入或某笔转出；</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发生基金合同规定的暂停基金资产估值情况；</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基金资产规模过大，使基金管理人无法找到合适的投资品种，或可能对基金业绩产生负面影响，从而损害现</w:t>
      </w:r>
      <w:r>
        <w:rPr>
          <w:rFonts w:ascii="宋体" w:hAnsi="宋体" w:cs="宋体" w:hint="eastAsia"/>
          <w:szCs w:val="21"/>
        </w:rPr>
        <w:t>有基金份额持有人的利益；</w:t>
      </w:r>
    </w:p>
    <w:p w:rsidR="00000000" w:rsidRDefault="00955372">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法律、法规、规章规定的其他情形或其他在《基金合同》、《招募说明书》已载明并获中国证监会批准的特殊情形。</w:t>
      </w:r>
    </w:p>
    <w:p w:rsidR="00000000" w:rsidRDefault="00955372">
      <w:pPr>
        <w:spacing w:line="360" w:lineRule="auto"/>
        <w:rPr>
          <w:rFonts w:ascii="宋体" w:hAnsi="宋体" w:cs="宋体" w:hint="eastAsia"/>
          <w:szCs w:val="21"/>
        </w:rPr>
      </w:pPr>
      <w:r>
        <w:rPr>
          <w:rFonts w:ascii="宋体" w:hAnsi="宋体" w:cs="宋体" w:hint="eastAsia"/>
          <w:szCs w:val="21"/>
        </w:rPr>
        <w:t xml:space="preserve">　　基金暂停转换或暂停后重新开放转换时，基金管理人应立即向中国证监会备案并在至少一种中国证监会指定的信息披露媒体上公告。</w:t>
      </w:r>
    </w:p>
    <w:p w:rsidR="00000000" w:rsidRDefault="00955372">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955372">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955372">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2021</w:t>
      </w:r>
      <w:r>
        <w:rPr>
          <w:rFonts w:ascii="宋体" w:hAnsi="宋体" w:cs="宋体" w:hint="eastAsia"/>
          <w:color w:val="000000"/>
          <w:szCs w:val="21"/>
        </w:rPr>
        <w:t>年</w:t>
      </w:r>
      <w:r>
        <w:rPr>
          <w:rFonts w:ascii="宋体" w:hAnsi="宋体" w:cs="宋体" w:hint="eastAsia"/>
          <w:color w:val="000000"/>
          <w:szCs w:val="21"/>
        </w:rPr>
        <w:t>3</w:t>
      </w:r>
      <w:r>
        <w:rPr>
          <w:rFonts w:ascii="宋体" w:hAnsi="宋体" w:cs="宋体" w:hint="eastAsia"/>
          <w:color w:val="000000"/>
          <w:szCs w:val="21"/>
        </w:rPr>
        <w:t>月</w:t>
      </w:r>
      <w:r>
        <w:rPr>
          <w:rFonts w:ascii="宋体" w:hAnsi="宋体" w:cs="宋体" w:hint="eastAsia"/>
          <w:color w:val="000000"/>
          <w:szCs w:val="21"/>
        </w:rPr>
        <w:t>11</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弘业期货</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申购费率我司后台不设折扣限制，以</w:t>
      </w:r>
      <w:r>
        <w:rPr>
          <w:rFonts w:ascii="宋体" w:hAnsi="宋体" w:cs="宋体" w:hint="eastAsia"/>
          <w:color w:val="000000"/>
          <w:szCs w:val="21"/>
        </w:rPr>
        <w:t>弘业期货</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弘业期货</w:t>
      </w:r>
      <w:r>
        <w:rPr>
          <w:rFonts w:ascii="宋体" w:hAnsi="宋体" w:cs="宋体" w:hint="eastAsia"/>
          <w:color w:val="000000"/>
          <w:szCs w:val="21"/>
        </w:rPr>
        <w:t>相关公告。基金原费率请详</w:t>
      </w:r>
      <w:r>
        <w:rPr>
          <w:rFonts w:ascii="宋体" w:hAnsi="宋体" w:cs="宋体" w:hint="eastAsia"/>
          <w:color w:val="000000"/>
          <w:szCs w:val="21"/>
        </w:rPr>
        <w:t>见基金合同、招募说明书（更新）等法律文件，以及本公司发布的最新业务公告。</w:t>
      </w:r>
    </w:p>
    <w:p w:rsidR="00000000" w:rsidRDefault="00955372">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弘业期货</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弘业期货</w:t>
      </w:r>
      <w:r>
        <w:rPr>
          <w:rFonts w:ascii="宋体" w:hAnsi="宋体" w:cs="宋体" w:hint="eastAsia"/>
          <w:color w:val="000000"/>
          <w:szCs w:val="21"/>
        </w:rPr>
        <w:t>官方网站所示公告为准。</w:t>
      </w:r>
    </w:p>
    <w:p w:rsidR="00000000" w:rsidRDefault="00955372">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955372">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弘业期货</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w:t>
      </w:r>
    </w:p>
    <w:p w:rsidR="00000000" w:rsidRDefault="00955372">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弘业期货</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955372">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、费率优惠解释权归</w:t>
      </w:r>
      <w:r>
        <w:rPr>
          <w:rFonts w:ascii="宋体" w:hAnsi="宋体" w:cs="宋体" w:hint="eastAsia"/>
          <w:color w:val="000000"/>
          <w:szCs w:val="21"/>
        </w:rPr>
        <w:t>弘业期货</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955372">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4</w:t>
      </w:r>
      <w:r>
        <w:rPr>
          <w:rFonts w:ascii="宋体" w:hAnsi="宋体" w:cs="宋体" w:hint="eastAsia"/>
          <w:color w:val="000000"/>
          <w:szCs w:val="21"/>
        </w:rPr>
        <w:t>、费率优惠期间，业务办理的流程以</w:t>
      </w:r>
      <w:r>
        <w:rPr>
          <w:rFonts w:ascii="宋体" w:hAnsi="宋体" w:cs="宋体" w:hint="eastAsia"/>
          <w:color w:val="000000"/>
          <w:szCs w:val="21"/>
        </w:rPr>
        <w:t>弘业期货</w:t>
      </w:r>
      <w:r>
        <w:rPr>
          <w:rFonts w:ascii="宋体" w:hAnsi="宋体" w:cs="宋体" w:hint="eastAsia"/>
          <w:color w:val="000000"/>
          <w:szCs w:val="21"/>
        </w:rPr>
        <w:t>的规定为准。投资者欲了解基金产品的详细情况，请仔细阅读基金的基金合同、招募说明书等法律文件。</w:t>
      </w:r>
      <w:r>
        <w:rPr>
          <w:rFonts w:ascii="宋体" w:hAnsi="宋体" w:cs="宋体" w:hint="eastAsia"/>
          <w:color w:val="000000"/>
          <w:szCs w:val="21"/>
        </w:rPr>
        <w:t xml:space="preserve"> </w:t>
      </w:r>
    </w:p>
    <w:p w:rsidR="00000000" w:rsidRDefault="00955372">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p>
    <w:p w:rsidR="00000000" w:rsidRDefault="00955372">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955372">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、弘业期货股份有限公司</w:t>
      </w:r>
    </w:p>
    <w:p w:rsidR="00000000" w:rsidRDefault="00955372">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400-828-1288</w:t>
      </w:r>
    </w:p>
    <w:p w:rsidR="00000000" w:rsidRDefault="00955372">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www.ftol.com.cn</w:t>
      </w:r>
    </w:p>
    <w:p w:rsidR="00000000" w:rsidRDefault="00955372">
      <w:pPr>
        <w:spacing w:line="400" w:lineRule="exact"/>
        <w:ind w:firstLineChars="304" w:firstLine="638"/>
        <w:rPr>
          <w:rFonts w:ascii="宋体" w:hAnsi="宋体" w:cs="宋体" w:hint="eastAsia"/>
          <w:kern w:val="0"/>
          <w:szCs w:val="21"/>
        </w:rPr>
      </w:pPr>
    </w:p>
    <w:p w:rsidR="00000000" w:rsidRDefault="00955372">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955372">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955372">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w:t>
      </w:r>
      <w:r>
        <w:rPr>
          <w:rFonts w:ascii="宋体" w:hAnsi="宋体" w:cs="宋体" w:hint="eastAsia"/>
          <w:kern w:val="0"/>
          <w:szCs w:val="21"/>
        </w:rPr>
        <w:t>址：</w:t>
      </w:r>
      <w:hyperlink r:id="rId7" w:history="1">
        <w:r>
          <w:rPr>
            <w:rFonts w:ascii="宋体" w:hAnsi="宋体" w:cs="宋体" w:hint="eastAsia"/>
            <w:szCs w:val="21"/>
          </w:rPr>
          <w:t>www.scfund.com.cn</w:t>
        </w:r>
      </w:hyperlink>
    </w:p>
    <w:p w:rsidR="00000000" w:rsidRDefault="00955372">
      <w:pPr>
        <w:spacing w:line="360" w:lineRule="auto"/>
        <w:ind w:firstLineChars="200" w:firstLine="420"/>
        <w:rPr>
          <w:rFonts w:ascii="宋体" w:hAnsi="宋体" w:cs="宋体" w:hint="eastAsia"/>
          <w:color w:val="000000"/>
          <w:kern w:val="0"/>
          <w:szCs w:val="21"/>
        </w:rPr>
      </w:pPr>
    </w:p>
    <w:p w:rsidR="00000000" w:rsidRDefault="00955372">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955372">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955372">
      <w:pPr>
        <w:spacing w:line="400" w:lineRule="exact"/>
        <w:rPr>
          <w:rFonts w:ascii="宋体" w:hAnsi="宋体" w:cs="宋体" w:hint="eastAsia"/>
          <w:szCs w:val="21"/>
        </w:rPr>
      </w:pPr>
      <w:r>
        <w:rPr>
          <w:rFonts w:ascii="宋体" w:hAnsi="宋体" w:cs="宋体" w:hint="eastAsia"/>
          <w:szCs w:val="21"/>
        </w:rPr>
        <w:t xml:space="preserve">     </w:t>
      </w:r>
    </w:p>
    <w:p w:rsidR="00000000" w:rsidRDefault="00955372">
      <w:pPr>
        <w:spacing w:line="40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955372">
      <w:pPr>
        <w:spacing w:line="400" w:lineRule="exact"/>
        <w:rPr>
          <w:rFonts w:ascii="宋体" w:hAnsi="宋体" w:cs="宋体" w:hint="eastAsia"/>
          <w:szCs w:val="21"/>
        </w:rPr>
      </w:pPr>
    </w:p>
    <w:p w:rsidR="00000000" w:rsidRDefault="00955372">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955372">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10</w:t>
      </w:r>
      <w:r>
        <w:rPr>
          <w:rFonts w:ascii="宋体" w:hAnsi="宋体" w:cs="宋体" w:hint="eastAsia"/>
          <w:szCs w:val="21"/>
        </w:rPr>
        <w:t>日</w:t>
      </w:r>
    </w:p>
    <w:sectPr w:rsidR="0000000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72" w:rsidRDefault="00955372" w:rsidP="00955372">
      <w:r>
        <w:separator/>
      </w:r>
    </w:p>
  </w:endnote>
  <w:endnote w:type="continuationSeparator" w:id="0">
    <w:p w:rsidR="00955372" w:rsidRDefault="00955372" w:rsidP="00955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72" w:rsidRDefault="0095537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72" w:rsidRDefault="0095537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72" w:rsidRDefault="009553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72" w:rsidRDefault="00955372" w:rsidP="00955372">
      <w:r>
        <w:separator/>
      </w:r>
    </w:p>
  </w:footnote>
  <w:footnote w:type="continuationSeparator" w:id="0">
    <w:p w:rsidR="00955372" w:rsidRDefault="00955372" w:rsidP="00955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72" w:rsidRDefault="0095537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72" w:rsidRDefault="0095537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72" w:rsidRDefault="009553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FCAB03"/>
    <w:multiLevelType w:val="singleLevel"/>
    <w:tmpl w:val="8FFCAB03"/>
    <w:lvl w:ilvl="0">
      <w:start w:val="1"/>
      <w:numFmt w:val="decimal"/>
      <w:lvlText w:val="%1."/>
      <w:lvlJc w:val="left"/>
      <w:pPr>
        <w:ind w:left="425" w:hanging="425"/>
      </w:pPr>
      <w:rPr>
        <w:rFonts w:hint="default"/>
      </w:rPr>
    </w:lvl>
  </w:abstractNum>
  <w:abstractNum w:abstractNumId="1">
    <w:nsid w:val="E80E78A6"/>
    <w:multiLevelType w:val="singleLevel"/>
    <w:tmpl w:val="E80E78A6"/>
    <w:lvl w:ilvl="0">
      <w:start w:val="1"/>
      <w:numFmt w:val="decimal"/>
      <w:lvlText w:val="%1."/>
      <w:lvlJc w:val="left"/>
      <w:pPr>
        <w:ind w:left="425" w:hanging="425"/>
      </w:pPr>
      <w:rPr>
        <w:rFonts w:hint="default"/>
      </w:rPr>
    </w:lvl>
  </w:abstractNum>
  <w:abstractNum w:abstractNumId="2">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5372"/>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A9126A"/>
    <w:rsid w:val="02C4633C"/>
    <w:rsid w:val="02FE7A2C"/>
    <w:rsid w:val="037B608B"/>
    <w:rsid w:val="03BF4636"/>
    <w:rsid w:val="05282922"/>
    <w:rsid w:val="05FD0EAD"/>
    <w:rsid w:val="06171B42"/>
    <w:rsid w:val="076808B4"/>
    <w:rsid w:val="07EC11B9"/>
    <w:rsid w:val="089B75B6"/>
    <w:rsid w:val="097914DE"/>
    <w:rsid w:val="0A641E54"/>
    <w:rsid w:val="0AFA04AF"/>
    <w:rsid w:val="0B2854B7"/>
    <w:rsid w:val="0C1734E6"/>
    <w:rsid w:val="0CDA088F"/>
    <w:rsid w:val="0D781E29"/>
    <w:rsid w:val="0F5A6124"/>
    <w:rsid w:val="103852DA"/>
    <w:rsid w:val="11D35ECA"/>
    <w:rsid w:val="12260115"/>
    <w:rsid w:val="126C35C1"/>
    <w:rsid w:val="12ED0AC1"/>
    <w:rsid w:val="13A147CE"/>
    <w:rsid w:val="1412586F"/>
    <w:rsid w:val="149A6E87"/>
    <w:rsid w:val="149B08DC"/>
    <w:rsid w:val="15284B7A"/>
    <w:rsid w:val="156173A0"/>
    <w:rsid w:val="16BB2E3C"/>
    <w:rsid w:val="16E41E49"/>
    <w:rsid w:val="176C38A0"/>
    <w:rsid w:val="17837E4E"/>
    <w:rsid w:val="183F3F70"/>
    <w:rsid w:val="185A6A58"/>
    <w:rsid w:val="196E49C7"/>
    <w:rsid w:val="1BED5CE0"/>
    <w:rsid w:val="1CDF3654"/>
    <w:rsid w:val="1FC7683A"/>
    <w:rsid w:val="1FDF5B04"/>
    <w:rsid w:val="20040DFF"/>
    <w:rsid w:val="21FC2E7E"/>
    <w:rsid w:val="225C7323"/>
    <w:rsid w:val="2269333F"/>
    <w:rsid w:val="235231CF"/>
    <w:rsid w:val="23A83A0D"/>
    <w:rsid w:val="24140680"/>
    <w:rsid w:val="2534229A"/>
    <w:rsid w:val="25EC6BD7"/>
    <w:rsid w:val="27C45851"/>
    <w:rsid w:val="27E36121"/>
    <w:rsid w:val="280C74C5"/>
    <w:rsid w:val="28525604"/>
    <w:rsid w:val="297E1EFC"/>
    <w:rsid w:val="2AAE6793"/>
    <w:rsid w:val="2B382728"/>
    <w:rsid w:val="2B5C6850"/>
    <w:rsid w:val="2BAD2685"/>
    <w:rsid w:val="2C445CD5"/>
    <w:rsid w:val="2CB23497"/>
    <w:rsid w:val="2D2F0A6E"/>
    <w:rsid w:val="2E290C48"/>
    <w:rsid w:val="2FAA2872"/>
    <w:rsid w:val="2FCA1259"/>
    <w:rsid w:val="309148BA"/>
    <w:rsid w:val="33464B7A"/>
    <w:rsid w:val="33576347"/>
    <w:rsid w:val="33915228"/>
    <w:rsid w:val="351A72AD"/>
    <w:rsid w:val="354D41DF"/>
    <w:rsid w:val="36AC5178"/>
    <w:rsid w:val="370C6F24"/>
    <w:rsid w:val="373E372F"/>
    <w:rsid w:val="38137F9C"/>
    <w:rsid w:val="384D2127"/>
    <w:rsid w:val="39FB0130"/>
    <w:rsid w:val="3A0D38CD"/>
    <w:rsid w:val="3DA939C5"/>
    <w:rsid w:val="3E1F1601"/>
    <w:rsid w:val="3E431917"/>
    <w:rsid w:val="3EA74EA6"/>
    <w:rsid w:val="40591B82"/>
    <w:rsid w:val="412133EB"/>
    <w:rsid w:val="41F017A8"/>
    <w:rsid w:val="431369E3"/>
    <w:rsid w:val="443C6B00"/>
    <w:rsid w:val="44E670C8"/>
    <w:rsid w:val="453E3F7B"/>
    <w:rsid w:val="467C28B2"/>
    <w:rsid w:val="46B05CA5"/>
    <w:rsid w:val="47C17D67"/>
    <w:rsid w:val="48463A92"/>
    <w:rsid w:val="488515F1"/>
    <w:rsid w:val="489354A0"/>
    <w:rsid w:val="49083735"/>
    <w:rsid w:val="490F7BDD"/>
    <w:rsid w:val="4AFB1112"/>
    <w:rsid w:val="4C8C3A8E"/>
    <w:rsid w:val="4D473B61"/>
    <w:rsid w:val="4E053C46"/>
    <w:rsid w:val="4EC201C3"/>
    <w:rsid w:val="4F691C56"/>
    <w:rsid w:val="4FA249DE"/>
    <w:rsid w:val="4FD81752"/>
    <w:rsid w:val="51C41695"/>
    <w:rsid w:val="524B0146"/>
    <w:rsid w:val="52861B73"/>
    <w:rsid w:val="53506042"/>
    <w:rsid w:val="57564D00"/>
    <w:rsid w:val="5794651A"/>
    <w:rsid w:val="580F7213"/>
    <w:rsid w:val="58BB67A0"/>
    <w:rsid w:val="58DA0FD3"/>
    <w:rsid w:val="58FF5142"/>
    <w:rsid w:val="59391735"/>
    <w:rsid w:val="59C33488"/>
    <w:rsid w:val="5A765101"/>
    <w:rsid w:val="5A9F0071"/>
    <w:rsid w:val="5B850857"/>
    <w:rsid w:val="5BA33C64"/>
    <w:rsid w:val="5C712910"/>
    <w:rsid w:val="5D057564"/>
    <w:rsid w:val="5E2A5AED"/>
    <w:rsid w:val="5E7D2556"/>
    <w:rsid w:val="5F110351"/>
    <w:rsid w:val="5FAA4FFC"/>
    <w:rsid w:val="6025124B"/>
    <w:rsid w:val="603D5AAD"/>
    <w:rsid w:val="6072134A"/>
    <w:rsid w:val="608A7D81"/>
    <w:rsid w:val="61BE058B"/>
    <w:rsid w:val="6219297F"/>
    <w:rsid w:val="62E01DCA"/>
    <w:rsid w:val="63857653"/>
    <w:rsid w:val="63D931E2"/>
    <w:rsid w:val="641D434E"/>
    <w:rsid w:val="650A6E75"/>
    <w:rsid w:val="651560BA"/>
    <w:rsid w:val="652E52F0"/>
    <w:rsid w:val="65890AB7"/>
    <w:rsid w:val="66F43AF7"/>
    <w:rsid w:val="67787F8D"/>
    <w:rsid w:val="67F266AF"/>
    <w:rsid w:val="68FC32F2"/>
    <w:rsid w:val="69A07404"/>
    <w:rsid w:val="69E95778"/>
    <w:rsid w:val="6A596387"/>
    <w:rsid w:val="6A732B77"/>
    <w:rsid w:val="6B3016EB"/>
    <w:rsid w:val="6BBB6AAD"/>
    <w:rsid w:val="6DB15CE3"/>
    <w:rsid w:val="6DCF7A62"/>
    <w:rsid w:val="6EB448FD"/>
    <w:rsid w:val="6F383D07"/>
    <w:rsid w:val="6F421085"/>
    <w:rsid w:val="706C7FA2"/>
    <w:rsid w:val="71127BA2"/>
    <w:rsid w:val="7187084F"/>
    <w:rsid w:val="726F6D4C"/>
    <w:rsid w:val="73F12CD0"/>
    <w:rsid w:val="73FD2CDB"/>
    <w:rsid w:val="753271D8"/>
    <w:rsid w:val="757438E6"/>
    <w:rsid w:val="768C1119"/>
    <w:rsid w:val="776C6CE8"/>
    <w:rsid w:val="77923065"/>
    <w:rsid w:val="77B37523"/>
    <w:rsid w:val="77EF43DC"/>
    <w:rsid w:val="78501E3B"/>
    <w:rsid w:val="795A5208"/>
    <w:rsid w:val="79833C7C"/>
    <w:rsid w:val="79C91A00"/>
    <w:rsid w:val="79DB41C3"/>
    <w:rsid w:val="7A5709DC"/>
    <w:rsid w:val="7A9629B0"/>
    <w:rsid w:val="7B9F358C"/>
    <w:rsid w:val="7C271FE0"/>
    <w:rsid w:val="7CE03CA6"/>
    <w:rsid w:val="7D0801C2"/>
    <w:rsid w:val="7D3B2EE5"/>
    <w:rsid w:val="7DA60233"/>
    <w:rsid w:val="7DE92D15"/>
    <w:rsid w:val="7E1A4758"/>
    <w:rsid w:val="7F1076A5"/>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21"/>
      <w:szCs w:val="21"/>
    </w:rPr>
  </w:style>
  <w:style w:type="character" w:customStyle="1" w:styleId="emailstyle21">
    <w:name w:val="emailstyle21"/>
    <w:rPr>
      <w:rFonts w:ascii="Calibri" w:hAnsi="Calibri" w:cs="Calibri" w:hint="default"/>
      <w:color w:val="1F497D"/>
    </w:rPr>
  </w:style>
  <w:style w:type="character" w:customStyle="1" w:styleId="emailstyle22">
    <w:name w:val="emailstyle22"/>
    <w:rPr>
      <w:rFonts w:ascii="Calibri" w:hAnsi="Calibri" w:cs="Calibri" w:hint="default"/>
      <w:color w:val="1F497D"/>
    </w:rPr>
  </w:style>
  <w:style w:type="character" w:styleId="a4">
    <w:name w:val="page number"/>
    <w:basedOn w:val="a0"/>
  </w:style>
  <w:style w:type="character" w:customStyle="1" w:styleId="txtcontent11">
    <w:name w:val="txtcontent11"/>
    <w:rPr>
      <w:rFonts w:ascii="ˎ̥" w:hAnsi="ˎ̥" w:hint="default"/>
      <w:b w:val="0"/>
      <w:bCs w:val="0"/>
      <w:color w:val="000000"/>
      <w:sz w:val="21"/>
      <w:szCs w:val="21"/>
    </w:rPr>
  </w:style>
  <w:style w:type="character" w:styleId="a5">
    <w:name w:val="FollowedHyperlink"/>
    <w:basedOn w:val="a0"/>
    <w:rPr>
      <w:color w:val="800080"/>
      <w:u w:val="single"/>
    </w:rPr>
  </w:style>
  <w:style w:type="character" w:customStyle="1" w:styleId="emailstyle26">
    <w:name w:val="emailstyle26"/>
    <w:rPr>
      <w:rFonts w:ascii="Calibri" w:hAnsi="Calibri" w:cs="Calibri" w:hint="default"/>
      <w:color w:val="1F497D"/>
    </w:rPr>
  </w:style>
  <w:style w:type="character" w:customStyle="1" w:styleId="da">
    <w:name w:val="da"/>
    <w:basedOn w:val="a0"/>
  </w:style>
  <w:style w:type="character" w:customStyle="1" w:styleId="emailstyle23">
    <w:name w:val="emailstyle23"/>
    <w:rPr>
      <w:rFonts w:ascii="Calibri" w:hAnsi="Calibri" w:cs="Calibri" w:hint="default"/>
      <w:color w:val="1F497D"/>
    </w:rPr>
  </w:style>
  <w:style w:type="character" w:styleId="a6">
    <w:name w:val="Hyperlink"/>
    <w:basedOn w:val="a0"/>
    <w:rPr>
      <w:color w:val="0000FF"/>
      <w:u w:val="single"/>
    </w:rPr>
  </w:style>
  <w:style w:type="character" w:customStyle="1" w:styleId="emailstyle24">
    <w:name w:val="emailstyle24"/>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Char">
    <w:name w:val="页眉 Char"/>
    <w:link w:val="a7"/>
    <w:rPr>
      <w:kern w:val="2"/>
      <w:sz w:val="18"/>
      <w:szCs w:val="18"/>
    </w:rPr>
  </w:style>
  <w:style w:type="character" w:customStyle="1" w:styleId="emailstyle25">
    <w:name w:val="emailstyle25"/>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character" w:customStyle="1" w:styleId="Char0">
    <w:name w:val="页脚 Char"/>
    <w:link w:val="a8"/>
    <w:rPr>
      <w:kern w:val="2"/>
      <w:sz w:val="18"/>
      <w:szCs w:val="18"/>
    </w:rPr>
  </w:style>
  <w:style w:type="character" w:customStyle="1" w:styleId="Char1">
    <w:name w:val="批注框文本 Char"/>
    <w:link w:val="a9"/>
    <w:rPr>
      <w:rFonts w:ascii="宋体" w:eastAsia="宋体" w:hAnsi="宋体" w:cs="宋体" w:hint="eastAsia"/>
    </w:rPr>
  </w:style>
  <w:style w:type="character" w:customStyle="1" w:styleId="Char2">
    <w:name w:val="文档结构图 Char"/>
    <w:link w:val="aa"/>
    <w:rPr>
      <w:rFonts w:ascii="宋体"/>
      <w:kern w:val="2"/>
      <w:sz w:val="18"/>
      <w:szCs w:val="18"/>
    </w:rPr>
  </w:style>
  <w:style w:type="paragraph" w:styleId="ab">
    <w:name w:val="annotation subject"/>
    <w:basedOn w:val="ac"/>
    <w:next w:val="ac"/>
    <w:semiHidden/>
    <w:rPr>
      <w:b/>
      <w:bCs/>
    </w:rPr>
  </w:style>
  <w:style w:type="paragraph" w:styleId="aa">
    <w:name w:val="Document Map"/>
    <w:basedOn w:val="a"/>
    <w:link w:val="Char2"/>
    <w:rPr>
      <w:rFonts w:ascii="宋体"/>
      <w:sz w:val="18"/>
      <w:szCs w:val="18"/>
    </w:r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footer"/>
    <w:basedOn w:val="a"/>
    <w:link w:val="Char0"/>
    <w:pPr>
      <w:tabs>
        <w:tab w:val="center" w:pos="4153"/>
        <w:tab w:val="right" w:pos="8306"/>
      </w:tabs>
      <w:snapToGrid w:val="0"/>
      <w:jc w:val="left"/>
    </w:pPr>
    <w:rPr>
      <w:sz w:val="18"/>
      <w:szCs w:val="18"/>
    </w:rPr>
  </w:style>
  <w:style w:type="paragraph" w:styleId="a9">
    <w:name w:val="Balloon Text"/>
    <w:basedOn w:val="a"/>
    <w:link w:val="Char1"/>
    <w:semiHidden/>
    <w:rPr>
      <w:sz w:val="18"/>
      <w:szCs w:val="18"/>
    </w:rPr>
  </w:style>
  <w:style w:type="paragraph" w:styleId="ad">
    <w:name w:val="Normal (Web)"/>
    <w:basedOn w:val="a"/>
    <w:pPr>
      <w:widowControl/>
      <w:spacing w:before="100" w:beforeAutospacing="1" w:after="100" w:afterAutospacing="1"/>
      <w:jc w:val="left"/>
    </w:pPr>
    <w:rPr>
      <w:rFonts w:ascii="宋体" w:hAnsi="宋体"/>
      <w:kern w:val="0"/>
      <w:sz w:val="24"/>
    </w:rPr>
  </w:style>
  <w:style w:type="paragraph" w:styleId="ac">
    <w:name w:val="annotation text"/>
    <w:basedOn w:val="a"/>
    <w:semiHidden/>
    <w:pPr>
      <w:jc w:val="left"/>
    </w:p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
    <w:name w:val=" Char Char Char Char"/>
    <w:basedOn w:val="a"/>
    <w:pPr>
      <w:tabs>
        <w:tab w:val="left" w:pos="360"/>
      </w:tabs>
    </w:pPr>
    <w:rPr>
      <w:sz w:val="24"/>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fund.com.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5456</Characters>
  <Application>Microsoft Office Word</Application>
  <DocSecurity>4</DocSecurity>
  <PresentationFormat/>
  <Lines>45</Lines>
  <Paragraphs>12</Paragraphs>
  <Slides>0</Slides>
  <Notes>0</Notes>
  <HiddenSlides>0</HiddenSlides>
  <MMClips>0</MMClips>
  <ScaleCrop>false</ScaleCrop>
  <Manager/>
  <Company>DW</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东吴基金管理有限公司关于旗下部分基金新增弘业期货股份有限公司为代销机构、开通定期定额及转换业务并参加费率优惠的公告</dc:title>
  <dc:subject/>
  <dc:creator>dw</dc:creator>
  <cp:keywords/>
  <dc:description/>
  <cp:lastModifiedBy>ZHONGM</cp:lastModifiedBy>
  <cp:revision>2</cp:revision>
  <cp:lastPrinted>2015-06-11T02:51:00Z</cp:lastPrinted>
  <dcterms:created xsi:type="dcterms:W3CDTF">2021-03-09T16:00:00Z</dcterms:created>
  <dcterms:modified xsi:type="dcterms:W3CDTF">2021-03-09T16:00:00Z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