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投资关联方承销证券的公告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C76E2B">
        <w:rPr>
          <w:rFonts w:ascii="宋体" w:eastAsia="宋体" w:hAnsi="宋体" w:hint="eastAsia"/>
          <w:bCs/>
          <w:sz w:val="24"/>
          <w:szCs w:val="24"/>
        </w:rPr>
        <w:t>上海永茂泰汽车</w:t>
      </w:r>
      <w:r w:rsidR="003F5C28">
        <w:rPr>
          <w:rFonts w:ascii="宋体" w:eastAsia="宋体" w:hAnsi="宋体" w:hint="eastAsia"/>
          <w:bCs/>
          <w:sz w:val="24"/>
          <w:szCs w:val="24"/>
        </w:rPr>
        <w:t>科技</w:t>
      </w:r>
      <w:r w:rsidR="00736C00">
        <w:rPr>
          <w:rFonts w:ascii="宋体" w:eastAsia="宋体" w:hAnsi="宋体" w:hint="eastAsia"/>
          <w:bCs/>
          <w:sz w:val="24"/>
          <w:szCs w:val="24"/>
        </w:rPr>
        <w:t>股份有限公司</w:t>
      </w:r>
      <w:r w:rsidRPr="008E609D">
        <w:rPr>
          <w:rFonts w:ascii="宋体" w:eastAsia="宋体" w:hAnsi="宋体" w:hint="eastAsia"/>
          <w:bCs/>
          <w:sz w:val="24"/>
          <w:szCs w:val="24"/>
        </w:rPr>
        <w:t>（以下简称“</w:t>
      </w:r>
      <w:r w:rsidR="00C76E2B">
        <w:rPr>
          <w:rFonts w:ascii="宋体" w:eastAsia="宋体" w:hAnsi="宋体" w:hint="eastAsia"/>
          <w:bCs/>
          <w:sz w:val="24"/>
          <w:szCs w:val="24"/>
        </w:rPr>
        <w:t>永茂泰</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C76E2B">
        <w:rPr>
          <w:rFonts w:ascii="宋体" w:eastAsia="宋体" w:hAnsi="宋体" w:hint="eastAsia"/>
          <w:bCs/>
          <w:sz w:val="24"/>
          <w:szCs w:val="24"/>
        </w:rPr>
        <w:t>永茂泰</w:t>
      </w:r>
      <w:r w:rsidR="00721AD4">
        <w:rPr>
          <w:rFonts w:ascii="宋体" w:eastAsia="宋体" w:hAnsi="宋体"/>
          <w:bCs/>
          <w:sz w:val="24"/>
          <w:szCs w:val="24"/>
        </w:rPr>
        <w:t>本次发行的主承销商</w:t>
      </w:r>
      <w:r w:rsidR="001B76F1">
        <w:rPr>
          <w:rFonts w:ascii="宋体" w:eastAsia="宋体" w:hAnsi="宋体" w:hint="eastAsia"/>
          <w:bCs/>
          <w:sz w:val="24"/>
          <w:szCs w:val="24"/>
        </w:rPr>
        <w:t>华泰联合证券有限责任公司为</w:t>
      </w:r>
      <w:r w:rsidR="001B76F1" w:rsidRPr="0064085B">
        <w:rPr>
          <w:rFonts w:ascii="宋体" w:eastAsia="宋体" w:hAnsi="宋体" w:hint="eastAsia"/>
          <w:bCs/>
          <w:sz w:val="24"/>
          <w:szCs w:val="24"/>
        </w:rPr>
        <w:t>本公司股东</w:t>
      </w:r>
      <w:r w:rsidR="008C3863" w:rsidRPr="0064085B">
        <w:rPr>
          <w:rFonts w:ascii="宋体" w:eastAsia="宋体" w:hAnsi="宋体" w:hint="eastAsia"/>
          <w:bCs/>
          <w:sz w:val="24"/>
          <w:szCs w:val="24"/>
        </w:rPr>
        <w:t>控制的子公司</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3F5C28">
        <w:rPr>
          <w:rFonts w:ascii="宋体" w:eastAsia="宋体" w:hAnsi="宋体"/>
          <w:bCs/>
          <w:sz w:val="24"/>
          <w:szCs w:val="24"/>
        </w:rPr>
        <w:t>13.</w:t>
      </w:r>
      <w:r w:rsidR="00C76E2B">
        <w:rPr>
          <w:rFonts w:ascii="宋体" w:eastAsia="宋体" w:hAnsi="宋体"/>
          <w:bCs/>
          <w:sz w:val="24"/>
          <w:szCs w:val="24"/>
        </w:rPr>
        <w:t>40</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C76E2B">
        <w:rPr>
          <w:rFonts w:ascii="宋体" w:eastAsia="宋体" w:hAnsi="宋体" w:hint="eastAsia"/>
          <w:bCs/>
          <w:sz w:val="24"/>
          <w:szCs w:val="24"/>
        </w:rPr>
        <w:t>永茂泰</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C76E2B">
        <w:rPr>
          <w:rFonts w:ascii="宋体" w:eastAsia="宋体" w:hAnsi="宋体"/>
          <w:bCs/>
          <w:sz w:val="24"/>
          <w:szCs w:val="24"/>
        </w:rPr>
        <w:t>2</w:t>
      </w:r>
      <w:r>
        <w:rPr>
          <w:rFonts w:ascii="宋体" w:eastAsia="宋体" w:hAnsi="宋体" w:hint="eastAsia"/>
          <w:bCs/>
          <w:sz w:val="24"/>
          <w:szCs w:val="24"/>
        </w:rPr>
        <w:t>月</w:t>
      </w:r>
      <w:r w:rsidR="003F5C28">
        <w:rPr>
          <w:rFonts w:ascii="宋体" w:eastAsia="宋体" w:hAnsi="宋体"/>
          <w:bCs/>
          <w:sz w:val="24"/>
          <w:szCs w:val="24"/>
        </w:rPr>
        <w:t>2</w:t>
      </w:r>
      <w:r w:rsidR="00C76E2B">
        <w:rPr>
          <w:rFonts w:ascii="宋体" w:eastAsia="宋体" w:hAnsi="宋体"/>
          <w:bCs/>
          <w:sz w:val="24"/>
          <w:szCs w:val="24"/>
        </w:rPr>
        <w:t>6</w:t>
      </w:r>
      <w:r>
        <w:rPr>
          <w:rFonts w:ascii="宋体" w:eastAsia="宋体" w:hAnsi="宋体" w:hint="eastAsia"/>
          <w:bCs/>
          <w:sz w:val="24"/>
          <w:szCs w:val="24"/>
        </w:rPr>
        <w:t>日发布的《</w:t>
      </w:r>
      <w:r w:rsidR="00C76E2B">
        <w:rPr>
          <w:rFonts w:ascii="宋体" w:eastAsia="宋体" w:hAnsi="宋体" w:hint="eastAsia"/>
          <w:bCs/>
          <w:sz w:val="24"/>
          <w:szCs w:val="24"/>
        </w:rPr>
        <w:t>上海永茂泰汽车</w:t>
      </w:r>
      <w:r w:rsidR="003F5C28">
        <w:rPr>
          <w:rFonts w:ascii="宋体" w:eastAsia="宋体" w:hAnsi="宋体" w:hint="eastAsia"/>
          <w:bCs/>
          <w:sz w:val="24"/>
          <w:szCs w:val="24"/>
        </w:rPr>
        <w:t>科技股份有限公司首次公开发行股票</w:t>
      </w:r>
      <w:r w:rsidRPr="00721AD4">
        <w:rPr>
          <w:rFonts w:ascii="宋体" w:eastAsia="宋体" w:hAnsi="宋体" w:hint="eastAsia"/>
          <w:bCs/>
          <w:sz w:val="24"/>
          <w:szCs w:val="24"/>
        </w:rPr>
        <w:t>网下初步配售结果</w:t>
      </w:r>
      <w:r w:rsidR="003F5C28">
        <w:rPr>
          <w:rFonts w:ascii="宋体" w:eastAsia="宋体" w:hAnsi="宋体" w:hint="eastAsia"/>
          <w:bCs/>
          <w:sz w:val="24"/>
          <w:szCs w:val="24"/>
        </w:rPr>
        <w:t>及网上中签结果</w:t>
      </w:r>
      <w:r w:rsidRPr="00721AD4">
        <w:rPr>
          <w:rFonts w:ascii="宋体" w:eastAsia="宋体" w:hAnsi="宋体" w:hint="eastAsia"/>
          <w:bCs/>
          <w:sz w:val="24"/>
          <w:szCs w:val="24"/>
        </w:rPr>
        <w:t>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C76E2B">
        <w:rPr>
          <w:rFonts w:ascii="宋体" w:eastAsia="宋体" w:hAnsi="宋体" w:hint="eastAsia"/>
          <w:bCs/>
          <w:sz w:val="24"/>
          <w:szCs w:val="24"/>
        </w:rPr>
        <w:t>永茂泰</w:t>
      </w:r>
      <w:r w:rsidR="008E609D" w:rsidRPr="008E609D">
        <w:rPr>
          <w:rFonts w:ascii="宋体" w:eastAsia="宋体" w:hAnsi="宋体" w:hint="eastAsia"/>
          <w:bCs/>
          <w:sz w:val="24"/>
          <w:szCs w:val="24"/>
        </w:rPr>
        <w:t>本次发行网下申购相关信息公告如下：</w:t>
      </w:r>
    </w:p>
    <w:tbl>
      <w:tblPr>
        <w:tblW w:w="8160" w:type="dxa"/>
        <w:tblLook w:val="04A0"/>
      </w:tblPr>
      <w:tblGrid>
        <w:gridCol w:w="2440"/>
        <w:gridCol w:w="1140"/>
        <w:gridCol w:w="1600"/>
        <w:gridCol w:w="1720"/>
        <w:gridCol w:w="1260"/>
      </w:tblGrid>
      <w:tr w:rsidR="00C76E2B" w:rsidRPr="00C76E2B" w:rsidTr="00C76E2B">
        <w:trPr>
          <w:trHeight w:val="54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center"/>
              <w:rPr>
                <w:rFonts w:ascii="宋体" w:eastAsia="宋体" w:hAnsi="宋体" w:cs="Arial"/>
                <w:b/>
                <w:bCs/>
                <w:kern w:val="0"/>
                <w:sz w:val="22"/>
              </w:rPr>
            </w:pPr>
            <w:r w:rsidRPr="00C76E2B">
              <w:rPr>
                <w:rFonts w:ascii="宋体" w:eastAsia="宋体" w:hAnsi="宋体" w:cs="Arial" w:hint="eastAsia"/>
                <w:b/>
                <w:bCs/>
                <w:kern w:val="0"/>
                <w:sz w:val="22"/>
              </w:rPr>
              <w:t>基金名称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C76E2B" w:rsidRPr="00C76E2B" w:rsidRDefault="00C76E2B" w:rsidP="00C76E2B">
            <w:pPr>
              <w:widowControl/>
              <w:jc w:val="center"/>
              <w:rPr>
                <w:rFonts w:ascii="宋体" w:eastAsia="宋体" w:hAnsi="宋体" w:cs="Arial"/>
                <w:b/>
                <w:bCs/>
                <w:kern w:val="0"/>
                <w:sz w:val="22"/>
              </w:rPr>
            </w:pPr>
            <w:r w:rsidRPr="00C76E2B">
              <w:rPr>
                <w:rFonts w:ascii="宋体" w:eastAsia="宋体" w:hAnsi="宋体" w:cs="Arial" w:hint="eastAsia"/>
                <w:b/>
                <w:bCs/>
                <w:kern w:val="0"/>
                <w:sz w:val="22"/>
              </w:rPr>
              <w:t>获配证券名称</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76E2B" w:rsidRPr="00C76E2B" w:rsidRDefault="00C76E2B" w:rsidP="00C76E2B">
            <w:pPr>
              <w:widowControl/>
              <w:jc w:val="center"/>
              <w:rPr>
                <w:rFonts w:ascii="宋体" w:eastAsia="宋体" w:hAnsi="宋体" w:cs="Arial"/>
                <w:b/>
                <w:bCs/>
                <w:kern w:val="0"/>
                <w:sz w:val="22"/>
              </w:rPr>
            </w:pPr>
            <w:r w:rsidRPr="00C76E2B">
              <w:rPr>
                <w:rFonts w:ascii="宋体" w:eastAsia="宋体" w:hAnsi="宋体" w:cs="Arial"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C76E2B" w:rsidRPr="00C76E2B" w:rsidRDefault="00C76E2B" w:rsidP="00C76E2B">
            <w:pPr>
              <w:widowControl/>
              <w:jc w:val="center"/>
              <w:rPr>
                <w:rFonts w:ascii="宋体" w:eastAsia="宋体" w:hAnsi="宋体" w:cs="Arial"/>
                <w:b/>
                <w:bCs/>
                <w:kern w:val="0"/>
                <w:sz w:val="22"/>
              </w:rPr>
            </w:pPr>
            <w:r w:rsidRPr="00C76E2B">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76E2B" w:rsidRPr="00C76E2B" w:rsidRDefault="00C76E2B" w:rsidP="00C76E2B">
            <w:pPr>
              <w:widowControl/>
              <w:jc w:val="center"/>
              <w:rPr>
                <w:rFonts w:ascii="宋体" w:eastAsia="宋体" w:hAnsi="宋体" w:cs="Arial"/>
                <w:b/>
                <w:bCs/>
                <w:kern w:val="0"/>
                <w:sz w:val="22"/>
              </w:rPr>
            </w:pPr>
            <w:r w:rsidRPr="00C76E2B">
              <w:rPr>
                <w:rFonts w:ascii="宋体" w:eastAsia="宋体" w:hAnsi="宋体" w:cs="Arial" w:hint="eastAsia"/>
                <w:b/>
                <w:bCs/>
                <w:kern w:val="0"/>
                <w:sz w:val="22"/>
              </w:rPr>
              <w:t>投资类型</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南方中小盘成长股票型证券投资基金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南方潜力新蓝筹混合型证券投资基金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南方医药保健灵活配置混合型证券投资基金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南方新优享灵活配置混合型证券投资基金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中国梦灵活配置混合型证券投资基金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南方绝对收益策略定期开放混合型发起式证券投资基金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南方产业活力股票型证券投资基金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lastRenderedPageBreak/>
              <w:t>南方创新经济灵活配置混合型证券投资基金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南方大数据100指数证券投资基金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南方改革机遇灵活配置混合型证券投资基金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南方利淘灵活配置混合型证券投资基金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南方利鑫灵活配置混合型证券投资基金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南方利众灵活配置混合型证券投资基金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南方大数据300指数证券投资基金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南方量化成长股票型证券投资基金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南方君选灵活配置混合型证券投资基金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南方利达灵活配置混合型证券投资基金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南方利安灵活配置混合型证券投资基金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南方互联网+灵活配置混合型证券投资基金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778</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10,425.20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南方转型增长灵活配置混合型证券投资基金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南方智造未来股票型证券投资基金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南方荣光灵活配置混合型证券投资基金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南方转型驱动灵活配置混合型证券投资基金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南方顺康灵活配置混合型证券投资基金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629</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8,428.60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南方瑞利灵活配置混合型证券投资基金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南方益和灵活配置混合型证券投资基金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南方品质优选灵活配置混合型证券投资基金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108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南方中证500信息技术指数交易型开放式指数证券投资基金发起式联接基金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lastRenderedPageBreak/>
              <w:t>南方中证500量化增强股票型发起式证券投资基金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南方荣欢定期开放混合型发起式证券投资基金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南方荣发定期开放混合型发起式证券投资基金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南方安颐混合型证券投资基金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南方荣尊混合型证券投资基金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南方现代教育股票型证券投资基金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南方中证全指证券公司交易型开放式指数证券投资基金联接基金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南方军工改革灵活配置混合型证券投资基金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南方智慧精选灵活配置混合型证券投资基金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108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南方中证申万有色金属交易型开放式指数证券投资基金发起式联接基金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南方荣年定期开放混合型证券投资基金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南方安康混合型证券投资基金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南方中证银行交易型开放式指数证券投资基金发起式联接基金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南方金融主题灵活配置混合型证券投资基金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南方兴盛先锋灵活配置混合型证券投资基金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南方安福混合型证券投资基金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南方优享分红灵活配置混合型证券投资基金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南方全天候策略混合型基金中基金(FOF)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南方安养混合型证券投资基金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南方融尚再融资主题精选灵活配置混合型证券投资基金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446</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5,976.40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南方君信灵活配置混合型证券投资基金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南方成安优选灵活配置混合型证券投资基金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MSCI中国A股国际通交易型开放式指数证券投资基金发起式联接基金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南方瑞祥一年定期开放灵活配置混合型证券投资基金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南方养老目标日期2035三年持有期混合型基金中基金(FOF)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南方智诚混合型证券投资基金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南方富元稳健养老目标一年持有期混合型基金中基金（FOF）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南方科技创新混合型证券投资基金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南方致远混合型证券投资基金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南方信息创新混合型证券投资基金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南方养老目标日期2030三年持有期混合型发起式基金中基金(FOF)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南方上证50指数增强型发起式证券投资基金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108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南方标普中国A股大盘红利低波50交易型开放式指数证券投资基金联接基金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南方宝泰一年持有期混合型证券投资基金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南方ESG主题股票型证券投资基金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南方宝丰混合型证券投资基金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南方产业优势两年持有期混合型证券投资基金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南方高股息主题股票型证券投资基金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南方沪深300指数增强型证券投资基金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南方瑞盛三年持有期混合型证券投资基金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南方誉慧一年持有期混合型证券投资基金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南方成长先锋混合型证券投资基金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南方誉丰18个月持有期混合型证券投资基金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南方养老目标日期2040三年持有期混合型发起式基金中基金(FOF)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南方景气驱动混合型证券投资基金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南方誉鼎一年持有期混合型证券投资基金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南方产业升级混合型证券投资基金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南方阿尔法混合型证券投资基金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南方誉尚一年持有期混合型证券投资基金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南方宁悦一年持有期混合型证券投资基金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南方宝升混合型证券投资基金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南方沪深300交易型开放式指数证券投资基金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南方粤港澳大湾区创新100交易型开放式指数证券投资基金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南方积极配置混合型证券投资基金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南方高增长混合型证券投资基金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南方中证500交易型开放式指数证券投资基金联接基金（LOF）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南方新兴消费增长股票型证券投资基金（LOF）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南方天元新产业股票型证券投资基金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南方中证高铁产业指数证券投资基金（LOF）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南方中证国有企业改革指数证券投资基金（LOF）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南方中证互联网指数证券投资基金（LOF）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南方3年封闭运作战略配售灵活配置混合型证券投资基金（LOF）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南方创业板2年定期开放混合型证券投资基金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南方稳健成长证券投资基金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南方稳健成长贰号证券投资基金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南方隆元产业主题混合型证券投资基金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南方盛元红利混合型证券投资基金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南方策略优化混合型证券投资基金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中证南方小康产业交易型开放式指数证券投资基金联接基金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南方上证380交易型开放式指数证券投资基金联接基金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南方高端装备灵活配置混合型证券投资基金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南方中证100指数证券投资基金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南方平衡配置混合型证券投资基金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南方核心竞争混合型证券投资基金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南方瑞合三年定期开放混合型发起式证券投资基金（LOF）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南方科创板3年定期开放混合型证券投资基金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中证南方小康产业交易型开放式指数证券投资基金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上证380交易型开放式指数证券投资基金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中证500交易型开放式指数证券投资基金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南方中证1000交易型开放式指数证券投资基金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MSCI中国A股国际通交易型开放式指数证券投资基金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南方中证全指房地产交易型开放式指数证券投资基金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中证500信息技术指数交易型开放式指数证券投资基金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南方中证申万有色金属交易型开放式指数证券投资基金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南方中证银行交易型开放式指数证券投资基金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南方中证全指证券公司交易型开放式指数证券投资基金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南方标普中国A股大盘红利低波50交易型开放式指数证券投资基金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r w:rsidR="00C76E2B" w:rsidRPr="00C76E2B" w:rsidTr="00C76E2B">
        <w:trPr>
          <w:trHeight w:val="810"/>
        </w:trPr>
        <w:tc>
          <w:tcPr>
            <w:tcW w:w="2440" w:type="dxa"/>
            <w:tcBorders>
              <w:top w:val="nil"/>
              <w:left w:val="single" w:sz="4" w:space="0" w:color="000000"/>
              <w:bottom w:val="single" w:sz="4" w:space="0" w:color="000000"/>
              <w:right w:val="single" w:sz="4" w:space="0" w:color="000000"/>
            </w:tcBorders>
            <w:shd w:val="clear" w:color="auto" w:fill="auto"/>
            <w:vAlign w:val="center"/>
            <w:hideMark/>
          </w:tcPr>
          <w:p w:rsidR="00C76E2B" w:rsidRPr="00C76E2B" w:rsidRDefault="00C76E2B" w:rsidP="00C76E2B">
            <w:pPr>
              <w:widowControl/>
              <w:jc w:val="left"/>
              <w:rPr>
                <w:rFonts w:ascii="宋体" w:eastAsia="宋体" w:hAnsi="宋体" w:cs="Arial"/>
                <w:color w:val="000000"/>
                <w:kern w:val="0"/>
                <w:sz w:val="22"/>
              </w:rPr>
            </w:pPr>
            <w:r w:rsidRPr="00C76E2B">
              <w:rPr>
                <w:rFonts w:ascii="宋体" w:eastAsia="宋体" w:hAnsi="宋体" w:cs="Arial" w:hint="eastAsia"/>
                <w:color w:val="000000"/>
                <w:kern w:val="0"/>
                <w:sz w:val="22"/>
              </w:rPr>
              <w:t>南方中证新能源交易型开放式指数证券投资基金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永茂泰</w:t>
            </w:r>
          </w:p>
        </w:tc>
        <w:tc>
          <w:tcPr>
            <w:tcW w:w="160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801</w:t>
            </w:r>
          </w:p>
        </w:tc>
        <w:tc>
          <w:tcPr>
            <w:tcW w:w="172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right"/>
              <w:rPr>
                <w:rFonts w:ascii="宋体" w:eastAsia="宋体" w:hAnsi="宋体" w:cs="Arial"/>
                <w:color w:val="000000"/>
                <w:kern w:val="0"/>
                <w:sz w:val="22"/>
              </w:rPr>
            </w:pPr>
            <w:r w:rsidRPr="00C76E2B">
              <w:rPr>
                <w:rFonts w:ascii="宋体" w:eastAsia="宋体" w:hAnsi="宋体" w:cs="Arial" w:hint="eastAsia"/>
                <w:color w:val="000000"/>
                <w:kern w:val="0"/>
                <w:sz w:val="22"/>
              </w:rPr>
              <w:t xml:space="preserve">10,733.40 </w:t>
            </w:r>
          </w:p>
        </w:tc>
        <w:tc>
          <w:tcPr>
            <w:tcW w:w="1260" w:type="dxa"/>
            <w:tcBorders>
              <w:top w:val="nil"/>
              <w:left w:val="nil"/>
              <w:bottom w:val="single" w:sz="4" w:space="0" w:color="000000"/>
              <w:right w:val="single" w:sz="4" w:space="0" w:color="000000"/>
            </w:tcBorders>
            <w:shd w:val="clear" w:color="auto" w:fill="auto"/>
            <w:noWrap/>
            <w:vAlign w:val="center"/>
            <w:hideMark/>
          </w:tcPr>
          <w:p w:rsidR="00C76E2B" w:rsidRPr="00C76E2B" w:rsidRDefault="00C76E2B" w:rsidP="00C76E2B">
            <w:pPr>
              <w:widowControl/>
              <w:jc w:val="center"/>
              <w:rPr>
                <w:rFonts w:ascii="宋体" w:eastAsia="宋体" w:hAnsi="宋体" w:cs="Arial"/>
                <w:color w:val="000000"/>
                <w:kern w:val="0"/>
                <w:sz w:val="22"/>
              </w:rPr>
            </w:pPr>
            <w:r w:rsidRPr="00C76E2B">
              <w:rPr>
                <w:rFonts w:ascii="宋体" w:eastAsia="宋体" w:hAnsi="宋体" w:cs="Arial" w:hint="eastAsia"/>
                <w:color w:val="000000"/>
                <w:kern w:val="0"/>
                <w:sz w:val="22"/>
              </w:rPr>
              <w:t>网下申购</w:t>
            </w:r>
          </w:p>
        </w:tc>
      </w:tr>
    </w:tbl>
    <w:p w:rsidR="00394D94" w:rsidRDefault="00394D94" w:rsidP="00C80D58">
      <w:pPr>
        <w:widowControl/>
        <w:spacing w:line="360" w:lineRule="auto"/>
        <w:jc w:val="left"/>
        <w:rPr>
          <w:rFonts w:ascii="宋体" w:eastAsia="宋体" w:hAnsi="宋体" w:cs="宋体"/>
          <w:color w:val="000000"/>
          <w:kern w:val="0"/>
          <w:sz w:val="24"/>
        </w:rPr>
      </w:pPr>
      <w:bookmarkStart w:id="0" w:name="_GoBack"/>
      <w:bookmarkEnd w:id="0"/>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C76E2B">
        <w:rPr>
          <w:rFonts w:ascii="宋体" w:eastAsia="宋体" w:hAnsi="宋体" w:cs="宋体"/>
          <w:bCs/>
          <w:color w:val="000000"/>
          <w:kern w:val="0"/>
          <w:sz w:val="24"/>
        </w:rPr>
        <w:t>3</w:t>
      </w:r>
      <w:r w:rsidR="00524EE5" w:rsidRPr="00524EE5">
        <w:rPr>
          <w:rFonts w:ascii="宋体" w:eastAsia="宋体" w:hAnsi="宋体" w:cs="宋体"/>
          <w:bCs/>
          <w:color w:val="000000"/>
          <w:kern w:val="0"/>
          <w:sz w:val="24"/>
        </w:rPr>
        <w:t>月</w:t>
      </w:r>
      <w:r w:rsidR="00C76E2B">
        <w:rPr>
          <w:rFonts w:ascii="宋体" w:eastAsia="宋体" w:hAnsi="宋体" w:cs="宋体"/>
          <w:bCs/>
          <w:color w:val="000000"/>
          <w:kern w:val="0"/>
          <w:sz w:val="24"/>
        </w:rPr>
        <w:t>2</w:t>
      </w:r>
      <w:r w:rsidR="00524EE5" w:rsidRPr="00524EE5">
        <w:rPr>
          <w:rFonts w:ascii="宋体" w:eastAsia="宋体" w:hAnsi="宋体" w:cs="宋体"/>
          <w:bCs/>
          <w:color w:val="000000"/>
          <w:kern w:val="0"/>
          <w:sz w:val="24"/>
        </w:rPr>
        <w:t>日</w:t>
      </w:r>
    </w:p>
    <w:sectPr w:rsidR="00E42A11" w:rsidRPr="00C80D58" w:rsidSect="00D22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7D" w:rsidRDefault="00CD7C7D" w:rsidP="008C3863">
      <w:r>
        <w:separator/>
      </w:r>
    </w:p>
  </w:endnote>
  <w:endnote w:type="continuationSeparator" w:id="0">
    <w:p w:rsidR="00CD7C7D" w:rsidRDefault="00CD7C7D"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7D" w:rsidRDefault="00CD7C7D" w:rsidP="008C3863">
      <w:r>
        <w:separator/>
      </w:r>
    </w:p>
  </w:footnote>
  <w:footnote w:type="continuationSeparator" w:id="0">
    <w:p w:rsidR="00CD7C7D" w:rsidRDefault="00CD7C7D"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E7CD7"/>
    <w:rsid w:val="001543CE"/>
    <w:rsid w:val="001A1AAA"/>
    <w:rsid w:val="001B76F1"/>
    <w:rsid w:val="001D4B28"/>
    <w:rsid w:val="00203E1B"/>
    <w:rsid w:val="00394D94"/>
    <w:rsid w:val="003C535B"/>
    <w:rsid w:val="003F5C28"/>
    <w:rsid w:val="00466B4B"/>
    <w:rsid w:val="00523D04"/>
    <w:rsid w:val="00524EE5"/>
    <w:rsid w:val="00540D39"/>
    <w:rsid w:val="00570B74"/>
    <w:rsid w:val="005D1D4F"/>
    <w:rsid w:val="005F7C35"/>
    <w:rsid w:val="0064085B"/>
    <w:rsid w:val="00721AD4"/>
    <w:rsid w:val="00736C00"/>
    <w:rsid w:val="007F1DB6"/>
    <w:rsid w:val="008C3863"/>
    <w:rsid w:val="008E0562"/>
    <w:rsid w:val="008E609D"/>
    <w:rsid w:val="00936B2A"/>
    <w:rsid w:val="009836F7"/>
    <w:rsid w:val="00A158D8"/>
    <w:rsid w:val="00B52173"/>
    <w:rsid w:val="00BE4ADB"/>
    <w:rsid w:val="00BF2225"/>
    <w:rsid w:val="00C76E2B"/>
    <w:rsid w:val="00C80D58"/>
    <w:rsid w:val="00CD7C7D"/>
    <w:rsid w:val="00D22875"/>
    <w:rsid w:val="00DC13F6"/>
    <w:rsid w:val="00E42A11"/>
    <w:rsid w:val="00E76D8C"/>
    <w:rsid w:val="00F20C25"/>
    <w:rsid w:val="00F2504D"/>
    <w:rsid w:val="00FE159D"/>
    <w:rsid w:val="00FF5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4</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2021-03-01T16:01:00Z</dcterms:created>
  <dcterms:modified xsi:type="dcterms:W3CDTF">2021-03-01T16:01:00Z</dcterms:modified>
</cp:coreProperties>
</file>