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9" w:rsidRDefault="00AB4ADD">
      <w:pPr>
        <w:pStyle w:val="a8"/>
      </w:pPr>
      <w:r>
        <w:rPr>
          <w:rFonts w:hint="eastAsia"/>
        </w:rPr>
        <w:t>华泰柏瑞基金管理有限公司关于旗下基金投资关联方</w:t>
      </w:r>
    </w:p>
    <w:p w:rsidR="006C1709" w:rsidRDefault="00AB4ADD">
      <w:pPr>
        <w:pStyle w:val="a8"/>
      </w:pPr>
      <w:r>
        <w:rPr>
          <w:rFonts w:hint="eastAsia"/>
        </w:rPr>
        <w:t>承销期内承销证券的公告</w:t>
      </w:r>
    </w:p>
    <w:p w:rsidR="006C1709" w:rsidRDefault="006C1709">
      <w:pPr>
        <w:spacing w:line="360" w:lineRule="auto"/>
        <w:ind w:firstLineChars="177" w:firstLine="425"/>
        <w:rPr>
          <w:sz w:val="24"/>
          <w:szCs w:val="24"/>
        </w:rPr>
      </w:pPr>
    </w:p>
    <w:p w:rsidR="006C1709" w:rsidRDefault="00AB4ADD">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w:t>
      </w:r>
      <w:r>
        <w:rPr>
          <w:rFonts w:hint="eastAsia"/>
          <w:sz w:val="24"/>
          <w:szCs w:val="24"/>
        </w:rPr>
        <w:t>合同及招募说明书等规定，在履行规定审批程序并经基金托管人同意后，华泰柏瑞基金管理有限公司（以下简称“本公司”）旗下部分基金参与了上海永茂泰汽车科技股份有限公司（以下简称“永茂泰”）首次公开发行人民币普通股（</w:t>
      </w:r>
      <w:r>
        <w:rPr>
          <w:rFonts w:hint="eastAsia"/>
          <w:sz w:val="24"/>
          <w:szCs w:val="24"/>
        </w:rPr>
        <w:t>A</w:t>
      </w:r>
      <w:r>
        <w:rPr>
          <w:rFonts w:hint="eastAsia"/>
          <w:sz w:val="24"/>
          <w:szCs w:val="24"/>
        </w:rPr>
        <w:t>股）的网下申购。永茂泰本次发行的保荐机构（主承销商）华泰联合证券有限责任公司为本公司关联方。本次发行价格为</w:t>
      </w:r>
      <w:r>
        <w:rPr>
          <w:rFonts w:hint="eastAsia"/>
          <w:sz w:val="24"/>
          <w:szCs w:val="24"/>
        </w:rPr>
        <w:t>13.40</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股，由发行人和保荐机构（主承销商）根据初步询价结果，综合考虑发行人基本面、市场情况、同行业上市公司估值水平、募集资金需求及承销风险等因素后协商确定。</w:t>
      </w:r>
    </w:p>
    <w:p w:rsidR="006C1709" w:rsidRDefault="00AB4ADD">
      <w:pPr>
        <w:spacing w:line="360" w:lineRule="auto"/>
        <w:ind w:firstLineChars="177" w:firstLine="425"/>
        <w:rPr>
          <w:sz w:val="24"/>
          <w:szCs w:val="24"/>
        </w:rPr>
      </w:pPr>
      <w:r>
        <w:rPr>
          <w:rFonts w:hint="eastAsia"/>
          <w:sz w:val="24"/>
          <w:szCs w:val="24"/>
        </w:rPr>
        <w:t>根据法律法规、基金合同及永茂泰于</w:t>
      </w:r>
      <w:r>
        <w:rPr>
          <w:rFonts w:hint="eastAsia"/>
          <w:sz w:val="24"/>
          <w:szCs w:val="24"/>
        </w:rPr>
        <w:t>2</w:t>
      </w:r>
      <w:r>
        <w:rPr>
          <w:rFonts w:hint="eastAsia"/>
          <w:sz w:val="24"/>
          <w:szCs w:val="24"/>
        </w:rPr>
        <w:t>021</w:t>
      </w:r>
      <w:r>
        <w:rPr>
          <w:rFonts w:hint="eastAsia"/>
          <w:sz w:val="24"/>
          <w:szCs w:val="24"/>
        </w:rPr>
        <w:t>年</w:t>
      </w:r>
      <w:r>
        <w:rPr>
          <w:rFonts w:hint="eastAsia"/>
          <w:sz w:val="24"/>
          <w:szCs w:val="24"/>
        </w:rPr>
        <w:t>2</w:t>
      </w:r>
      <w:r>
        <w:rPr>
          <w:rFonts w:hint="eastAsia"/>
          <w:sz w:val="24"/>
          <w:szCs w:val="24"/>
        </w:rPr>
        <w:t>月</w:t>
      </w:r>
      <w:r>
        <w:rPr>
          <w:rFonts w:hint="eastAsia"/>
          <w:sz w:val="24"/>
          <w:szCs w:val="24"/>
        </w:rPr>
        <w:t>26</w:t>
      </w:r>
      <w:r>
        <w:rPr>
          <w:rFonts w:hint="eastAsia"/>
          <w:sz w:val="24"/>
          <w:szCs w:val="24"/>
        </w:rPr>
        <w:t>日发布的《</w:t>
      </w:r>
      <w:r>
        <w:rPr>
          <w:rFonts w:asciiTheme="minorEastAsia" w:hAnsiTheme="minorEastAsia" w:hint="eastAsia"/>
          <w:sz w:val="24"/>
          <w:szCs w:val="24"/>
        </w:rPr>
        <w:t>上海永茂泰汽车科技股份有限公司首次公开发行股票网下初步配售结果及网上中签结果公告</w:t>
      </w:r>
      <w:r>
        <w:rPr>
          <w:rFonts w:hint="eastAsia"/>
          <w:sz w:val="24"/>
          <w:szCs w:val="24"/>
        </w:rPr>
        <w:t>》，现将本公司旗下基金获配信息公告如下：</w:t>
      </w:r>
    </w:p>
    <w:p w:rsidR="006C1709" w:rsidRDefault="006C1709">
      <w:pPr>
        <w:spacing w:line="360" w:lineRule="auto"/>
        <w:ind w:firstLineChars="177" w:firstLine="425"/>
        <w:rPr>
          <w:sz w:val="24"/>
          <w:szCs w:val="24"/>
        </w:rPr>
      </w:pPr>
    </w:p>
    <w:tbl>
      <w:tblPr>
        <w:tblStyle w:val="a5"/>
        <w:tblW w:w="0" w:type="auto"/>
        <w:tblInd w:w="108" w:type="dxa"/>
        <w:tblLook w:val="04A0"/>
      </w:tblPr>
      <w:tblGrid>
        <w:gridCol w:w="5812"/>
        <w:gridCol w:w="1134"/>
        <w:gridCol w:w="1418"/>
      </w:tblGrid>
      <w:tr w:rsidR="006C1709">
        <w:tc>
          <w:tcPr>
            <w:tcW w:w="5812" w:type="dxa"/>
            <w:vAlign w:val="center"/>
          </w:tcPr>
          <w:p w:rsidR="006C1709" w:rsidRDefault="00AB4ADD">
            <w:pPr>
              <w:spacing w:line="360" w:lineRule="auto"/>
              <w:jc w:val="center"/>
              <w:rPr>
                <w:rFonts w:cstheme="minorHAnsi"/>
                <w:color w:val="333333"/>
                <w:sz w:val="24"/>
                <w:szCs w:val="24"/>
              </w:rPr>
            </w:pPr>
            <w:r>
              <w:rPr>
                <w:rFonts w:cstheme="minorHAnsi"/>
                <w:b/>
                <w:color w:val="333333"/>
                <w:kern w:val="0"/>
                <w:sz w:val="24"/>
                <w:szCs w:val="24"/>
              </w:rPr>
              <w:t>基金名称</w:t>
            </w:r>
          </w:p>
        </w:tc>
        <w:tc>
          <w:tcPr>
            <w:tcW w:w="1134" w:type="dxa"/>
            <w:vAlign w:val="center"/>
          </w:tcPr>
          <w:p w:rsidR="006C1709" w:rsidRDefault="00AB4ADD">
            <w:pPr>
              <w:spacing w:line="360" w:lineRule="auto"/>
              <w:jc w:val="center"/>
              <w:rPr>
                <w:rFonts w:cstheme="minorHAnsi"/>
                <w:color w:val="333333"/>
                <w:sz w:val="24"/>
                <w:szCs w:val="24"/>
              </w:rPr>
            </w:pPr>
            <w:r>
              <w:rPr>
                <w:rFonts w:cstheme="minorHAnsi"/>
                <w:b/>
                <w:color w:val="333333"/>
                <w:kern w:val="0"/>
                <w:sz w:val="24"/>
                <w:szCs w:val="24"/>
              </w:rPr>
              <w:t>获配数量（股）</w:t>
            </w:r>
          </w:p>
        </w:tc>
        <w:tc>
          <w:tcPr>
            <w:tcW w:w="1418" w:type="dxa"/>
            <w:vAlign w:val="center"/>
          </w:tcPr>
          <w:p w:rsidR="006C1709" w:rsidRDefault="00AB4ADD">
            <w:pPr>
              <w:spacing w:line="360" w:lineRule="auto"/>
              <w:jc w:val="center"/>
              <w:rPr>
                <w:rFonts w:cstheme="minorHAnsi"/>
                <w:color w:val="333333"/>
                <w:sz w:val="24"/>
                <w:szCs w:val="24"/>
              </w:rPr>
            </w:pPr>
            <w:r>
              <w:rPr>
                <w:rFonts w:cstheme="minorHAnsi"/>
                <w:b/>
                <w:color w:val="333333"/>
                <w:kern w:val="0"/>
                <w:sz w:val="24"/>
                <w:szCs w:val="24"/>
              </w:rPr>
              <w:t>获配金额（元）</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华泰柏瑞中证沪港深互联网交易型开放式指数证券投资基金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华泰柏瑞质量领先混合型证券投资基金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华泰柏瑞量化创享混合型证券投资基金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华泰柏瑞中证光伏产业交易型开放式指数证券投资基金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华泰柏瑞成长智选混合型证券投资基金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华泰柏瑞量化创盈混合型证券投资基金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华泰柏瑞上证科创板</w:t>
            </w:r>
            <w:r>
              <w:rPr>
                <w:rFonts w:cstheme="minorHAnsi"/>
                <w:color w:val="333333"/>
                <w:szCs w:val="21"/>
              </w:rPr>
              <w:t>50</w:t>
            </w:r>
            <w:r>
              <w:rPr>
                <w:rFonts w:cstheme="minorHAnsi"/>
                <w:color w:val="333333"/>
                <w:szCs w:val="21"/>
              </w:rPr>
              <w:t>成份交易型开放式指数证券投资基金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华泰柏瑞优势领航混合型证券投资基金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华泰柏瑞景利混合型证券投资基金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lastRenderedPageBreak/>
              <w:t>华泰柏瑞品质优选混合型证券投资基金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华泰柏瑞景气优选混合型证券投资基金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华泰柏瑞行业精选混合型证券投资基金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华泰柏瑞质量成长混合型证券投资基金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华泰柏瑞中证科技</w:t>
            </w:r>
            <w:r>
              <w:rPr>
                <w:rFonts w:cstheme="minorHAnsi"/>
                <w:color w:val="333333"/>
                <w:szCs w:val="21"/>
              </w:rPr>
              <w:t>100</w:t>
            </w:r>
            <w:r>
              <w:rPr>
                <w:rFonts w:cstheme="minorHAnsi"/>
                <w:color w:val="333333"/>
                <w:szCs w:val="21"/>
              </w:rPr>
              <w:t>交易型开放式指数证券投资基金联接基金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华泰柏瑞景气回报一年持有期混合型证券投资基金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华泰柏瑞研究精选混合型证券投资基金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华泰柏瑞中证科技</w:t>
            </w:r>
            <w:r>
              <w:rPr>
                <w:rFonts w:cstheme="minorHAnsi"/>
                <w:color w:val="333333"/>
                <w:szCs w:val="21"/>
              </w:rPr>
              <w:t>100</w:t>
            </w:r>
            <w:r>
              <w:rPr>
                <w:rFonts w:cstheme="minorHAnsi"/>
                <w:color w:val="333333"/>
                <w:szCs w:val="21"/>
              </w:rPr>
              <w:t>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华泰柏瑞基本面智选混合型证券投资基金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华泰柏瑞量化明选</w:t>
            </w:r>
            <w:r>
              <w:rPr>
                <w:rFonts w:cstheme="minorHAnsi"/>
                <w:color w:val="333333"/>
                <w:szCs w:val="21"/>
              </w:rPr>
              <w:t>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446</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5,976.40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华泰柏瑞中证红利低波动交易型开放式指数证券投资基金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583</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7,812.20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w:t>
            </w:r>
            <w:r>
              <w:rPr>
                <w:rFonts w:cstheme="minorHAnsi"/>
                <w:color w:val="333333"/>
                <w:szCs w:val="21"/>
              </w:rPr>
              <w:t>MSCI</w:t>
            </w:r>
            <w:r>
              <w:rPr>
                <w:rFonts w:cstheme="minorHAnsi"/>
                <w:color w:val="333333"/>
                <w:szCs w:val="21"/>
              </w:rPr>
              <w:t>中国</w:t>
            </w:r>
            <w:r>
              <w:rPr>
                <w:rFonts w:cstheme="minorHAnsi"/>
                <w:color w:val="333333"/>
                <w:szCs w:val="21"/>
              </w:rPr>
              <w:t>A</w:t>
            </w:r>
            <w:r>
              <w:rPr>
                <w:rFonts w:cstheme="minorHAnsi"/>
                <w:color w:val="333333"/>
                <w:szCs w:val="21"/>
              </w:rPr>
              <w:t>股国际通交易型开放式指数证券投资基金联接基金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华泰柏瑞医疗健康混合型证券投资基金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w:t>
            </w:r>
            <w:r>
              <w:rPr>
                <w:rFonts w:cstheme="minorHAnsi"/>
                <w:color w:val="333333"/>
                <w:szCs w:val="21"/>
              </w:rPr>
              <w:t>MSCI</w:t>
            </w:r>
            <w:r>
              <w:rPr>
                <w:rFonts w:cstheme="minorHAnsi"/>
                <w:color w:val="333333"/>
                <w:szCs w:val="21"/>
              </w:rPr>
              <w:t>中国</w:t>
            </w:r>
            <w:r>
              <w:rPr>
                <w:rFonts w:cstheme="minorHAnsi"/>
                <w:color w:val="333333"/>
                <w:szCs w:val="21"/>
              </w:rPr>
              <w:t>A</w:t>
            </w:r>
            <w:r>
              <w:rPr>
                <w:rFonts w:cstheme="minorHAnsi"/>
                <w:color w:val="333333"/>
                <w:szCs w:val="21"/>
              </w:rPr>
              <w:t>股国际通交易型开放式指数证券投资基金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华泰柏瑞新金融地产灵活配置混合型证券投资基金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366</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4,904.40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华泰柏瑞战略新兴产业混合型证券投资基金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华泰柏瑞量化阿尔法灵活配置混合型证券投资基金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华泰柏瑞富利灵活配置混合型证券投资基金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595</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7,973.00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华泰柏瑞生物医药灵活配置混合型证券投资基金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华泰柏瑞量化创优灵活配置混合型证券投资基金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华泰柏瑞享利灵活配置混合型证券投资基金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华泰柏瑞鼎利灵活配置混合型证券投资基金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华泰柏瑞量化对冲稳健收益定期开放混合型发起式证券投资基金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上证红利交易型开放式指数证券投资基金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华泰柏瑞精选回报灵活配置混合型证券投资基金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lastRenderedPageBreak/>
              <w:t>华泰柏瑞沪深</w:t>
            </w:r>
            <w:r>
              <w:rPr>
                <w:rFonts w:cstheme="minorHAnsi"/>
                <w:color w:val="333333"/>
                <w:szCs w:val="21"/>
              </w:rPr>
              <w:t>300</w:t>
            </w:r>
            <w:r>
              <w:rPr>
                <w:rFonts w:cstheme="minorHAnsi"/>
                <w:color w:val="333333"/>
                <w:szCs w:val="21"/>
              </w:rPr>
              <w:t>交易型开放式指数证券投资基金联接基金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华泰柏瑞中证</w:t>
            </w:r>
            <w:r>
              <w:rPr>
                <w:rFonts w:cstheme="minorHAnsi"/>
                <w:color w:val="333333"/>
                <w:szCs w:val="21"/>
              </w:rPr>
              <w:t>500</w:t>
            </w:r>
            <w:r>
              <w:rPr>
                <w:rFonts w:cstheme="minorHAnsi"/>
                <w:color w:val="333333"/>
                <w:szCs w:val="21"/>
              </w:rPr>
              <w:t>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华泰柏瑞沪深</w:t>
            </w:r>
            <w:r>
              <w:rPr>
                <w:rFonts w:cstheme="minorHAnsi"/>
                <w:color w:val="333333"/>
                <w:szCs w:val="21"/>
              </w:rPr>
              <w:t>300</w:t>
            </w:r>
            <w:r>
              <w:rPr>
                <w:rFonts w:cstheme="minorHAnsi"/>
                <w:color w:val="333333"/>
                <w:szCs w:val="21"/>
              </w:rPr>
              <w:t>交易型开放式指数证券投资基金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华泰柏瑞激励动力灵活配置混合型证券投资基金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华泰柏瑞健康生活灵活配置混合型证券投资基金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华泰柏瑞量化绝对收益策略定期开放混合型发起式证券投资基金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华泰柏瑞量化智慧灵活配置混合型证券投资基金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华泰柏瑞消费成长灵活配置混合型证券投资基金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华泰柏瑞新利灵活配置混合型证券投资基金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华泰柏瑞积极优选股票型证券投资基金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华泰柏瑞量化驱动灵活配置混合型证券投资基金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华泰柏瑞创新动力灵活配置混合型证券投资基金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华泰柏瑞量化优选灵活配置混合型证券投资基金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华泰柏瑞创新升级混合型证券投资基金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华泰柏瑞量化增强混合型证券投资基金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华泰柏瑞量化先行混合型证券投资基金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华泰柏瑞行业领先混合型证券投资基金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华泰柏瑞价值增长混合型证券投资基金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华泰柏瑞积极成长混合型证券投资基金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r w:rsidR="006C1709">
        <w:tc>
          <w:tcPr>
            <w:tcW w:w="5812" w:type="dxa"/>
            <w:vAlign w:val="center"/>
          </w:tcPr>
          <w:p w:rsidR="006C1709" w:rsidRDefault="00AB4ADD">
            <w:pPr>
              <w:spacing w:line="360" w:lineRule="auto"/>
              <w:rPr>
                <w:rFonts w:cstheme="minorHAnsi"/>
                <w:szCs w:val="21"/>
              </w:rPr>
            </w:pPr>
            <w:r>
              <w:rPr>
                <w:rFonts w:cstheme="minorHAnsi"/>
                <w:color w:val="333333"/>
                <w:szCs w:val="21"/>
              </w:rPr>
              <w:t>华泰柏瑞盛世中国混合型证券投资基金</w:t>
            </w:r>
          </w:p>
        </w:tc>
        <w:tc>
          <w:tcPr>
            <w:tcW w:w="1134" w:type="dxa"/>
            <w:vAlign w:val="center"/>
          </w:tcPr>
          <w:p w:rsidR="006C1709" w:rsidRDefault="00AB4ADD">
            <w:pPr>
              <w:spacing w:line="360" w:lineRule="auto"/>
              <w:jc w:val="right"/>
              <w:rPr>
                <w:rFonts w:cstheme="minorHAnsi"/>
                <w:szCs w:val="21"/>
              </w:rPr>
            </w:pPr>
            <w:r>
              <w:rPr>
                <w:rFonts w:cstheme="minorHAnsi"/>
                <w:color w:val="333333"/>
                <w:szCs w:val="21"/>
              </w:rPr>
              <w:t>801</w:t>
            </w:r>
          </w:p>
        </w:tc>
        <w:tc>
          <w:tcPr>
            <w:tcW w:w="1418" w:type="dxa"/>
            <w:vAlign w:val="center"/>
          </w:tcPr>
          <w:p w:rsidR="006C1709" w:rsidRDefault="00AB4ADD">
            <w:pPr>
              <w:spacing w:line="360" w:lineRule="auto"/>
              <w:jc w:val="right"/>
              <w:rPr>
                <w:rFonts w:cstheme="minorHAnsi"/>
                <w:szCs w:val="21"/>
              </w:rPr>
            </w:pPr>
            <w:r>
              <w:rPr>
                <w:rFonts w:cstheme="minorHAnsi"/>
                <w:color w:val="333333"/>
                <w:szCs w:val="21"/>
              </w:rPr>
              <w:t>10,733.40</w:t>
            </w:r>
          </w:p>
        </w:tc>
      </w:tr>
    </w:tbl>
    <w:p w:rsidR="006C1709" w:rsidRDefault="006C1709">
      <w:pPr>
        <w:spacing w:line="360" w:lineRule="auto"/>
        <w:ind w:firstLineChars="177" w:firstLine="425"/>
        <w:rPr>
          <w:sz w:val="24"/>
          <w:szCs w:val="24"/>
        </w:rPr>
      </w:pPr>
    </w:p>
    <w:p w:rsidR="006C1709" w:rsidRDefault="006C1709">
      <w:pPr>
        <w:spacing w:line="360" w:lineRule="auto"/>
        <w:ind w:firstLineChars="177" w:firstLine="425"/>
        <w:rPr>
          <w:sz w:val="24"/>
          <w:szCs w:val="24"/>
        </w:rPr>
      </w:pPr>
    </w:p>
    <w:p w:rsidR="006C1709" w:rsidRDefault="00AB4ADD">
      <w:pPr>
        <w:spacing w:line="360" w:lineRule="auto"/>
        <w:ind w:firstLineChars="177" w:firstLine="425"/>
        <w:rPr>
          <w:sz w:val="24"/>
          <w:szCs w:val="24"/>
        </w:rPr>
      </w:pPr>
      <w:r>
        <w:rPr>
          <w:rFonts w:hint="eastAsia"/>
          <w:sz w:val="24"/>
          <w:szCs w:val="24"/>
        </w:rPr>
        <w:t>特此公告。</w:t>
      </w:r>
    </w:p>
    <w:p w:rsidR="006C1709" w:rsidRDefault="006C1709">
      <w:pPr>
        <w:spacing w:line="360" w:lineRule="auto"/>
        <w:ind w:firstLineChars="177" w:firstLine="425"/>
        <w:rPr>
          <w:sz w:val="24"/>
          <w:szCs w:val="24"/>
        </w:rPr>
      </w:pPr>
      <w:bookmarkStart w:id="0" w:name="_GoBack"/>
      <w:bookmarkEnd w:id="0"/>
    </w:p>
    <w:p w:rsidR="006C1709" w:rsidRDefault="006C1709">
      <w:pPr>
        <w:spacing w:line="360" w:lineRule="auto"/>
        <w:ind w:firstLineChars="177" w:firstLine="425"/>
        <w:rPr>
          <w:sz w:val="24"/>
          <w:szCs w:val="24"/>
        </w:rPr>
      </w:pPr>
    </w:p>
    <w:p w:rsidR="006C1709" w:rsidRDefault="00AB4ADD">
      <w:pPr>
        <w:spacing w:line="360" w:lineRule="auto"/>
        <w:ind w:firstLineChars="177" w:firstLine="425"/>
        <w:jc w:val="right"/>
        <w:rPr>
          <w:sz w:val="24"/>
          <w:szCs w:val="24"/>
        </w:rPr>
      </w:pPr>
      <w:r>
        <w:rPr>
          <w:rFonts w:hint="eastAsia"/>
          <w:sz w:val="24"/>
          <w:szCs w:val="24"/>
        </w:rPr>
        <w:t>华泰柏瑞基金管理有限公司</w:t>
      </w:r>
    </w:p>
    <w:p w:rsidR="006C1709" w:rsidRDefault="00AB4ADD">
      <w:pPr>
        <w:spacing w:line="360" w:lineRule="auto"/>
        <w:ind w:firstLineChars="177" w:firstLine="425"/>
        <w:jc w:val="right"/>
        <w:rPr>
          <w:sz w:val="24"/>
          <w:szCs w:val="24"/>
        </w:rPr>
      </w:pPr>
      <w:r>
        <w:rPr>
          <w:rFonts w:hint="eastAsia"/>
          <w:sz w:val="24"/>
          <w:szCs w:val="24"/>
        </w:rPr>
        <w:t>2021</w:t>
      </w:r>
      <w:r>
        <w:rPr>
          <w:rFonts w:hint="eastAsia"/>
          <w:sz w:val="24"/>
          <w:szCs w:val="24"/>
        </w:rPr>
        <w:t>年</w:t>
      </w:r>
      <w:r>
        <w:rPr>
          <w:rFonts w:hint="eastAsia"/>
          <w:sz w:val="24"/>
          <w:szCs w:val="24"/>
        </w:rPr>
        <w:t>2</w:t>
      </w:r>
      <w:r>
        <w:rPr>
          <w:rFonts w:hint="eastAsia"/>
          <w:sz w:val="24"/>
          <w:szCs w:val="24"/>
        </w:rPr>
        <w:t>月</w:t>
      </w:r>
      <w:r>
        <w:rPr>
          <w:rFonts w:hint="eastAsia"/>
          <w:sz w:val="24"/>
          <w:szCs w:val="24"/>
        </w:rPr>
        <w:t>27</w:t>
      </w:r>
      <w:r>
        <w:rPr>
          <w:rFonts w:hint="eastAsia"/>
          <w:sz w:val="24"/>
          <w:szCs w:val="24"/>
        </w:rPr>
        <w:t>日</w:t>
      </w:r>
    </w:p>
    <w:sectPr w:rsidR="006C1709" w:rsidSect="006C1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09" w:rsidRDefault="00AB4ADD">
      <w:r>
        <w:separator/>
      </w:r>
    </w:p>
  </w:endnote>
  <w:endnote w:type="continuationSeparator" w:id="0">
    <w:p w:rsidR="006C1709" w:rsidRDefault="00AB4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09" w:rsidRDefault="00AB4ADD">
      <w:r>
        <w:separator/>
      </w:r>
    </w:p>
  </w:footnote>
  <w:footnote w:type="continuationSeparator" w:id="0">
    <w:p w:rsidR="006C1709" w:rsidRDefault="00AB4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709"/>
    <w:rsid w:val="006C1709"/>
    <w:rsid w:val="00AB4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709"/>
    <w:rPr>
      <w:sz w:val="18"/>
      <w:szCs w:val="18"/>
    </w:rPr>
  </w:style>
  <w:style w:type="paragraph" w:styleId="a4">
    <w:name w:val="footer"/>
    <w:basedOn w:val="a"/>
    <w:link w:val="Char0"/>
    <w:uiPriority w:val="99"/>
    <w:unhideWhenUsed/>
    <w:rsid w:val="006C1709"/>
    <w:pPr>
      <w:tabs>
        <w:tab w:val="center" w:pos="4153"/>
        <w:tab w:val="right" w:pos="8306"/>
      </w:tabs>
      <w:snapToGrid w:val="0"/>
      <w:jc w:val="left"/>
    </w:pPr>
    <w:rPr>
      <w:sz w:val="18"/>
      <w:szCs w:val="18"/>
    </w:rPr>
  </w:style>
  <w:style w:type="character" w:customStyle="1" w:styleId="Char0">
    <w:name w:val="页脚 Char"/>
    <w:basedOn w:val="a0"/>
    <w:link w:val="a4"/>
    <w:uiPriority w:val="99"/>
    <w:rsid w:val="006C1709"/>
    <w:rPr>
      <w:sz w:val="18"/>
      <w:szCs w:val="18"/>
    </w:rPr>
  </w:style>
  <w:style w:type="table" w:styleId="a5">
    <w:name w:val="Table Grid"/>
    <w:basedOn w:val="a1"/>
    <w:uiPriority w:val="59"/>
    <w:rsid w:val="006C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C1709"/>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6C1709"/>
    <w:rPr>
      <w:sz w:val="18"/>
      <w:szCs w:val="18"/>
    </w:rPr>
  </w:style>
  <w:style w:type="character" w:customStyle="1" w:styleId="Char1">
    <w:name w:val="批注框文本 Char"/>
    <w:basedOn w:val="a0"/>
    <w:link w:val="a6"/>
    <w:uiPriority w:val="99"/>
    <w:semiHidden/>
    <w:rsid w:val="006C1709"/>
    <w:rPr>
      <w:sz w:val="18"/>
      <w:szCs w:val="18"/>
    </w:rPr>
  </w:style>
  <w:style w:type="paragraph" w:styleId="a7">
    <w:name w:val="Revision"/>
    <w:hidden/>
    <w:uiPriority w:val="99"/>
    <w:semiHidden/>
    <w:rsid w:val="006C1709"/>
  </w:style>
  <w:style w:type="paragraph" w:styleId="a8">
    <w:name w:val="Title"/>
    <w:basedOn w:val="a"/>
    <w:next w:val="a"/>
    <w:link w:val="Char2"/>
    <w:uiPriority w:val="10"/>
    <w:qFormat/>
    <w:rsid w:val="006C170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6C170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Pr>
      <w:rFonts w:ascii="楷体_GB2312" w:eastAsia="楷体_GB2312"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936134106">
      <w:bodyDiv w:val="1"/>
      <w:marLeft w:val="0"/>
      <w:marRight w:val="0"/>
      <w:marTop w:val="0"/>
      <w:marBottom w:val="0"/>
      <w:divBdr>
        <w:top w:val="none" w:sz="0" w:space="0" w:color="auto"/>
        <w:left w:val="none" w:sz="0" w:space="0" w:color="auto"/>
        <w:bottom w:val="none" w:sz="0" w:space="0" w:color="auto"/>
        <w:right w:val="none" w:sz="0" w:space="0" w:color="auto"/>
      </w:divBdr>
    </w:div>
    <w:div w:id="956910907">
      <w:bodyDiv w:val="1"/>
      <w:marLeft w:val="0"/>
      <w:marRight w:val="0"/>
      <w:marTop w:val="0"/>
      <w:marBottom w:val="0"/>
      <w:divBdr>
        <w:top w:val="none" w:sz="0" w:space="0" w:color="auto"/>
        <w:left w:val="none" w:sz="0" w:space="0" w:color="auto"/>
        <w:bottom w:val="none" w:sz="0" w:space="0" w:color="auto"/>
        <w:right w:val="none" w:sz="0" w:space="0" w:color="auto"/>
      </w:divBdr>
    </w:div>
    <w:div w:id="1284072495">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2082</Characters>
  <Application>Microsoft Office Word</Application>
  <DocSecurity>4</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2020-12-30T08:56:00Z</cp:lastPrinted>
  <dcterms:created xsi:type="dcterms:W3CDTF">2021-02-26T16:00:00Z</dcterms:created>
  <dcterms:modified xsi:type="dcterms:W3CDTF">2021-02-26T16:00:00Z</dcterms:modified>
</cp:coreProperties>
</file>