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2" w:rsidRPr="00B64A1E" w:rsidRDefault="00EA10E2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a3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华友钴业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（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603799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RDefault="00EA10E2" w:rsidP="0057502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="00575028" w:rsidRPr="00472218">
        <w:rPr>
          <w:kern w:val="0"/>
          <w:sz w:val="24"/>
        </w:rPr>
        <w:t>部分</w:t>
      </w:r>
      <w:r w:rsidR="00377AFD" w:rsidRPr="00472218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="00F20762" w:rsidRPr="00472218">
        <w:rPr>
          <w:kern w:val="0"/>
          <w:sz w:val="24"/>
        </w:rPr>
        <w:t>浙江华友钴业股份有限公司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RDefault="00943EEF" w:rsidP="00387016">
      <w:pPr>
        <w:widowControl/>
        <w:spacing w:after="240"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根据中国证监会《公开募集</w:t>
      </w:r>
      <w:bookmarkStart w:id="0" w:name="_GoBack"/>
      <w:bookmarkEnd w:id="0"/>
      <w:r>
        <w:rPr>
          <w:kern w:val="0"/>
          <w:sz w:val="24"/>
        </w:rPr>
        <w:t>证券投资基金信息披露管理办法》</w:t>
      </w:r>
      <w:r w:rsidR="00EA10E2" w:rsidRPr="00472218">
        <w:rPr>
          <w:kern w:val="0"/>
          <w:sz w:val="24"/>
        </w:rPr>
        <w:t>《关于基金投资非公开发行股票等流通受限证券有关问题的通知》等有关规定</w:t>
      </w:r>
      <w:r w:rsidR="00EA10E2" w:rsidRPr="00472218">
        <w:rPr>
          <w:kern w:val="0"/>
          <w:sz w:val="24"/>
        </w:rPr>
        <w:t>,</w:t>
      </w:r>
      <w:r w:rsidR="00EA10E2" w:rsidRPr="00472218">
        <w:rPr>
          <w:kern w:val="0"/>
          <w:sz w:val="24"/>
        </w:rPr>
        <w:t>本公司现将</w:t>
      </w:r>
      <w:r w:rsidR="00E80951" w:rsidRPr="00E80951">
        <w:rPr>
          <w:rFonts w:hint="eastAsia"/>
          <w:kern w:val="0"/>
          <w:sz w:val="24"/>
        </w:rPr>
        <w:t>旗下</w:t>
      </w:r>
      <w:r w:rsidR="00FC7DF3" w:rsidRPr="00472218">
        <w:rPr>
          <w:kern w:val="0"/>
          <w:sz w:val="24"/>
        </w:rPr>
        <w:t>基金</w:t>
      </w:r>
      <w:r w:rsidR="00EA10E2" w:rsidRPr="00472218">
        <w:rPr>
          <w:kern w:val="0"/>
          <w:sz w:val="24"/>
        </w:rPr>
        <w:t>获配</w:t>
      </w:r>
      <w:r w:rsidR="00F20762" w:rsidRPr="00472218">
        <w:rPr>
          <w:kern w:val="0"/>
          <w:sz w:val="24"/>
        </w:rPr>
        <w:t>浙江华友钴业股份有限公司</w:t>
      </w:r>
      <w:r w:rsidR="00EA10E2" w:rsidRPr="00472218">
        <w:rPr>
          <w:kern w:val="0"/>
          <w:sz w:val="24"/>
        </w:rPr>
        <w:t>非公开发行股票情况披露如下：</w:t>
      </w:r>
    </w:p>
    <w:tbl>
      <w:tblPr>
        <w:tblStyle w:val="a8"/>
        <w:tblW w:w="0" w:type="auto"/>
        <w:jc w:val="center"/>
        <w:tblLook w:val="04A0"/>
      </w:tblPr>
      <w:tblGrid>
        <w:gridCol w:w="2051"/>
        <w:gridCol w:w="1120"/>
        <w:gridCol w:w="1551"/>
        <w:gridCol w:w="839"/>
        <w:gridCol w:w="1521"/>
        <w:gridCol w:w="888"/>
        <w:gridCol w:w="552"/>
      </w:tblGrid>
      <w:tr w:rsidR="00387016" w:rsidRPr="00472218" w:rsidTr="00387016">
        <w:trPr>
          <w:jc w:val="center"/>
        </w:trPr>
        <w:tc>
          <w:tcPr>
            <w:tcW w:w="992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41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594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993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17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134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788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 w:rsidR="00C66302">
        <w:trPr>
          <w:jc w:val="center"/>
        </w:trPr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易方达新经济灵活配置混合型证券投资基金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297,619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24,999,996.00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0.97%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28,755,947.78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1.11%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6302">
        <w:trPr>
          <w:jc w:val="center"/>
        </w:trPr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易方达信息产业混合型证券投资基金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357,143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30,000,012.00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0.53%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34,507,156.66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0.61%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6302">
        <w:trPr>
          <w:jc w:val="center"/>
        </w:trPr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易方达科融混合型证券投资基金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142,858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12,000,072.00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2.06%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13,802,939.96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2.37%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6302">
        <w:trPr>
          <w:jc w:val="center"/>
        </w:trPr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易方达均衡成长股票型证券投资基金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1,190,477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100,000,068.00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0.70%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115,023,887.74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0.80%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6302">
        <w:trPr>
          <w:jc w:val="center"/>
        </w:trPr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易方达信息行业精选股票型证券投资基金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357,143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30,000,012.00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0.41%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34,507,156.66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0.47%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6302">
        <w:trPr>
          <w:jc w:val="center"/>
        </w:trPr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易方达平稳增长证券投资基金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297,619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24,999,996.00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0.73%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28,755,947.78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0.84%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6302">
        <w:trPr>
          <w:jc w:val="center"/>
        </w:trPr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易方达科翔混合型证券投资基金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654,762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55,000,008.00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0.91%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63,263,104.44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1.04%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6302">
        <w:trPr>
          <w:jc w:val="center"/>
        </w:trPr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易方达资源行业混合型证券投资基金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404,762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34,000,008.00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2.89%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39,108,104.44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3.32%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6302">
        <w:trPr>
          <w:jc w:val="center"/>
        </w:trPr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易方达科讯混合型</w:t>
            </w:r>
            <w:r>
              <w:rPr>
                <w:szCs w:val="21"/>
              </w:rPr>
              <w:lastRenderedPageBreak/>
              <w:t>证券投资基金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lastRenderedPageBreak/>
              <w:t>654,762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55,000,008.00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1.10%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63,263,104.44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1.27%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lastRenderedPageBreak/>
              <w:t>个月</w:t>
            </w:r>
          </w:p>
        </w:tc>
      </w:tr>
      <w:tr w:rsidR="00C66302">
        <w:trPr>
          <w:jc w:val="center"/>
        </w:trPr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lastRenderedPageBreak/>
              <w:t>易方达创新未来</w:t>
            </w:r>
            <w:r>
              <w:rPr>
                <w:szCs w:val="21"/>
              </w:rPr>
              <w:t>18</w:t>
            </w:r>
            <w:r>
              <w:rPr>
                <w:szCs w:val="21"/>
              </w:rPr>
              <w:t>个月封闭运作混合型证券投资基金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1,190,476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99,999,984.00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1.00%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115,023,791.12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1.16%</w:t>
            </w:r>
          </w:p>
        </w:tc>
        <w:tc>
          <w:tcPr>
            <w:tcW w:w="0" w:type="auto"/>
            <w:vAlign w:val="center"/>
          </w:tcPr>
          <w:p w:rsidR="00C66302" w:rsidRDefault="003A7F7B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</w:tbl>
    <w:p w:rsidR="00387016" w:rsidRPr="00472218" w:rsidRDefault="00387016" w:rsidP="006905CB">
      <w:pPr>
        <w:spacing w:line="360" w:lineRule="auto"/>
        <w:rPr>
          <w:kern w:val="0"/>
          <w:sz w:val="24"/>
        </w:rPr>
      </w:pPr>
    </w:p>
    <w:p w:rsidR="006905CB" w:rsidRPr="00472218" w:rsidRDefault="00EA10E2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="00F20762" w:rsidRPr="00472218">
        <w:rPr>
          <w:kern w:val="0"/>
          <w:sz w:val="24"/>
        </w:rPr>
        <w:t>2021</w:t>
      </w:r>
      <w:r w:rsidR="00F20762" w:rsidRPr="00472218">
        <w:rPr>
          <w:kern w:val="0"/>
          <w:sz w:val="24"/>
        </w:rPr>
        <w:t>年</w:t>
      </w:r>
      <w:r w:rsidR="00F20762" w:rsidRPr="00472218">
        <w:rPr>
          <w:kern w:val="0"/>
          <w:sz w:val="24"/>
        </w:rPr>
        <w:t>2</w:t>
      </w:r>
      <w:r w:rsidR="00F20762" w:rsidRPr="00472218">
        <w:rPr>
          <w:kern w:val="0"/>
          <w:sz w:val="24"/>
        </w:rPr>
        <w:t>月</w:t>
      </w:r>
      <w:r w:rsidR="00F20762" w:rsidRPr="00472218">
        <w:rPr>
          <w:kern w:val="0"/>
          <w:sz w:val="24"/>
        </w:rPr>
        <w:t>18</w:t>
      </w:r>
      <w:r w:rsidR="00F20762" w:rsidRPr="00472218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RDefault="00EA10E2" w:rsidP="00E94FC4">
      <w:pPr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="003F4B29" w:rsidRPr="00472218">
        <w:rPr>
          <w:kern w:val="0"/>
          <w:sz w:val="24"/>
        </w:rPr>
        <w:t>。</w:t>
      </w:r>
    </w:p>
    <w:p w:rsidR="006905CB" w:rsidRPr="00472218" w:rsidRDefault="00EA10E2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RDefault="00F20762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2021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2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20</w:t>
      </w:r>
      <w:r w:rsidRPr="00472218">
        <w:rPr>
          <w:kern w:val="0"/>
          <w:sz w:val="24"/>
        </w:rPr>
        <w:t>日</w:t>
      </w: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Pr="00EA10E2" w:rsidRDefault="008068CA" w:rsidP="00740340">
      <w:pPr>
        <w:spacing w:line="360" w:lineRule="auto"/>
        <w:jc w:val="right"/>
      </w:pPr>
    </w:p>
    <w:sectPr w:rsidR="008068CA" w:rsidRPr="00EA10E2"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9A" w:rsidRDefault="00E46D9A" w:rsidP="004A6FD4">
      <w:r>
        <w:separator/>
      </w:r>
    </w:p>
  </w:endnote>
  <w:endnote w:type="continuationSeparator" w:id="0">
    <w:p w:rsidR="00E46D9A" w:rsidRDefault="00E46D9A" w:rsidP="004A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9A" w:rsidRDefault="00E46D9A" w:rsidP="004A6FD4">
      <w:r>
        <w:separator/>
      </w:r>
    </w:p>
  </w:footnote>
  <w:footnote w:type="continuationSeparator" w:id="0">
    <w:p w:rsidR="00E46D9A" w:rsidRDefault="00E46D9A" w:rsidP="004A6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0E2"/>
    <w:rsid w:val="000068AC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A7F7B"/>
    <w:rsid w:val="003B10DF"/>
    <w:rsid w:val="003B1232"/>
    <w:rsid w:val="003C1E98"/>
    <w:rsid w:val="003E178A"/>
    <w:rsid w:val="003F4B29"/>
    <w:rsid w:val="00426619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6F40"/>
    <w:rsid w:val="006B20BE"/>
    <w:rsid w:val="006B73C3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744BE"/>
    <w:rsid w:val="00990035"/>
    <w:rsid w:val="009A0A35"/>
    <w:rsid w:val="009A4875"/>
    <w:rsid w:val="009B4906"/>
    <w:rsid w:val="009C0D0E"/>
    <w:rsid w:val="009F70AA"/>
    <w:rsid w:val="009F7B3D"/>
    <w:rsid w:val="00A023DA"/>
    <w:rsid w:val="00A76FCB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66302"/>
    <w:rsid w:val="00C73256"/>
    <w:rsid w:val="00C74CAB"/>
    <w:rsid w:val="00C76D21"/>
    <w:rsid w:val="00CA7C64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a3">
    <w:name w:val="Strong"/>
    <w:qFormat/>
    <w:rsid w:val="00EA10E2"/>
    <w:rPr>
      <w:b/>
      <w:bCs/>
    </w:rPr>
  </w:style>
  <w:style w:type="character" w:styleId="HTML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semiHidden/>
    <w:rsid w:val="00EA10E2"/>
    <w:rPr>
      <w:sz w:val="18"/>
      <w:szCs w:val="18"/>
    </w:rPr>
  </w:style>
  <w:style w:type="paragraph" w:styleId="a5">
    <w:name w:val="header"/>
    <w:basedOn w:val="a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A6FD4"/>
    <w:rPr>
      <w:kern w:val="2"/>
      <w:sz w:val="18"/>
      <w:szCs w:val="18"/>
    </w:rPr>
  </w:style>
  <w:style w:type="paragraph" w:styleId="a6">
    <w:name w:val="footer"/>
    <w:basedOn w:val="a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A6FD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068CA"/>
    <w:pPr>
      <w:ind w:leftChars="2500" w:left="100"/>
    </w:pPr>
  </w:style>
  <w:style w:type="character" w:customStyle="1" w:styleId="Char1">
    <w:name w:val="日期 Char"/>
    <w:link w:val="a7"/>
    <w:rsid w:val="008068CA"/>
    <w:rPr>
      <w:kern w:val="2"/>
      <w:sz w:val="21"/>
      <w:szCs w:val="24"/>
    </w:rPr>
  </w:style>
  <w:style w:type="table" w:styleId="a8">
    <w:name w:val="Table Grid"/>
    <w:basedOn w:val="a1"/>
    <w:rsid w:val="0038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6D3A-565C-429F-A330-C59C989A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4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易方达基金管理有限公司关于旗下部分基金获配中泰化学（002092）非公开发行A股的公告</dc:title>
  <dc:creator>刘树荣</dc:creator>
  <cp:lastModifiedBy>ZHONGM</cp:lastModifiedBy>
  <cp:revision>2</cp:revision>
  <cp:lastPrinted>2010-08-23T02:49:00Z</cp:lastPrinted>
  <dcterms:created xsi:type="dcterms:W3CDTF">2021-02-19T16:00:00Z</dcterms:created>
  <dcterms:modified xsi:type="dcterms:W3CDTF">2021-02-19T16:00:00Z</dcterms:modified>
</cp:coreProperties>
</file>