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BE" w:rsidRPr="00E35C07" w:rsidRDefault="002B49BE" w:rsidP="0032432F">
      <w:pPr>
        <w:pStyle w:val="a3"/>
        <w:shd w:val="clear" w:color="auto" w:fill="FFFFFF"/>
        <w:spacing w:before="0" w:beforeAutospacing="0" w:after="0" w:afterAutospacing="0" w:line="360" w:lineRule="auto"/>
        <w:ind w:firstLineChars="200" w:firstLine="482"/>
        <w:jc w:val="center"/>
        <w:rPr>
          <w:b/>
          <w:bCs/>
          <w:color w:val="333333"/>
        </w:rPr>
      </w:pPr>
      <w:bookmarkStart w:id="0" w:name="_GoBack"/>
      <w:bookmarkEnd w:id="0"/>
      <w:r w:rsidRPr="00E35C07">
        <w:rPr>
          <w:rFonts w:hint="eastAsia"/>
          <w:b/>
          <w:bCs/>
          <w:color w:val="333333"/>
        </w:rPr>
        <w:t>华安基金管理有限公司关于修订旗下部分公募基金基金合同的公告</w:t>
      </w:r>
    </w:p>
    <w:p w:rsidR="00E35C07" w:rsidRPr="0032432F" w:rsidRDefault="00E35C07" w:rsidP="0032432F">
      <w:pPr>
        <w:pStyle w:val="a3"/>
        <w:shd w:val="clear" w:color="auto" w:fill="FFFFFF"/>
        <w:spacing w:before="0" w:beforeAutospacing="0" w:after="0" w:afterAutospacing="0" w:line="360" w:lineRule="auto"/>
        <w:ind w:firstLineChars="200" w:firstLine="422"/>
        <w:jc w:val="center"/>
        <w:rPr>
          <w:b/>
          <w:bCs/>
          <w:color w:val="333333"/>
          <w:sz w:val="21"/>
          <w:szCs w:val="21"/>
        </w:rPr>
      </w:pPr>
    </w:p>
    <w:p w:rsidR="002B49BE" w:rsidRDefault="002B49BE"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根据《中华人民共和国证券法》</w:t>
      </w:r>
      <w:r w:rsidR="00A837DD">
        <w:rPr>
          <w:rFonts w:hint="eastAsia"/>
          <w:color w:val="333333"/>
          <w:sz w:val="21"/>
          <w:szCs w:val="21"/>
        </w:rPr>
        <w:t>、《</w:t>
      </w:r>
      <w:r w:rsidRPr="0032432F">
        <w:rPr>
          <w:rFonts w:hint="eastAsia"/>
          <w:color w:val="333333"/>
          <w:sz w:val="21"/>
          <w:szCs w:val="21"/>
        </w:rPr>
        <w:t>公开募集证券投资基金信息披露管理办法》</w:t>
      </w:r>
      <w:r w:rsidR="00A837DD">
        <w:rPr>
          <w:rFonts w:hint="eastAsia"/>
          <w:color w:val="333333"/>
          <w:sz w:val="21"/>
          <w:szCs w:val="21"/>
        </w:rPr>
        <w:t>、</w:t>
      </w:r>
      <w:r w:rsidRPr="0032432F">
        <w:rPr>
          <w:rFonts w:hint="eastAsia"/>
          <w:color w:val="333333"/>
          <w:sz w:val="21"/>
          <w:szCs w:val="21"/>
        </w:rPr>
        <w:t>《存托凭证发行与交易管理办法（试行）》等法律法规及各基金基金合同、招募说明书及其更新等规定，经与基金托管人协商一致，并向中国证监会备案，华安基金管理有限公司（以下简称“本基金管理人”）对</w:t>
      </w:r>
      <w:r w:rsidR="00A5399B">
        <w:rPr>
          <w:rFonts w:hint="eastAsia"/>
          <w:color w:val="333333"/>
          <w:sz w:val="21"/>
          <w:szCs w:val="21"/>
        </w:rPr>
        <w:t>旗下</w:t>
      </w:r>
      <w:r w:rsidR="00F56178">
        <w:rPr>
          <w:rFonts w:hint="eastAsia"/>
          <w:color w:val="333333"/>
          <w:sz w:val="21"/>
          <w:szCs w:val="21"/>
        </w:rPr>
        <w:t>4只</w:t>
      </w:r>
      <w:r w:rsidRPr="0032432F">
        <w:rPr>
          <w:rFonts w:hint="eastAsia"/>
          <w:color w:val="333333"/>
          <w:sz w:val="21"/>
          <w:szCs w:val="21"/>
        </w:rPr>
        <w:t>公募基金参与存托凭证投资修订基金合同等法律文件，包括明确投资范围包含存托凭证、增加存托凭证的投资策略、投资比例限制、估值方法等，并在基金招募说明书（更新）、产品资料概要中增加投资存托凭证的风险揭示。本次修订对基金份额持有人利益无实质性不利影响，修订将自</w:t>
      </w:r>
      <w:r w:rsidR="00A5399B">
        <w:rPr>
          <w:rFonts w:hint="eastAsia"/>
          <w:color w:val="333333"/>
          <w:sz w:val="21"/>
          <w:szCs w:val="21"/>
        </w:rPr>
        <w:t>202</w:t>
      </w:r>
      <w:r w:rsidR="00F56178">
        <w:rPr>
          <w:rFonts w:hint="eastAsia"/>
          <w:color w:val="333333"/>
          <w:sz w:val="21"/>
          <w:szCs w:val="21"/>
        </w:rPr>
        <w:t>1</w:t>
      </w:r>
      <w:r w:rsidR="00A5399B">
        <w:rPr>
          <w:rFonts w:hint="eastAsia"/>
          <w:color w:val="333333"/>
          <w:sz w:val="21"/>
          <w:szCs w:val="21"/>
        </w:rPr>
        <w:t>年</w:t>
      </w:r>
      <w:r w:rsidR="00F56178">
        <w:rPr>
          <w:rFonts w:hint="eastAsia"/>
          <w:color w:val="333333"/>
          <w:sz w:val="21"/>
          <w:szCs w:val="21"/>
        </w:rPr>
        <w:t>2</w:t>
      </w:r>
      <w:r w:rsidR="00A5399B">
        <w:rPr>
          <w:rFonts w:hint="eastAsia"/>
          <w:color w:val="333333"/>
          <w:sz w:val="21"/>
          <w:szCs w:val="21"/>
        </w:rPr>
        <w:t>月</w:t>
      </w:r>
      <w:r w:rsidR="00F56178">
        <w:rPr>
          <w:rFonts w:hint="eastAsia"/>
          <w:color w:val="333333"/>
          <w:sz w:val="21"/>
          <w:szCs w:val="21"/>
        </w:rPr>
        <w:t>9</w:t>
      </w:r>
      <w:r w:rsidR="00A5399B">
        <w:rPr>
          <w:rFonts w:hint="eastAsia"/>
          <w:color w:val="333333"/>
          <w:sz w:val="21"/>
          <w:szCs w:val="21"/>
        </w:rPr>
        <w:t>日</w:t>
      </w:r>
      <w:r w:rsidRPr="0032432F">
        <w:rPr>
          <w:rFonts w:hint="eastAsia"/>
          <w:color w:val="333333"/>
          <w:sz w:val="21"/>
          <w:szCs w:val="21"/>
        </w:rPr>
        <w:t>起正式生效。现将基金合同、招募说明书（更新）修订情况公告如下：</w:t>
      </w:r>
    </w:p>
    <w:p w:rsidR="00524502"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p>
    <w:p w:rsidR="002B49BE" w:rsidRPr="0032432F" w:rsidRDefault="002B49BE" w:rsidP="0032432F">
      <w:pPr>
        <w:pStyle w:val="a3"/>
        <w:shd w:val="clear" w:color="auto" w:fill="FFFFFF"/>
        <w:spacing w:before="0" w:beforeAutospacing="0" w:after="0" w:afterAutospacing="0" w:line="360" w:lineRule="auto"/>
        <w:ind w:firstLineChars="200" w:firstLine="422"/>
        <w:rPr>
          <w:b/>
          <w:color w:val="333333"/>
          <w:sz w:val="21"/>
          <w:szCs w:val="21"/>
        </w:rPr>
      </w:pPr>
      <w:r w:rsidRPr="002B49BE">
        <w:rPr>
          <w:rFonts w:hint="eastAsia"/>
          <w:b/>
          <w:color w:val="333333"/>
          <w:sz w:val="21"/>
          <w:szCs w:val="21"/>
        </w:rPr>
        <w:t>一、修订基金范围</w:t>
      </w:r>
    </w:p>
    <w:p w:rsidR="00E2281B"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本次修订涉及基金管理人</w:t>
      </w:r>
      <w:r w:rsidR="00A5399B">
        <w:rPr>
          <w:rFonts w:hint="eastAsia"/>
          <w:color w:val="333333"/>
          <w:sz w:val="21"/>
          <w:szCs w:val="21"/>
        </w:rPr>
        <w:t>旗下</w:t>
      </w:r>
      <w:r w:rsidR="00F56178">
        <w:rPr>
          <w:rFonts w:hint="eastAsia"/>
          <w:color w:val="333333"/>
          <w:sz w:val="21"/>
          <w:szCs w:val="21"/>
        </w:rPr>
        <w:t>4只</w:t>
      </w:r>
      <w:r w:rsidRPr="0032432F">
        <w:rPr>
          <w:color w:val="333333"/>
          <w:sz w:val="21"/>
          <w:szCs w:val="21"/>
        </w:rPr>
        <w:t>公募基金，详细名单见本公告的附表。</w:t>
      </w:r>
    </w:p>
    <w:p w:rsidR="00524502" w:rsidRPr="002C53B7" w:rsidRDefault="00524502" w:rsidP="0032432F">
      <w:pPr>
        <w:pStyle w:val="a3"/>
        <w:shd w:val="clear" w:color="auto" w:fill="FFFFFF"/>
        <w:spacing w:before="0" w:beforeAutospacing="0" w:after="0" w:afterAutospacing="0" w:line="360" w:lineRule="auto"/>
        <w:ind w:firstLineChars="200" w:firstLine="420"/>
        <w:rPr>
          <w:sz w:val="21"/>
          <w:szCs w:val="21"/>
        </w:rPr>
      </w:pPr>
    </w:p>
    <w:p w:rsidR="00DB58AF" w:rsidRDefault="00DB58AF" w:rsidP="0032432F">
      <w:pPr>
        <w:pStyle w:val="a3"/>
        <w:shd w:val="clear" w:color="auto" w:fill="FFFFFF"/>
        <w:spacing w:before="0" w:beforeAutospacing="0" w:after="0" w:afterAutospacing="0" w:line="360" w:lineRule="auto"/>
        <w:ind w:firstLineChars="200" w:firstLine="422"/>
        <w:rPr>
          <w:b/>
          <w:color w:val="333333"/>
          <w:sz w:val="21"/>
          <w:szCs w:val="21"/>
        </w:rPr>
      </w:pPr>
      <w:r w:rsidRPr="0032432F">
        <w:rPr>
          <w:rFonts w:hint="eastAsia"/>
          <w:b/>
          <w:color w:val="333333"/>
          <w:sz w:val="21"/>
          <w:szCs w:val="21"/>
        </w:rPr>
        <w:t>二、</w:t>
      </w:r>
      <w:r w:rsidR="0032432F" w:rsidRPr="0032432F">
        <w:rPr>
          <w:rFonts w:hint="eastAsia"/>
          <w:b/>
          <w:color w:val="333333"/>
          <w:sz w:val="21"/>
          <w:szCs w:val="21"/>
        </w:rPr>
        <w:t>本次修订的主要内容</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1.基金合同具体修订内容包括：</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w:t>
      </w:r>
      <w:r w:rsidRPr="0032432F">
        <w:rPr>
          <w:color w:val="333333"/>
          <w:sz w:val="21"/>
          <w:szCs w:val="21"/>
        </w:rPr>
        <w:t>）</w:t>
      </w:r>
      <w:r w:rsidR="0032432F" w:rsidRPr="0032432F">
        <w:rPr>
          <w:rFonts w:hint="eastAsia"/>
          <w:color w:val="333333"/>
          <w:sz w:val="21"/>
          <w:szCs w:val="21"/>
        </w:rPr>
        <w:t>基金合同增加了基金投资存托凭证的风险提示内容</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“本基金的投资范围包括存托凭证，除与其他仅投资于沪深市场股票的基金所面临的共同风险外，本基金还将面临投资存托凭证的特殊风险，详见本基金招募说明书</w:t>
      </w:r>
      <w:r w:rsidRPr="0032432F">
        <w:rPr>
          <w:rFonts w:hint="eastAsia"/>
          <w:color w:val="333333"/>
          <w:sz w:val="21"/>
          <w:szCs w:val="21"/>
        </w:rPr>
        <w:t>。</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Pr="0032432F">
        <w:rPr>
          <w:color w:val="333333"/>
          <w:sz w:val="21"/>
          <w:szCs w:val="21"/>
        </w:rPr>
        <w:t>）“投资范围”部分明确了“股票”包含存托凭证</w:t>
      </w:r>
    </w:p>
    <w:p w:rsidR="00187A63" w:rsidRPr="00187A63" w:rsidRDefault="00187A63" w:rsidP="00281888">
      <w:pPr>
        <w:pStyle w:val="a3"/>
        <w:shd w:val="clear" w:color="auto" w:fill="FFFFFF"/>
        <w:spacing w:before="0" w:beforeAutospacing="0" w:after="0" w:afterAutospacing="0" w:line="360" w:lineRule="auto"/>
        <w:ind w:firstLineChars="200" w:firstLine="420"/>
        <w:rPr>
          <w:color w:val="333333"/>
          <w:sz w:val="21"/>
          <w:szCs w:val="21"/>
        </w:rPr>
      </w:pPr>
      <w:r w:rsidRPr="00187A63">
        <w:rPr>
          <w:rFonts w:hint="eastAsia"/>
          <w:color w:val="333333"/>
          <w:sz w:val="21"/>
          <w:szCs w:val="21"/>
        </w:rPr>
        <w:t>以华安鼎利混合型证券投资基金为例，投资范围修改为：“本基金的投资范围为具有良好流动性的金融工具，包括国内依法发行上市的股票（包括中小板、创业板及其他经中国证监会核准或注册上市的股票、存托凭证）、港股通机制下允许投资的规定范围内的香港联合交易所上市的股票（以下简称“港股通标的股票”）、债券（包括国债、地方政府债、央行票据、金融债、企业债、公司债、次级债、可转换债券（含分离交易可转债）、短期融资券、超短期融资券、中期票据等）、资产支持证券、债券回购、银行存款、同业存单、股指期货以及法律法规或中国证监会允许基金投资的其他金融工具</w:t>
      </w:r>
      <w:r w:rsidRPr="00187A63">
        <w:rPr>
          <w:color w:val="333333"/>
          <w:sz w:val="21"/>
          <w:szCs w:val="21"/>
        </w:rPr>
        <w:t>(但须符合中国证监会相关规定)。</w:t>
      </w:r>
    </w:p>
    <w:p w:rsidR="00187A63" w:rsidRPr="00187A63" w:rsidRDefault="00187A63" w:rsidP="00281888">
      <w:pPr>
        <w:pStyle w:val="a3"/>
        <w:shd w:val="clear" w:color="auto" w:fill="FFFFFF"/>
        <w:spacing w:before="0" w:beforeAutospacing="0" w:after="0" w:afterAutospacing="0" w:line="360" w:lineRule="auto"/>
        <w:ind w:firstLineChars="200" w:firstLine="420"/>
        <w:rPr>
          <w:color w:val="333333"/>
          <w:sz w:val="21"/>
          <w:szCs w:val="21"/>
        </w:rPr>
      </w:pPr>
      <w:r w:rsidRPr="00187A63">
        <w:rPr>
          <w:rFonts w:hint="eastAsia"/>
          <w:color w:val="333333"/>
          <w:sz w:val="21"/>
          <w:szCs w:val="21"/>
        </w:rPr>
        <w:t>……</w:t>
      </w:r>
    </w:p>
    <w:p w:rsidR="002761BA" w:rsidRPr="0032432F" w:rsidRDefault="00187A63" w:rsidP="00187A63">
      <w:pPr>
        <w:pStyle w:val="a3"/>
        <w:shd w:val="clear" w:color="auto" w:fill="FFFFFF"/>
        <w:spacing w:before="0" w:beforeAutospacing="0" w:after="0" w:afterAutospacing="0" w:line="360" w:lineRule="auto"/>
        <w:ind w:firstLineChars="200" w:firstLine="420"/>
        <w:rPr>
          <w:color w:val="333333"/>
          <w:sz w:val="21"/>
          <w:szCs w:val="21"/>
        </w:rPr>
      </w:pPr>
      <w:r w:rsidRPr="00187A63">
        <w:rPr>
          <w:rFonts w:hint="eastAsia"/>
          <w:color w:val="333333"/>
          <w:sz w:val="21"/>
          <w:szCs w:val="21"/>
        </w:rPr>
        <w:t>基金的投资组合比例为：股票资产（含存托凭证，下同）投资比例为基金资产的</w:t>
      </w:r>
      <w:r w:rsidRPr="00187A63">
        <w:rPr>
          <w:color w:val="333333"/>
          <w:sz w:val="21"/>
          <w:szCs w:val="21"/>
        </w:rPr>
        <w:t>30%-75%；港股通标的股票投资比例不超过全部股票资产的50%；每个交易日日终在扣除股指期货合约</w:t>
      </w:r>
      <w:r w:rsidRPr="00187A63">
        <w:rPr>
          <w:color w:val="333333"/>
          <w:sz w:val="21"/>
          <w:szCs w:val="21"/>
        </w:rPr>
        <w:lastRenderedPageBreak/>
        <w:t>需缴纳的交易保证金后，应当保持现金或者到期日在一年以内的政府债券不低于基金资产净值的5%，其中现金不包含结算备付金、存出保证金和应收申购款等；股指期货及其他金融工具的投资比例依照法律法规或监管机构的规定执行。”</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w:t>
      </w:r>
      <w:r w:rsidRPr="0032432F">
        <w:rPr>
          <w:color w:val="333333"/>
          <w:sz w:val="21"/>
          <w:szCs w:val="21"/>
        </w:rPr>
        <w:t>）“投资策略”部分增加存托凭证投资策略</w:t>
      </w:r>
    </w:p>
    <w:p w:rsidR="002761BA" w:rsidRPr="0032432F" w:rsidRDefault="00E35C07"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以</w:t>
      </w:r>
      <w:r w:rsidR="00187A63" w:rsidRPr="00187A63">
        <w:rPr>
          <w:rFonts w:hint="eastAsia"/>
          <w:color w:val="333333"/>
          <w:sz w:val="21"/>
          <w:szCs w:val="21"/>
        </w:rPr>
        <w:t>华安鼎利混合型证券投资基金</w:t>
      </w:r>
      <w:r w:rsidRPr="0032432F">
        <w:rPr>
          <w:color w:val="333333"/>
          <w:sz w:val="21"/>
          <w:szCs w:val="21"/>
        </w:rPr>
        <w:t>为例</w:t>
      </w:r>
      <w:r w:rsidR="002761BA" w:rsidRPr="0032432F">
        <w:rPr>
          <w:color w:val="333333"/>
          <w:sz w:val="21"/>
          <w:szCs w:val="21"/>
        </w:rPr>
        <w:t>，投资策略增加：“</w:t>
      </w:r>
      <w:r w:rsidR="0022747A" w:rsidRPr="0022747A">
        <w:rPr>
          <w:rFonts w:hint="eastAsia"/>
          <w:color w:val="333333"/>
          <w:sz w:val="21"/>
          <w:szCs w:val="21"/>
        </w:rPr>
        <w:t>本基金在综合考虑预期收益、风险、流动性等因素的基础上，根据审慎原则合理参与存托凭证的投资，以更好地跟踪标的指数，追求跟踪偏离度和跟踪误差的最小化。</w:t>
      </w:r>
      <w:r w:rsidR="002761BA"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（4</w:t>
      </w:r>
      <w:r w:rsidRPr="0032432F">
        <w:rPr>
          <w:color w:val="333333"/>
          <w:sz w:val="21"/>
          <w:szCs w:val="21"/>
        </w:rPr>
        <w:t>）“投资限制”部分增加存托凭证投资限制</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“本基金投资存托凭证的比例限制依照境内上市交易的股票执行，与境内上市交易的股票合并计算</w:t>
      </w:r>
      <w:r w:rsidRPr="0032432F">
        <w:rPr>
          <w:rFonts w:hint="eastAsia"/>
          <w:color w:val="333333"/>
          <w:sz w:val="21"/>
          <w:szCs w:val="21"/>
        </w:rPr>
        <w:t>，法律法规或监管部门另有要求的除外</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（5</w:t>
      </w:r>
      <w:r w:rsidRPr="0032432F">
        <w:rPr>
          <w:color w:val="333333"/>
          <w:sz w:val="21"/>
          <w:szCs w:val="21"/>
        </w:rPr>
        <w:t>）“估值”部分增加了存托凭证的估值方法</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“本基金投资存托凭证的估值核算，依照境内上市交易的股票执行。”</w:t>
      </w:r>
    </w:p>
    <w:p w:rsidR="0032432F" w:rsidRP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00524502" w:rsidRPr="0032432F">
        <w:rPr>
          <w:rFonts w:hint="eastAsia"/>
          <w:color w:val="333333"/>
          <w:sz w:val="21"/>
          <w:szCs w:val="21"/>
        </w:rPr>
        <w:t>托管协议涉及上述内容的条款一并调整。</w:t>
      </w:r>
    </w:p>
    <w:p w:rsid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3.本次修订对基金份额持有人利益无实质性不利影响，并已履行规定程序，符合相关法律法规及基金合同的规定。</w:t>
      </w:r>
    </w:p>
    <w:p w:rsidR="00524502"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p>
    <w:p w:rsid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三、</w:t>
      </w:r>
      <w:r w:rsidR="0032432F" w:rsidRPr="00524502">
        <w:rPr>
          <w:rFonts w:hint="eastAsia"/>
          <w:b/>
          <w:color w:val="333333"/>
          <w:sz w:val="21"/>
          <w:szCs w:val="21"/>
        </w:rPr>
        <w:t>修订后的基金合同自</w:t>
      </w:r>
      <w:r w:rsidR="0053319E" w:rsidRPr="0053319E">
        <w:rPr>
          <w:b/>
          <w:color w:val="333333"/>
          <w:sz w:val="21"/>
          <w:szCs w:val="21"/>
        </w:rPr>
        <w:t>202</w:t>
      </w:r>
      <w:r w:rsidR="00F56178">
        <w:rPr>
          <w:rFonts w:hint="eastAsia"/>
          <w:b/>
          <w:color w:val="333333"/>
          <w:sz w:val="21"/>
          <w:szCs w:val="21"/>
        </w:rPr>
        <w:t>1</w:t>
      </w:r>
      <w:r w:rsidR="0053319E" w:rsidRPr="0053319E">
        <w:rPr>
          <w:b/>
          <w:color w:val="333333"/>
          <w:sz w:val="21"/>
          <w:szCs w:val="21"/>
        </w:rPr>
        <w:t>年</w:t>
      </w:r>
      <w:r w:rsidR="00F56178">
        <w:rPr>
          <w:rFonts w:hint="eastAsia"/>
          <w:b/>
          <w:color w:val="333333"/>
          <w:sz w:val="21"/>
          <w:szCs w:val="21"/>
        </w:rPr>
        <w:t>2</w:t>
      </w:r>
      <w:r w:rsidR="0053319E" w:rsidRPr="0053319E">
        <w:rPr>
          <w:b/>
          <w:color w:val="333333"/>
          <w:sz w:val="21"/>
          <w:szCs w:val="21"/>
        </w:rPr>
        <w:t>月</w:t>
      </w:r>
      <w:r w:rsidR="00F56178">
        <w:rPr>
          <w:rFonts w:hint="eastAsia"/>
          <w:b/>
          <w:color w:val="333333"/>
          <w:sz w:val="21"/>
          <w:szCs w:val="21"/>
        </w:rPr>
        <w:t>9</w:t>
      </w:r>
      <w:r w:rsidR="0053319E" w:rsidRPr="0053319E">
        <w:rPr>
          <w:b/>
          <w:color w:val="333333"/>
          <w:sz w:val="21"/>
          <w:szCs w:val="21"/>
        </w:rPr>
        <w:t>日</w:t>
      </w:r>
      <w:r w:rsidR="0032432F" w:rsidRPr="00524502">
        <w:rPr>
          <w:rFonts w:hint="eastAsia"/>
          <w:b/>
          <w:color w:val="333333"/>
          <w:sz w:val="21"/>
          <w:szCs w:val="21"/>
        </w:rPr>
        <w:t>起生效。本次修订后的基金合同、托管协议将于本公告发布之日登载于本基金管理人网站（www.huaan.com.cn） 和 中 国 证 监 会 基 金 电 子 披 露 网 站（http://eid.csrc.gov.cn/fund）。</w:t>
      </w:r>
      <w:r w:rsidRPr="00524502">
        <w:rPr>
          <w:rFonts w:hint="eastAsia"/>
          <w:b/>
          <w:color w:val="333333"/>
          <w:sz w:val="21"/>
          <w:szCs w:val="21"/>
        </w:rPr>
        <w:t>基金管理人将届时更新各基金的招募说明书和基金产品资料概要相关内容，并揭示风险。</w:t>
      </w: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四、其他事项</w:t>
      </w:r>
    </w:p>
    <w:p w:rsidR="0032432F" w:rsidRPr="0032432F"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sidR="0032432F" w:rsidRPr="0032432F">
        <w:rPr>
          <w:rFonts w:hint="eastAsia"/>
          <w:color w:val="333333"/>
          <w:sz w:val="21"/>
          <w:szCs w:val="21"/>
        </w:rPr>
        <w:t>投资人可以通过本基金管理人的网站（www.huaan.com.cn）或客户服务电话（40088-50099）咨询相关情况。</w:t>
      </w:r>
    </w:p>
    <w:p w:rsidR="0032432F"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0032432F" w:rsidRPr="0032432F">
        <w:rPr>
          <w:rFonts w:hint="eastAsia"/>
          <w:color w:val="333333"/>
          <w:sz w:val="21"/>
          <w:szCs w:val="21"/>
        </w:rPr>
        <w:t>风险提示：</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特此公告。</w:t>
      </w:r>
    </w:p>
    <w:p w:rsidR="0032432F" w:rsidRPr="0032432F" w:rsidRDefault="0032432F" w:rsidP="0032432F">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lastRenderedPageBreak/>
        <w:t>华安基金管理有限公司</w:t>
      </w:r>
    </w:p>
    <w:p w:rsidR="0032432F" w:rsidRPr="0032432F" w:rsidRDefault="00A5399B" w:rsidP="0032432F">
      <w:pPr>
        <w:pStyle w:val="a3"/>
        <w:shd w:val="clear" w:color="auto" w:fill="FFFFFF"/>
        <w:spacing w:before="0" w:beforeAutospacing="0" w:after="0" w:afterAutospacing="0" w:line="360" w:lineRule="auto"/>
        <w:ind w:firstLineChars="200" w:firstLine="420"/>
        <w:jc w:val="right"/>
        <w:rPr>
          <w:color w:val="333333"/>
          <w:sz w:val="21"/>
          <w:szCs w:val="21"/>
        </w:rPr>
      </w:pPr>
      <w:r>
        <w:rPr>
          <w:rFonts w:hint="eastAsia"/>
          <w:color w:val="333333"/>
          <w:sz w:val="21"/>
          <w:szCs w:val="21"/>
        </w:rPr>
        <w:t>202</w:t>
      </w:r>
      <w:r w:rsidR="00F56178">
        <w:rPr>
          <w:rFonts w:hint="eastAsia"/>
          <w:color w:val="333333"/>
          <w:sz w:val="21"/>
          <w:szCs w:val="21"/>
        </w:rPr>
        <w:t>1</w:t>
      </w:r>
      <w:r>
        <w:rPr>
          <w:rFonts w:hint="eastAsia"/>
          <w:color w:val="333333"/>
          <w:sz w:val="21"/>
          <w:szCs w:val="21"/>
        </w:rPr>
        <w:t>年</w:t>
      </w:r>
      <w:r w:rsidR="00F56178">
        <w:rPr>
          <w:rFonts w:hint="eastAsia"/>
          <w:color w:val="333333"/>
          <w:sz w:val="21"/>
          <w:szCs w:val="21"/>
        </w:rPr>
        <w:t>2</w:t>
      </w:r>
      <w:r>
        <w:rPr>
          <w:rFonts w:hint="eastAsia"/>
          <w:color w:val="333333"/>
          <w:sz w:val="21"/>
          <w:szCs w:val="21"/>
        </w:rPr>
        <w:t>月</w:t>
      </w:r>
      <w:r w:rsidR="00F56178">
        <w:rPr>
          <w:rFonts w:hint="eastAsia"/>
          <w:color w:val="333333"/>
          <w:sz w:val="21"/>
          <w:szCs w:val="21"/>
        </w:rPr>
        <w:t>9</w:t>
      </w:r>
      <w:r>
        <w:rPr>
          <w:rFonts w:hint="eastAsia"/>
          <w:color w:val="333333"/>
          <w:sz w:val="21"/>
          <w:szCs w:val="21"/>
        </w:rPr>
        <w:t>日</w:t>
      </w:r>
    </w:p>
    <w:p w:rsidR="00DB58AF" w:rsidRPr="0032432F" w:rsidRDefault="00DB58AF" w:rsidP="0032432F">
      <w:pPr>
        <w:pStyle w:val="a3"/>
        <w:shd w:val="clear" w:color="auto" w:fill="FFFFFF"/>
        <w:spacing w:before="0" w:beforeAutospacing="0" w:after="0" w:afterAutospacing="0" w:line="360" w:lineRule="auto"/>
        <w:ind w:firstLineChars="200" w:firstLine="420"/>
        <w:jc w:val="right"/>
        <w:rPr>
          <w:color w:val="333333"/>
          <w:sz w:val="21"/>
          <w:szCs w:val="21"/>
        </w:rPr>
      </w:pPr>
    </w:p>
    <w:p w:rsidR="00DB58AF" w:rsidRPr="00281888" w:rsidRDefault="00A837DD" w:rsidP="00A837DD">
      <w:pPr>
        <w:widowControl/>
        <w:spacing w:line="360" w:lineRule="auto"/>
        <w:jc w:val="left"/>
        <w:rPr>
          <w:rFonts w:ascii="宋体" w:eastAsia="宋体" w:hAnsi="宋体" w:cs="宋体"/>
          <w:b/>
          <w:color w:val="333333"/>
          <w:kern w:val="0"/>
          <w:szCs w:val="21"/>
        </w:rPr>
      </w:pPr>
      <w:r w:rsidRPr="00281888">
        <w:rPr>
          <w:rFonts w:ascii="宋体" w:eastAsia="宋体" w:hAnsi="宋体" w:cs="宋体" w:hint="eastAsia"/>
          <w:b/>
          <w:color w:val="333333"/>
          <w:kern w:val="0"/>
          <w:szCs w:val="21"/>
        </w:rPr>
        <w:t>附表：</w:t>
      </w:r>
    </w:p>
    <w:tbl>
      <w:tblPr>
        <w:tblW w:w="5000" w:type="pct"/>
        <w:tblLook w:val="04A0"/>
      </w:tblPr>
      <w:tblGrid>
        <w:gridCol w:w="1162"/>
        <w:gridCol w:w="7360"/>
      </w:tblGrid>
      <w:tr w:rsidR="00615438" w:rsidRPr="004A4A34" w:rsidTr="004A4A34">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438" w:rsidRPr="004A4A34" w:rsidRDefault="00615438" w:rsidP="004A4A34">
            <w:pPr>
              <w:widowControl/>
              <w:jc w:val="center"/>
              <w:rPr>
                <w:rFonts w:ascii="宋体" w:eastAsia="宋体" w:hAnsi="宋体" w:cs="Calibri"/>
                <w:b/>
                <w:kern w:val="0"/>
                <w:szCs w:val="21"/>
              </w:rPr>
            </w:pPr>
            <w:r w:rsidRPr="00615438">
              <w:rPr>
                <w:rFonts w:ascii="宋体" w:eastAsia="宋体" w:hAnsi="宋体" w:cs="Calibri" w:hint="eastAsia"/>
                <w:b/>
                <w:kern w:val="0"/>
                <w:szCs w:val="21"/>
              </w:rPr>
              <w:t>基金代码</w:t>
            </w:r>
          </w:p>
        </w:tc>
        <w:tc>
          <w:tcPr>
            <w:tcW w:w="4318" w:type="pct"/>
            <w:tcBorders>
              <w:top w:val="single" w:sz="4" w:space="0" w:color="auto"/>
              <w:left w:val="nil"/>
              <w:bottom w:val="single" w:sz="4" w:space="0" w:color="auto"/>
              <w:right w:val="single" w:sz="4" w:space="0" w:color="auto"/>
            </w:tcBorders>
            <w:shd w:val="clear" w:color="auto" w:fill="auto"/>
            <w:vAlign w:val="center"/>
            <w:hideMark/>
          </w:tcPr>
          <w:p w:rsidR="00615438" w:rsidRPr="004A4A34" w:rsidRDefault="00615438" w:rsidP="00615438">
            <w:pPr>
              <w:widowControl/>
              <w:jc w:val="left"/>
              <w:rPr>
                <w:rFonts w:ascii="宋体" w:eastAsia="宋体" w:hAnsi="宋体" w:cs="Calibri"/>
                <w:b/>
                <w:kern w:val="0"/>
                <w:szCs w:val="21"/>
              </w:rPr>
            </w:pPr>
            <w:r w:rsidRPr="004A4A34">
              <w:rPr>
                <w:rFonts w:ascii="宋体" w:eastAsia="宋体" w:hAnsi="宋体" w:cs="Calibri"/>
                <w:b/>
                <w:kern w:val="0"/>
                <w:szCs w:val="21"/>
              </w:rPr>
              <w:t>基金全称</w:t>
            </w:r>
          </w:p>
        </w:tc>
      </w:tr>
      <w:tr w:rsidR="004E67A9"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4E67A9" w:rsidRPr="004A4A34" w:rsidRDefault="004E67A9" w:rsidP="004E67A9">
            <w:pPr>
              <w:widowControl/>
              <w:jc w:val="center"/>
              <w:rPr>
                <w:rFonts w:ascii="宋体" w:eastAsia="宋体" w:hAnsi="宋体" w:cs="Calibri"/>
                <w:kern w:val="0"/>
                <w:szCs w:val="21"/>
              </w:rPr>
            </w:pPr>
            <w:r w:rsidRPr="00281888">
              <w:rPr>
                <w:rFonts w:ascii="宋体" w:eastAsia="宋体" w:hAnsi="宋体" w:cs="Calibri"/>
                <w:kern w:val="0"/>
                <w:szCs w:val="21"/>
              </w:rPr>
              <w:t>003805</w:t>
            </w:r>
          </w:p>
        </w:tc>
        <w:tc>
          <w:tcPr>
            <w:tcW w:w="4318" w:type="pct"/>
            <w:tcBorders>
              <w:top w:val="nil"/>
              <w:left w:val="nil"/>
              <w:bottom w:val="single" w:sz="4" w:space="0" w:color="auto"/>
              <w:right w:val="single" w:sz="4" w:space="0" w:color="auto"/>
            </w:tcBorders>
            <w:shd w:val="clear" w:color="auto" w:fill="auto"/>
            <w:noWrap/>
            <w:hideMark/>
          </w:tcPr>
          <w:p w:rsidR="004E67A9" w:rsidRPr="004A4A34" w:rsidRDefault="004E67A9" w:rsidP="004E67A9">
            <w:pPr>
              <w:widowControl/>
              <w:jc w:val="left"/>
              <w:rPr>
                <w:rFonts w:ascii="宋体" w:eastAsia="宋体" w:hAnsi="宋体" w:cs="Calibri"/>
                <w:kern w:val="0"/>
                <w:szCs w:val="21"/>
              </w:rPr>
            </w:pPr>
            <w:r w:rsidRPr="00281888">
              <w:rPr>
                <w:rFonts w:ascii="宋体" w:eastAsia="宋体" w:hAnsi="宋体" w:cs="Calibri" w:hint="eastAsia"/>
                <w:kern w:val="0"/>
                <w:szCs w:val="21"/>
              </w:rPr>
              <w:t>华安新恒利灵活配置混合型证券投资基金</w:t>
            </w:r>
          </w:p>
        </w:tc>
      </w:tr>
      <w:tr w:rsidR="004E67A9"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4E67A9" w:rsidRPr="004A4A34" w:rsidRDefault="004E67A9" w:rsidP="004E67A9">
            <w:pPr>
              <w:widowControl/>
              <w:jc w:val="center"/>
              <w:rPr>
                <w:rFonts w:ascii="宋体" w:eastAsia="宋体" w:hAnsi="宋体" w:cs="Calibri"/>
                <w:kern w:val="0"/>
                <w:szCs w:val="21"/>
              </w:rPr>
            </w:pPr>
            <w:r w:rsidRPr="00281888">
              <w:rPr>
                <w:rFonts w:ascii="宋体" w:eastAsia="宋体" w:hAnsi="宋体" w:cs="Calibri"/>
                <w:kern w:val="0"/>
                <w:szCs w:val="21"/>
              </w:rPr>
              <w:t>003803</w:t>
            </w:r>
          </w:p>
        </w:tc>
        <w:tc>
          <w:tcPr>
            <w:tcW w:w="4318" w:type="pct"/>
            <w:tcBorders>
              <w:top w:val="nil"/>
              <w:left w:val="nil"/>
              <w:bottom w:val="single" w:sz="4" w:space="0" w:color="auto"/>
              <w:right w:val="single" w:sz="4" w:space="0" w:color="auto"/>
            </w:tcBorders>
            <w:shd w:val="clear" w:color="auto" w:fill="auto"/>
            <w:noWrap/>
            <w:hideMark/>
          </w:tcPr>
          <w:p w:rsidR="004E67A9" w:rsidRPr="004A4A34" w:rsidRDefault="004E67A9" w:rsidP="004E67A9">
            <w:pPr>
              <w:widowControl/>
              <w:jc w:val="left"/>
              <w:rPr>
                <w:rFonts w:ascii="宋体" w:eastAsia="宋体" w:hAnsi="宋体" w:cs="Calibri"/>
                <w:kern w:val="0"/>
                <w:szCs w:val="21"/>
              </w:rPr>
            </w:pPr>
            <w:r w:rsidRPr="00281888">
              <w:rPr>
                <w:rFonts w:ascii="宋体" w:eastAsia="宋体" w:hAnsi="宋体" w:cs="Calibri" w:hint="eastAsia"/>
                <w:kern w:val="0"/>
                <w:szCs w:val="21"/>
              </w:rPr>
              <w:t>华安新丰利灵活配置混合型证券投资基金</w:t>
            </w:r>
          </w:p>
        </w:tc>
      </w:tr>
      <w:tr w:rsidR="004E67A9"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4E67A9" w:rsidRPr="004A4A34" w:rsidRDefault="004E67A9" w:rsidP="004E67A9">
            <w:pPr>
              <w:widowControl/>
              <w:jc w:val="center"/>
              <w:rPr>
                <w:rFonts w:ascii="宋体" w:eastAsia="宋体" w:hAnsi="宋体" w:cs="Calibri"/>
                <w:kern w:val="0"/>
                <w:szCs w:val="21"/>
              </w:rPr>
            </w:pPr>
            <w:r w:rsidRPr="00281888">
              <w:rPr>
                <w:rFonts w:ascii="宋体" w:eastAsia="宋体" w:hAnsi="宋体" w:cs="Calibri"/>
                <w:kern w:val="0"/>
                <w:szCs w:val="21"/>
              </w:rPr>
              <w:t>009547</w:t>
            </w:r>
            <w:r w:rsidRPr="004A4A34" w:rsidDel="00E91773">
              <w:rPr>
                <w:rFonts w:ascii="宋体" w:eastAsia="宋体" w:hAnsi="宋体" w:cs="Calibri"/>
                <w:kern w:val="0"/>
                <w:szCs w:val="21"/>
              </w:rPr>
              <w:t xml:space="preserve"> </w:t>
            </w:r>
          </w:p>
        </w:tc>
        <w:tc>
          <w:tcPr>
            <w:tcW w:w="4318" w:type="pct"/>
            <w:tcBorders>
              <w:top w:val="nil"/>
              <w:left w:val="nil"/>
              <w:bottom w:val="single" w:sz="4" w:space="0" w:color="auto"/>
              <w:right w:val="single" w:sz="4" w:space="0" w:color="auto"/>
            </w:tcBorders>
            <w:shd w:val="clear" w:color="auto" w:fill="auto"/>
            <w:noWrap/>
            <w:hideMark/>
          </w:tcPr>
          <w:p w:rsidR="004E67A9" w:rsidRPr="004A4A34" w:rsidRDefault="004E67A9" w:rsidP="004E67A9">
            <w:pPr>
              <w:widowControl/>
              <w:jc w:val="left"/>
              <w:rPr>
                <w:rFonts w:ascii="宋体" w:eastAsia="宋体" w:hAnsi="宋体" w:cs="Calibri"/>
                <w:kern w:val="0"/>
                <w:szCs w:val="21"/>
              </w:rPr>
            </w:pPr>
            <w:r w:rsidRPr="00281888">
              <w:rPr>
                <w:rFonts w:ascii="宋体" w:eastAsia="宋体" w:hAnsi="宋体" w:cs="Calibri" w:hint="eastAsia"/>
                <w:kern w:val="0"/>
                <w:szCs w:val="21"/>
              </w:rPr>
              <w:t>华安鼎利混合型证券投资基金</w:t>
            </w:r>
          </w:p>
        </w:tc>
      </w:tr>
      <w:tr w:rsidR="004E67A9"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4E67A9" w:rsidRPr="004A4A34" w:rsidRDefault="004E67A9" w:rsidP="004E67A9">
            <w:pPr>
              <w:widowControl/>
              <w:jc w:val="center"/>
              <w:rPr>
                <w:rFonts w:ascii="宋体" w:eastAsia="宋体" w:hAnsi="宋体" w:cs="Calibri"/>
                <w:kern w:val="0"/>
                <w:szCs w:val="21"/>
              </w:rPr>
            </w:pPr>
            <w:r w:rsidRPr="00281888">
              <w:rPr>
                <w:rFonts w:ascii="宋体" w:eastAsia="宋体" w:hAnsi="宋体" w:cs="Calibri"/>
                <w:kern w:val="0"/>
                <w:szCs w:val="21"/>
              </w:rPr>
              <w:t>009409</w:t>
            </w:r>
            <w:r w:rsidRPr="004A4A34" w:rsidDel="00E91773">
              <w:rPr>
                <w:rFonts w:ascii="宋体" w:eastAsia="宋体" w:hAnsi="宋体" w:cs="Calibri"/>
                <w:kern w:val="0"/>
                <w:szCs w:val="21"/>
              </w:rPr>
              <w:t xml:space="preserve"> </w:t>
            </w:r>
          </w:p>
        </w:tc>
        <w:tc>
          <w:tcPr>
            <w:tcW w:w="4318" w:type="pct"/>
            <w:tcBorders>
              <w:top w:val="nil"/>
              <w:left w:val="nil"/>
              <w:bottom w:val="single" w:sz="4" w:space="0" w:color="auto"/>
              <w:right w:val="single" w:sz="4" w:space="0" w:color="auto"/>
            </w:tcBorders>
            <w:shd w:val="clear" w:color="auto" w:fill="auto"/>
            <w:noWrap/>
            <w:hideMark/>
          </w:tcPr>
          <w:p w:rsidR="004E67A9" w:rsidRPr="004A4A34" w:rsidRDefault="004E67A9" w:rsidP="004E67A9">
            <w:pPr>
              <w:widowControl/>
              <w:jc w:val="left"/>
              <w:rPr>
                <w:rFonts w:ascii="宋体" w:eastAsia="宋体" w:hAnsi="宋体" w:cs="Calibri"/>
                <w:kern w:val="0"/>
                <w:szCs w:val="21"/>
              </w:rPr>
            </w:pPr>
            <w:r w:rsidRPr="00281888">
              <w:rPr>
                <w:rFonts w:ascii="宋体" w:eastAsia="宋体" w:hAnsi="宋体" w:cs="Calibri" w:hint="eastAsia"/>
                <w:kern w:val="0"/>
                <w:szCs w:val="21"/>
              </w:rPr>
              <w:t>华安添福</w:t>
            </w:r>
            <w:r w:rsidRPr="00281888">
              <w:rPr>
                <w:rFonts w:ascii="宋体" w:eastAsia="宋体" w:hAnsi="宋体" w:cs="Calibri"/>
                <w:kern w:val="0"/>
                <w:szCs w:val="21"/>
              </w:rPr>
              <w:t>18</w:t>
            </w:r>
            <w:r w:rsidRPr="00281888">
              <w:rPr>
                <w:rFonts w:ascii="宋体" w:eastAsia="宋体" w:hAnsi="宋体" w:cs="Calibri" w:hint="eastAsia"/>
                <w:kern w:val="0"/>
                <w:szCs w:val="21"/>
              </w:rPr>
              <w:t>个月持有期混合型证券投资基金</w:t>
            </w:r>
          </w:p>
        </w:tc>
      </w:tr>
    </w:tbl>
    <w:p w:rsidR="00615438" w:rsidRPr="00615438" w:rsidRDefault="00615438" w:rsidP="0032432F">
      <w:pPr>
        <w:spacing w:line="360" w:lineRule="auto"/>
        <w:ind w:firstLineChars="200" w:firstLine="420"/>
        <w:rPr>
          <w:rFonts w:ascii="宋体" w:eastAsia="宋体" w:hAnsi="宋体"/>
          <w:szCs w:val="21"/>
        </w:rPr>
      </w:pPr>
    </w:p>
    <w:sectPr w:rsidR="00615438" w:rsidRPr="00615438" w:rsidSect="005044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D8" w:rsidRDefault="00EC27D8" w:rsidP="00BB01ED">
      <w:r>
        <w:separator/>
      </w:r>
    </w:p>
  </w:endnote>
  <w:endnote w:type="continuationSeparator" w:id="0">
    <w:p w:rsidR="00EC27D8" w:rsidRDefault="00EC27D8" w:rsidP="00BB01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D8" w:rsidRDefault="00EC27D8" w:rsidP="00BB01ED">
      <w:r>
        <w:separator/>
      </w:r>
    </w:p>
  </w:footnote>
  <w:footnote w:type="continuationSeparator" w:id="0">
    <w:p w:rsidR="00EC27D8" w:rsidRDefault="00EC27D8" w:rsidP="00BB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9BE"/>
    <w:rsid w:val="00013801"/>
    <w:rsid w:val="0015346E"/>
    <w:rsid w:val="00167D90"/>
    <w:rsid w:val="00187A63"/>
    <w:rsid w:val="0022747A"/>
    <w:rsid w:val="002761BA"/>
    <w:rsid w:val="00281888"/>
    <w:rsid w:val="002B49BE"/>
    <w:rsid w:val="002C53B7"/>
    <w:rsid w:val="0032432F"/>
    <w:rsid w:val="003E4A79"/>
    <w:rsid w:val="003E501B"/>
    <w:rsid w:val="00425E10"/>
    <w:rsid w:val="004A4A34"/>
    <w:rsid w:val="004E67A9"/>
    <w:rsid w:val="005044C6"/>
    <w:rsid w:val="00524502"/>
    <w:rsid w:val="0053319E"/>
    <w:rsid w:val="00567B4E"/>
    <w:rsid w:val="00615438"/>
    <w:rsid w:val="00746457"/>
    <w:rsid w:val="007B16B4"/>
    <w:rsid w:val="0080189B"/>
    <w:rsid w:val="00807EC0"/>
    <w:rsid w:val="00853C99"/>
    <w:rsid w:val="0088134C"/>
    <w:rsid w:val="00917396"/>
    <w:rsid w:val="009F6A21"/>
    <w:rsid w:val="00A5399B"/>
    <w:rsid w:val="00A837DD"/>
    <w:rsid w:val="00BB01ED"/>
    <w:rsid w:val="00BF28C2"/>
    <w:rsid w:val="00D74E93"/>
    <w:rsid w:val="00DB58AF"/>
    <w:rsid w:val="00DC7009"/>
    <w:rsid w:val="00E2281B"/>
    <w:rsid w:val="00E236EF"/>
    <w:rsid w:val="00E35C07"/>
    <w:rsid w:val="00EA19C5"/>
    <w:rsid w:val="00EC27D8"/>
    <w:rsid w:val="00F56178"/>
    <w:rsid w:val="00FF1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C6"/>
    <w:pPr>
      <w:widowControl w:val="0"/>
      <w:jc w:val="both"/>
    </w:pPr>
  </w:style>
  <w:style w:type="paragraph" w:styleId="3">
    <w:name w:val="heading 3"/>
    <w:basedOn w:val="a"/>
    <w:link w:val="3Char"/>
    <w:uiPriority w:val="9"/>
    <w:qFormat/>
    <w:rsid w:val="002B49B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B58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58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B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2B49BE"/>
    <w:rPr>
      <w:rFonts w:ascii="宋体" w:eastAsia="宋体" w:hAnsi="宋体" w:cs="宋体"/>
      <w:b/>
      <w:bCs/>
      <w:kern w:val="0"/>
      <w:sz w:val="27"/>
      <w:szCs w:val="27"/>
    </w:rPr>
  </w:style>
  <w:style w:type="character" w:customStyle="1" w:styleId="4Char">
    <w:name w:val="标题 4 Char"/>
    <w:basedOn w:val="a0"/>
    <w:link w:val="4"/>
    <w:uiPriority w:val="9"/>
    <w:semiHidden/>
    <w:rsid w:val="00DB58A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58AF"/>
    <w:rPr>
      <w:b/>
      <w:bCs/>
      <w:sz w:val="28"/>
      <w:szCs w:val="28"/>
    </w:rPr>
  </w:style>
  <w:style w:type="paragraph" w:styleId="a4">
    <w:name w:val="header"/>
    <w:basedOn w:val="a"/>
    <w:link w:val="Char"/>
    <w:uiPriority w:val="99"/>
    <w:unhideWhenUsed/>
    <w:rsid w:val="00BB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01ED"/>
    <w:rPr>
      <w:sz w:val="18"/>
      <w:szCs w:val="18"/>
    </w:rPr>
  </w:style>
  <w:style w:type="paragraph" w:styleId="a5">
    <w:name w:val="footer"/>
    <w:basedOn w:val="a"/>
    <w:link w:val="Char0"/>
    <w:uiPriority w:val="99"/>
    <w:unhideWhenUsed/>
    <w:rsid w:val="00BB01ED"/>
    <w:pPr>
      <w:tabs>
        <w:tab w:val="center" w:pos="4153"/>
        <w:tab w:val="right" w:pos="8306"/>
      </w:tabs>
      <w:snapToGrid w:val="0"/>
      <w:jc w:val="left"/>
    </w:pPr>
    <w:rPr>
      <w:sz w:val="18"/>
      <w:szCs w:val="18"/>
    </w:rPr>
  </w:style>
  <w:style w:type="character" w:customStyle="1" w:styleId="Char0">
    <w:name w:val="页脚 Char"/>
    <w:basedOn w:val="a0"/>
    <w:link w:val="a5"/>
    <w:uiPriority w:val="99"/>
    <w:rsid w:val="00BB01ED"/>
    <w:rPr>
      <w:sz w:val="18"/>
      <w:szCs w:val="18"/>
    </w:rPr>
  </w:style>
  <w:style w:type="paragraph" w:styleId="a6">
    <w:name w:val="Balloon Text"/>
    <w:basedOn w:val="a"/>
    <w:link w:val="Char1"/>
    <w:uiPriority w:val="99"/>
    <w:semiHidden/>
    <w:unhideWhenUsed/>
    <w:rsid w:val="00A5399B"/>
    <w:rPr>
      <w:sz w:val="18"/>
      <w:szCs w:val="18"/>
    </w:rPr>
  </w:style>
  <w:style w:type="character" w:customStyle="1" w:styleId="Char1">
    <w:name w:val="批注框文本 Char"/>
    <w:basedOn w:val="a0"/>
    <w:link w:val="a6"/>
    <w:uiPriority w:val="99"/>
    <w:semiHidden/>
    <w:rsid w:val="00A5399B"/>
    <w:rPr>
      <w:sz w:val="18"/>
      <w:szCs w:val="18"/>
    </w:rPr>
  </w:style>
  <w:style w:type="paragraph" w:styleId="a7">
    <w:name w:val="Revision"/>
    <w:hidden/>
    <w:uiPriority w:val="99"/>
    <w:semiHidden/>
    <w:rsid w:val="007B16B4"/>
  </w:style>
  <w:style w:type="character" w:styleId="a8">
    <w:name w:val="annotation reference"/>
    <w:basedOn w:val="a0"/>
    <w:uiPriority w:val="99"/>
    <w:semiHidden/>
    <w:unhideWhenUsed/>
    <w:rsid w:val="00E236EF"/>
    <w:rPr>
      <w:sz w:val="21"/>
      <w:szCs w:val="21"/>
    </w:rPr>
  </w:style>
  <w:style w:type="paragraph" w:styleId="a9">
    <w:name w:val="annotation text"/>
    <w:basedOn w:val="a"/>
    <w:link w:val="Char2"/>
    <w:uiPriority w:val="99"/>
    <w:semiHidden/>
    <w:unhideWhenUsed/>
    <w:rsid w:val="00E236EF"/>
    <w:pPr>
      <w:jc w:val="left"/>
    </w:pPr>
  </w:style>
  <w:style w:type="character" w:customStyle="1" w:styleId="Char2">
    <w:name w:val="批注文字 Char"/>
    <w:basedOn w:val="a0"/>
    <w:link w:val="a9"/>
    <w:uiPriority w:val="99"/>
    <w:semiHidden/>
    <w:rsid w:val="00E236EF"/>
  </w:style>
  <w:style w:type="paragraph" w:styleId="aa">
    <w:name w:val="annotation subject"/>
    <w:basedOn w:val="a9"/>
    <w:next w:val="a9"/>
    <w:link w:val="Char3"/>
    <w:uiPriority w:val="99"/>
    <w:semiHidden/>
    <w:unhideWhenUsed/>
    <w:rsid w:val="00E236EF"/>
    <w:rPr>
      <w:b/>
      <w:bCs/>
    </w:rPr>
  </w:style>
  <w:style w:type="character" w:customStyle="1" w:styleId="Char3">
    <w:name w:val="批注主题 Char"/>
    <w:basedOn w:val="Char2"/>
    <w:link w:val="aa"/>
    <w:uiPriority w:val="99"/>
    <w:semiHidden/>
    <w:rsid w:val="00E236EF"/>
    <w:rPr>
      <w:b/>
      <w:bCs/>
    </w:rPr>
  </w:style>
</w:styles>
</file>

<file path=word/webSettings.xml><?xml version="1.0" encoding="utf-8"?>
<w:webSettings xmlns:r="http://schemas.openxmlformats.org/officeDocument/2006/relationships" xmlns:w="http://schemas.openxmlformats.org/wordprocessingml/2006/main">
  <w:divs>
    <w:div w:id="334118717">
      <w:bodyDiv w:val="1"/>
      <w:marLeft w:val="0"/>
      <w:marRight w:val="0"/>
      <w:marTop w:val="0"/>
      <w:marBottom w:val="0"/>
      <w:divBdr>
        <w:top w:val="none" w:sz="0" w:space="0" w:color="auto"/>
        <w:left w:val="none" w:sz="0" w:space="0" w:color="auto"/>
        <w:bottom w:val="none" w:sz="0" w:space="0" w:color="auto"/>
        <w:right w:val="none" w:sz="0" w:space="0" w:color="auto"/>
      </w:divBdr>
    </w:div>
    <w:div w:id="382683303">
      <w:bodyDiv w:val="1"/>
      <w:marLeft w:val="0"/>
      <w:marRight w:val="0"/>
      <w:marTop w:val="0"/>
      <w:marBottom w:val="0"/>
      <w:divBdr>
        <w:top w:val="none" w:sz="0" w:space="0" w:color="auto"/>
        <w:left w:val="none" w:sz="0" w:space="0" w:color="auto"/>
        <w:bottom w:val="none" w:sz="0" w:space="0" w:color="auto"/>
        <w:right w:val="none" w:sz="0" w:space="0" w:color="auto"/>
      </w:divBdr>
    </w:div>
    <w:div w:id="448672239">
      <w:bodyDiv w:val="1"/>
      <w:marLeft w:val="0"/>
      <w:marRight w:val="0"/>
      <w:marTop w:val="0"/>
      <w:marBottom w:val="0"/>
      <w:divBdr>
        <w:top w:val="none" w:sz="0" w:space="0" w:color="auto"/>
        <w:left w:val="none" w:sz="0" w:space="0" w:color="auto"/>
        <w:bottom w:val="none" w:sz="0" w:space="0" w:color="auto"/>
        <w:right w:val="none" w:sz="0" w:space="0" w:color="auto"/>
      </w:divBdr>
    </w:div>
    <w:div w:id="549343066">
      <w:bodyDiv w:val="1"/>
      <w:marLeft w:val="0"/>
      <w:marRight w:val="0"/>
      <w:marTop w:val="0"/>
      <w:marBottom w:val="0"/>
      <w:divBdr>
        <w:top w:val="none" w:sz="0" w:space="0" w:color="auto"/>
        <w:left w:val="none" w:sz="0" w:space="0" w:color="auto"/>
        <w:bottom w:val="none" w:sz="0" w:space="0" w:color="auto"/>
        <w:right w:val="none" w:sz="0" w:space="0" w:color="auto"/>
      </w:divBdr>
    </w:div>
    <w:div w:id="607274521">
      <w:bodyDiv w:val="1"/>
      <w:marLeft w:val="0"/>
      <w:marRight w:val="0"/>
      <w:marTop w:val="0"/>
      <w:marBottom w:val="0"/>
      <w:divBdr>
        <w:top w:val="none" w:sz="0" w:space="0" w:color="auto"/>
        <w:left w:val="none" w:sz="0" w:space="0" w:color="auto"/>
        <w:bottom w:val="none" w:sz="0" w:space="0" w:color="auto"/>
        <w:right w:val="none" w:sz="0" w:space="0" w:color="auto"/>
      </w:divBdr>
    </w:div>
    <w:div w:id="701245192">
      <w:bodyDiv w:val="1"/>
      <w:marLeft w:val="0"/>
      <w:marRight w:val="0"/>
      <w:marTop w:val="0"/>
      <w:marBottom w:val="0"/>
      <w:divBdr>
        <w:top w:val="none" w:sz="0" w:space="0" w:color="auto"/>
        <w:left w:val="none" w:sz="0" w:space="0" w:color="auto"/>
        <w:bottom w:val="none" w:sz="0" w:space="0" w:color="auto"/>
        <w:right w:val="none" w:sz="0" w:space="0" w:color="auto"/>
      </w:divBdr>
    </w:div>
    <w:div w:id="912858299">
      <w:bodyDiv w:val="1"/>
      <w:marLeft w:val="0"/>
      <w:marRight w:val="0"/>
      <w:marTop w:val="0"/>
      <w:marBottom w:val="0"/>
      <w:divBdr>
        <w:top w:val="none" w:sz="0" w:space="0" w:color="auto"/>
        <w:left w:val="none" w:sz="0" w:space="0" w:color="auto"/>
        <w:bottom w:val="none" w:sz="0" w:space="0" w:color="auto"/>
        <w:right w:val="none" w:sz="0" w:space="0" w:color="auto"/>
      </w:divBdr>
    </w:div>
    <w:div w:id="1695033710">
      <w:bodyDiv w:val="1"/>
      <w:marLeft w:val="0"/>
      <w:marRight w:val="0"/>
      <w:marTop w:val="0"/>
      <w:marBottom w:val="0"/>
      <w:divBdr>
        <w:top w:val="none" w:sz="0" w:space="0" w:color="auto"/>
        <w:left w:val="none" w:sz="0" w:space="0" w:color="auto"/>
        <w:bottom w:val="none" w:sz="0" w:space="0" w:color="auto"/>
        <w:right w:val="none" w:sz="0" w:space="0" w:color="auto"/>
      </w:divBdr>
    </w:div>
    <w:div w:id="1698458347">
      <w:bodyDiv w:val="1"/>
      <w:marLeft w:val="0"/>
      <w:marRight w:val="0"/>
      <w:marTop w:val="0"/>
      <w:marBottom w:val="0"/>
      <w:divBdr>
        <w:top w:val="none" w:sz="0" w:space="0" w:color="auto"/>
        <w:left w:val="none" w:sz="0" w:space="0" w:color="auto"/>
        <w:bottom w:val="none" w:sz="0" w:space="0" w:color="auto"/>
        <w:right w:val="none" w:sz="0" w:space="0" w:color="auto"/>
      </w:divBdr>
    </w:div>
    <w:div w:id="1778522565">
      <w:bodyDiv w:val="1"/>
      <w:marLeft w:val="0"/>
      <w:marRight w:val="0"/>
      <w:marTop w:val="0"/>
      <w:marBottom w:val="0"/>
      <w:divBdr>
        <w:top w:val="none" w:sz="0" w:space="0" w:color="auto"/>
        <w:left w:val="none" w:sz="0" w:space="0" w:color="auto"/>
        <w:bottom w:val="none" w:sz="0" w:space="0" w:color="auto"/>
        <w:right w:val="none" w:sz="0" w:space="0" w:color="auto"/>
      </w:divBdr>
    </w:div>
    <w:div w:id="1848054638">
      <w:bodyDiv w:val="1"/>
      <w:marLeft w:val="0"/>
      <w:marRight w:val="0"/>
      <w:marTop w:val="0"/>
      <w:marBottom w:val="0"/>
      <w:divBdr>
        <w:top w:val="none" w:sz="0" w:space="0" w:color="auto"/>
        <w:left w:val="none" w:sz="0" w:space="0" w:color="auto"/>
        <w:bottom w:val="none" w:sz="0" w:space="0" w:color="auto"/>
        <w:right w:val="none" w:sz="0" w:space="0" w:color="auto"/>
      </w:divBdr>
    </w:div>
    <w:div w:id="18550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BA47-B51A-4850-81FB-5B176C4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1594</Characters>
  <Application>Microsoft Office Word</Application>
  <DocSecurity>4</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2021-02-08T16:01:00Z</dcterms:created>
  <dcterms:modified xsi:type="dcterms:W3CDTF">2021-02-08T16:01:00Z</dcterms:modified>
</cp:coreProperties>
</file>