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9C" w:rsidRDefault="00BD079C" w:rsidP="00DF1952">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东吴基金管理有限公司</w:t>
      </w:r>
    </w:p>
    <w:p w:rsidR="00C935DF" w:rsidRPr="00A53800" w:rsidRDefault="00551804" w:rsidP="00DF1952">
      <w:pPr>
        <w:widowControl/>
        <w:jc w:val="center"/>
        <w:rPr>
          <w:rFonts w:asciiTheme="minorEastAsia" w:eastAsiaTheme="minorEastAsia" w:hAnsiTheme="minorEastAsia" w:cs="宋体"/>
          <w:b/>
          <w:kern w:val="0"/>
          <w:sz w:val="30"/>
          <w:szCs w:val="30"/>
        </w:rPr>
      </w:pPr>
      <w:r w:rsidRPr="00A53800">
        <w:rPr>
          <w:rFonts w:asciiTheme="minorEastAsia" w:eastAsiaTheme="minorEastAsia" w:hAnsiTheme="minorEastAsia" w:cs="宋体" w:hint="eastAsia"/>
          <w:b/>
          <w:kern w:val="0"/>
          <w:sz w:val="30"/>
          <w:szCs w:val="30"/>
        </w:rPr>
        <w:t>关于</w:t>
      </w:r>
      <w:r w:rsidR="00F90D32">
        <w:rPr>
          <w:rFonts w:asciiTheme="minorEastAsia" w:eastAsiaTheme="minorEastAsia" w:hAnsiTheme="minorEastAsia" w:cs="宋体" w:hint="eastAsia"/>
          <w:b/>
          <w:kern w:val="0"/>
          <w:sz w:val="30"/>
          <w:szCs w:val="30"/>
        </w:rPr>
        <w:t>东吴瑞盈63个月定期开放债券型证券投资基金</w:t>
      </w:r>
      <w:r w:rsidR="00C935DF" w:rsidRPr="00A53800">
        <w:rPr>
          <w:rFonts w:asciiTheme="minorEastAsia" w:eastAsiaTheme="minorEastAsia" w:hAnsiTheme="minorEastAsia" w:cs="宋体" w:hint="eastAsia"/>
          <w:b/>
          <w:kern w:val="0"/>
          <w:sz w:val="30"/>
          <w:szCs w:val="30"/>
        </w:rPr>
        <w:t>基金合同生效公告</w:t>
      </w:r>
    </w:p>
    <w:p w:rsidR="00C935DF" w:rsidRPr="00A53800" w:rsidRDefault="00B406BB" w:rsidP="00896DF2">
      <w:pPr>
        <w:spacing w:beforeLines="50"/>
        <w:jc w:val="center"/>
        <w:rPr>
          <w:rFonts w:asciiTheme="minorEastAsia" w:eastAsiaTheme="minorEastAsia" w:hAnsiTheme="minorEastAsia" w:cs="宋体"/>
          <w:kern w:val="0"/>
          <w:sz w:val="24"/>
          <w:szCs w:val="24"/>
        </w:rPr>
      </w:pPr>
      <w:r w:rsidRPr="00A53800">
        <w:rPr>
          <w:rFonts w:eastAsiaTheme="minorEastAsia"/>
          <w:color w:val="000000"/>
          <w:sz w:val="24"/>
          <w:szCs w:val="24"/>
        </w:rPr>
        <w:t>公告送出日期：</w:t>
      </w:r>
      <w:r w:rsidR="005C6E52">
        <w:rPr>
          <w:rFonts w:eastAsiaTheme="minorEastAsia"/>
          <w:bCs/>
          <w:sz w:val="24"/>
          <w:szCs w:val="24"/>
        </w:rPr>
        <w:t>202</w:t>
      </w:r>
      <w:r w:rsidR="00F90D32">
        <w:rPr>
          <w:rFonts w:eastAsiaTheme="minorEastAsia" w:hint="eastAsia"/>
          <w:bCs/>
          <w:sz w:val="24"/>
          <w:szCs w:val="24"/>
        </w:rPr>
        <w:t>1</w:t>
      </w:r>
      <w:r w:rsidR="001B676D" w:rsidRPr="00A53800">
        <w:rPr>
          <w:rFonts w:eastAsiaTheme="minorEastAsia"/>
          <w:bCs/>
          <w:sz w:val="24"/>
          <w:szCs w:val="24"/>
        </w:rPr>
        <w:t>年</w:t>
      </w:r>
      <w:r w:rsidR="00F8477E">
        <w:rPr>
          <w:rFonts w:eastAsiaTheme="minorEastAsia" w:hint="eastAsia"/>
          <w:bCs/>
          <w:sz w:val="24"/>
          <w:szCs w:val="24"/>
        </w:rPr>
        <w:t>2</w:t>
      </w:r>
      <w:r w:rsidRPr="00A53800">
        <w:rPr>
          <w:rFonts w:eastAsiaTheme="minorEastAsia"/>
          <w:bCs/>
          <w:sz w:val="24"/>
          <w:szCs w:val="24"/>
        </w:rPr>
        <w:t>月</w:t>
      </w:r>
      <w:r w:rsidR="009139D2">
        <w:rPr>
          <w:rFonts w:eastAsiaTheme="minorEastAsia" w:hint="eastAsia"/>
          <w:bCs/>
          <w:sz w:val="24"/>
          <w:szCs w:val="24"/>
        </w:rPr>
        <w:t>9</w:t>
      </w:r>
      <w:r w:rsidRPr="00A53800">
        <w:rPr>
          <w:rFonts w:eastAsiaTheme="minorEastAsia"/>
          <w:bCs/>
          <w:sz w:val="24"/>
          <w:szCs w:val="24"/>
        </w:rPr>
        <w:t>日</w:t>
      </w:r>
    </w:p>
    <w:p w:rsidR="00C935DF" w:rsidRPr="00A53800" w:rsidRDefault="00C935DF" w:rsidP="00C935DF">
      <w:pPr>
        <w:spacing w:line="560" w:lineRule="exact"/>
        <w:rPr>
          <w:rFonts w:asciiTheme="minorEastAsia" w:eastAsiaTheme="minorEastAsia" w:hAnsiTheme="minorEastAsia"/>
          <w:color w:val="000000"/>
          <w:sz w:val="24"/>
          <w:szCs w:val="24"/>
        </w:rPr>
      </w:pPr>
    </w:p>
    <w:p w:rsidR="00C935DF" w:rsidRPr="00A53800" w:rsidRDefault="00C935DF" w:rsidP="007C7EF8">
      <w:pPr>
        <w:pStyle w:val="2"/>
        <w:keepNext w:val="0"/>
        <w:keepLines w:val="0"/>
        <w:spacing w:line="560" w:lineRule="exact"/>
        <w:rPr>
          <w:rFonts w:asciiTheme="minorEastAsia" w:eastAsiaTheme="minorEastAsia" w:hAnsiTheme="minorEastAsia"/>
          <w:bCs w:val="0"/>
          <w:color w:val="000000"/>
          <w:sz w:val="24"/>
          <w:szCs w:val="24"/>
        </w:rPr>
      </w:pPr>
      <w:bookmarkStart w:id="1" w:name="_Toc275961391"/>
      <w:r w:rsidRPr="00A53800">
        <w:rPr>
          <w:rFonts w:asciiTheme="minorEastAsia" w:eastAsiaTheme="minorEastAsia" w:hAnsiTheme="minorEastAsia"/>
          <w:bCs w:val="0"/>
          <w:color w:val="000000"/>
          <w:sz w:val="24"/>
          <w:szCs w:val="24"/>
        </w:rPr>
        <w:t>1</w:t>
      </w:r>
      <w:r w:rsidR="007C7EF8">
        <w:rPr>
          <w:rFonts w:asciiTheme="minorEastAsia" w:eastAsiaTheme="minorEastAsia" w:hAnsiTheme="minorEastAsia" w:hint="eastAsia"/>
          <w:bCs w:val="0"/>
          <w:color w:val="000000"/>
          <w:sz w:val="24"/>
          <w:szCs w:val="24"/>
        </w:rPr>
        <w:t>、</w:t>
      </w:r>
      <w:r w:rsidRPr="00A53800">
        <w:rPr>
          <w:rFonts w:asciiTheme="minorEastAsia" w:eastAsiaTheme="minorEastAsia" w:hAnsiTheme="minorEastAsia"/>
          <w:bCs w:val="0"/>
          <w:color w:val="000000"/>
          <w:sz w:val="24"/>
          <w:szCs w:val="24"/>
        </w:rPr>
        <w:t>公告基本信息</w:t>
      </w:r>
      <w:bookmarkEnd w:id="1"/>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7"/>
        <w:gridCol w:w="6116"/>
      </w:tblGrid>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基金名称</w:t>
            </w:r>
          </w:p>
        </w:tc>
        <w:tc>
          <w:tcPr>
            <w:tcW w:w="3389" w:type="pct"/>
            <w:vAlign w:val="center"/>
          </w:tcPr>
          <w:p w:rsidR="00EC181E" w:rsidRPr="00A53800" w:rsidRDefault="00F90D32" w:rsidP="00D5407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东吴瑞盈63个月定期开放债券型证券投资基金</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基金简称</w:t>
            </w:r>
          </w:p>
        </w:tc>
        <w:tc>
          <w:tcPr>
            <w:tcW w:w="3389" w:type="pct"/>
            <w:vAlign w:val="center"/>
          </w:tcPr>
          <w:p w:rsidR="00EC181E" w:rsidRPr="00A53800" w:rsidRDefault="00D6077A" w:rsidP="00D54077">
            <w:pPr>
              <w:spacing w:line="288" w:lineRule="auto"/>
              <w:rPr>
                <w:rFonts w:asciiTheme="minorEastAsia" w:eastAsiaTheme="minorEastAsia" w:hAnsiTheme="minorEastAsia"/>
                <w:sz w:val="24"/>
                <w:szCs w:val="24"/>
              </w:rPr>
            </w:pPr>
            <w:r w:rsidRPr="00D6077A">
              <w:rPr>
                <w:rFonts w:asciiTheme="minorEastAsia" w:eastAsiaTheme="minorEastAsia" w:hAnsiTheme="minorEastAsia" w:hint="eastAsia"/>
                <w:sz w:val="24"/>
                <w:szCs w:val="24"/>
              </w:rPr>
              <w:t>东吴瑞盈63个月定开债券</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基金主代码</w:t>
            </w:r>
          </w:p>
        </w:tc>
        <w:tc>
          <w:tcPr>
            <w:tcW w:w="3389" w:type="pct"/>
            <w:vAlign w:val="center"/>
          </w:tcPr>
          <w:p w:rsidR="00EC181E" w:rsidRPr="00A53800" w:rsidRDefault="00BD079C" w:rsidP="000E6EE9">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010</w:t>
            </w:r>
            <w:r w:rsidR="000E6EE9">
              <w:rPr>
                <w:rFonts w:asciiTheme="minorEastAsia" w:eastAsiaTheme="minorEastAsia" w:hAnsiTheme="minorEastAsia" w:hint="eastAsia"/>
                <w:sz w:val="24"/>
                <w:szCs w:val="24"/>
              </w:rPr>
              <w:t>719</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基金运作方式</w:t>
            </w:r>
          </w:p>
        </w:tc>
        <w:tc>
          <w:tcPr>
            <w:tcW w:w="3389" w:type="pct"/>
            <w:vAlign w:val="center"/>
          </w:tcPr>
          <w:p w:rsidR="00EC181E" w:rsidRPr="00A53800" w:rsidRDefault="00813207" w:rsidP="00D54077">
            <w:pPr>
              <w:spacing w:line="288" w:lineRule="auto"/>
              <w:rPr>
                <w:rFonts w:asciiTheme="minorEastAsia" w:eastAsiaTheme="minorEastAsia" w:hAnsiTheme="minorEastAsia"/>
                <w:sz w:val="24"/>
                <w:szCs w:val="24"/>
              </w:rPr>
            </w:pPr>
            <w:r w:rsidRPr="00A53800">
              <w:rPr>
                <w:rFonts w:asciiTheme="minorEastAsia" w:eastAsiaTheme="minorEastAsia" w:hAnsiTheme="minorEastAsia"/>
                <w:sz w:val="24"/>
                <w:szCs w:val="24"/>
              </w:rPr>
              <w:t>契约型</w:t>
            </w:r>
            <w:r w:rsidR="009B3A73">
              <w:rPr>
                <w:rFonts w:asciiTheme="minorEastAsia" w:eastAsiaTheme="minorEastAsia" w:hAnsiTheme="minorEastAsia" w:hint="eastAsia"/>
                <w:sz w:val="24"/>
                <w:szCs w:val="24"/>
              </w:rPr>
              <w:t>、定期</w:t>
            </w:r>
            <w:r w:rsidRPr="00A53800">
              <w:rPr>
                <w:rFonts w:asciiTheme="minorEastAsia" w:eastAsiaTheme="minorEastAsia" w:hAnsiTheme="minorEastAsia" w:hint="eastAsia"/>
                <w:sz w:val="24"/>
                <w:szCs w:val="24"/>
              </w:rPr>
              <w:t>开放式</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基金合同生效日</w:t>
            </w:r>
          </w:p>
        </w:tc>
        <w:tc>
          <w:tcPr>
            <w:tcW w:w="3389" w:type="pct"/>
            <w:vAlign w:val="center"/>
          </w:tcPr>
          <w:p w:rsidR="00EC181E" w:rsidRPr="00A53800" w:rsidRDefault="005C6E52" w:rsidP="009139D2">
            <w:pPr>
              <w:spacing w:line="288" w:lineRule="auto"/>
              <w:rPr>
                <w:rFonts w:asciiTheme="minorEastAsia" w:eastAsiaTheme="minorEastAsia" w:hAnsiTheme="minorEastAsia"/>
                <w:sz w:val="24"/>
                <w:szCs w:val="24"/>
              </w:rPr>
            </w:pPr>
            <w:r>
              <w:rPr>
                <w:rFonts w:asciiTheme="minorEastAsia" w:eastAsiaTheme="minorEastAsia" w:hAnsiTheme="minorEastAsia"/>
                <w:sz w:val="24"/>
                <w:szCs w:val="24"/>
              </w:rPr>
              <w:t>202</w:t>
            </w:r>
            <w:r w:rsidR="006005A3">
              <w:rPr>
                <w:rFonts w:asciiTheme="minorEastAsia" w:eastAsiaTheme="minorEastAsia" w:hAnsiTheme="minorEastAsia" w:hint="eastAsia"/>
                <w:sz w:val="24"/>
                <w:szCs w:val="24"/>
              </w:rPr>
              <w:t>1</w:t>
            </w:r>
            <w:r w:rsidR="00813207" w:rsidRPr="00A53800">
              <w:rPr>
                <w:rFonts w:asciiTheme="minorEastAsia" w:eastAsiaTheme="minorEastAsia" w:hAnsiTheme="minorEastAsia" w:hint="eastAsia"/>
                <w:sz w:val="24"/>
                <w:szCs w:val="24"/>
              </w:rPr>
              <w:t>年</w:t>
            </w:r>
            <w:r w:rsidR="00267501">
              <w:rPr>
                <w:rFonts w:asciiTheme="minorEastAsia" w:eastAsiaTheme="minorEastAsia" w:hAnsiTheme="minorEastAsia" w:hint="eastAsia"/>
                <w:sz w:val="24"/>
                <w:szCs w:val="24"/>
              </w:rPr>
              <w:t>2</w:t>
            </w:r>
            <w:r w:rsidR="00DF1952">
              <w:rPr>
                <w:rFonts w:asciiTheme="minorEastAsia" w:eastAsiaTheme="minorEastAsia" w:hAnsiTheme="minorEastAsia" w:hint="eastAsia"/>
                <w:sz w:val="24"/>
                <w:szCs w:val="24"/>
              </w:rPr>
              <w:t>月</w:t>
            </w:r>
            <w:r w:rsidR="009139D2">
              <w:rPr>
                <w:rFonts w:asciiTheme="minorEastAsia" w:eastAsiaTheme="minorEastAsia" w:hAnsiTheme="minorEastAsia" w:hint="eastAsia"/>
                <w:sz w:val="24"/>
                <w:szCs w:val="24"/>
              </w:rPr>
              <w:t>8</w:t>
            </w:r>
            <w:r w:rsidR="00DF1952">
              <w:rPr>
                <w:rFonts w:asciiTheme="minorEastAsia" w:eastAsiaTheme="minorEastAsia" w:hAnsiTheme="minorEastAsia" w:hint="eastAsia"/>
                <w:sz w:val="24"/>
                <w:szCs w:val="24"/>
              </w:rPr>
              <w:t>日</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基金管理人名称</w:t>
            </w:r>
          </w:p>
        </w:tc>
        <w:tc>
          <w:tcPr>
            <w:tcW w:w="3389" w:type="pct"/>
            <w:vAlign w:val="center"/>
          </w:tcPr>
          <w:p w:rsidR="00EC181E" w:rsidRPr="00A53800" w:rsidRDefault="00BD079C" w:rsidP="00D54077">
            <w:pPr>
              <w:spacing w:line="288" w:lineRule="auto"/>
              <w:rPr>
                <w:rFonts w:asciiTheme="minorEastAsia" w:eastAsiaTheme="minorEastAsia" w:hAnsiTheme="minorEastAsia"/>
                <w:sz w:val="24"/>
                <w:szCs w:val="24"/>
              </w:rPr>
            </w:pPr>
            <w:r>
              <w:rPr>
                <w:rFonts w:asciiTheme="minorEastAsia" w:eastAsiaTheme="minorEastAsia" w:hAnsiTheme="minorEastAsia"/>
                <w:sz w:val="24"/>
                <w:szCs w:val="24"/>
              </w:rPr>
              <w:t>东吴基金管理有限公司</w:t>
            </w:r>
          </w:p>
        </w:tc>
      </w:tr>
      <w:tr w:rsidR="00EC181E" w:rsidRPr="00A53800" w:rsidTr="00BD5345">
        <w:trPr>
          <w:trHeight w:val="386"/>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基金托管人名称</w:t>
            </w:r>
          </w:p>
        </w:tc>
        <w:tc>
          <w:tcPr>
            <w:tcW w:w="3389" w:type="pct"/>
            <w:vAlign w:val="center"/>
          </w:tcPr>
          <w:p w:rsidR="00EC181E" w:rsidRPr="00A53800" w:rsidRDefault="006005A3" w:rsidP="00D54077">
            <w:pPr>
              <w:spacing w:line="288" w:lineRule="auto"/>
              <w:rPr>
                <w:rFonts w:asciiTheme="minorEastAsia" w:eastAsiaTheme="minorEastAsia" w:hAnsiTheme="minorEastAsia"/>
                <w:sz w:val="24"/>
                <w:szCs w:val="24"/>
              </w:rPr>
            </w:pPr>
            <w:r w:rsidRPr="006005A3">
              <w:rPr>
                <w:rFonts w:asciiTheme="minorEastAsia" w:eastAsiaTheme="minorEastAsia" w:hAnsiTheme="minorEastAsia" w:hint="eastAsia"/>
                <w:sz w:val="24"/>
                <w:szCs w:val="24"/>
              </w:rPr>
              <w:t>招商银行股份有限公司</w:t>
            </w:r>
          </w:p>
        </w:tc>
      </w:tr>
      <w:tr w:rsidR="00EC181E" w:rsidRPr="00A53800" w:rsidTr="00BD5345">
        <w:trPr>
          <w:trHeight w:val="1285"/>
          <w:jc w:val="center"/>
        </w:trPr>
        <w:tc>
          <w:tcPr>
            <w:tcW w:w="1611" w:type="pct"/>
            <w:vAlign w:val="center"/>
          </w:tcPr>
          <w:p w:rsidR="00EC181E" w:rsidRPr="00A53800" w:rsidRDefault="00EC181E"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公告依据</w:t>
            </w:r>
          </w:p>
        </w:tc>
        <w:tc>
          <w:tcPr>
            <w:tcW w:w="3389" w:type="pct"/>
            <w:vAlign w:val="center"/>
          </w:tcPr>
          <w:p w:rsidR="00EC181E" w:rsidRPr="00A53800" w:rsidRDefault="00284EC5" w:rsidP="007C7EF8">
            <w:pPr>
              <w:spacing w:line="288" w:lineRule="auto"/>
              <w:rPr>
                <w:rFonts w:asciiTheme="minorEastAsia" w:eastAsiaTheme="minorEastAsia" w:hAnsiTheme="minorEastAsia"/>
                <w:sz w:val="24"/>
                <w:szCs w:val="24"/>
              </w:rPr>
            </w:pPr>
            <w:r w:rsidRPr="00284EC5">
              <w:rPr>
                <w:rFonts w:asciiTheme="minorEastAsia" w:eastAsiaTheme="minorEastAsia" w:hAnsiTheme="minorEastAsia" w:hint="eastAsia"/>
                <w:sz w:val="24"/>
                <w:szCs w:val="24"/>
              </w:rPr>
              <w:t>《中华人民共和国证券投资基金法》</w:t>
            </w:r>
            <w:r w:rsidR="00295F22" w:rsidRPr="00295F22">
              <w:rPr>
                <w:rFonts w:asciiTheme="minorEastAsia" w:eastAsiaTheme="minorEastAsia" w:hAnsiTheme="minorEastAsia" w:hint="eastAsia"/>
                <w:sz w:val="24"/>
                <w:szCs w:val="24"/>
              </w:rPr>
              <w:t>、《公开募集证券投资基金运作管理办法》</w:t>
            </w:r>
            <w:r w:rsidR="00220970">
              <w:rPr>
                <w:rFonts w:asciiTheme="minorEastAsia" w:eastAsiaTheme="minorEastAsia" w:hAnsiTheme="minorEastAsia" w:hint="eastAsia"/>
                <w:sz w:val="24"/>
                <w:szCs w:val="24"/>
              </w:rPr>
              <w:t>、</w:t>
            </w:r>
            <w:r w:rsidR="00220970" w:rsidRPr="00220970">
              <w:rPr>
                <w:rFonts w:asciiTheme="minorEastAsia" w:eastAsiaTheme="minorEastAsia" w:hAnsiTheme="minorEastAsia" w:hint="eastAsia"/>
                <w:sz w:val="24"/>
                <w:szCs w:val="24"/>
              </w:rPr>
              <w:t>《公开募集证券投资基金信息披露管理办法》</w:t>
            </w:r>
            <w:r w:rsidR="007C7EF8">
              <w:rPr>
                <w:rFonts w:asciiTheme="minorEastAsia" w:eastAsiaTheme="minorEastAsia" w:hAnsiTheme="minorEastAsia" w:hint="eastAsia"/>
                <w:sz w:val="24"/>
                <w:szCs w:val="24"/>
              </w:rPr>
              <w:t>等法律法规以及</w:t>
            </w:r>
            <w:r w:rsidR="004A1F75" w:rsidRPr="00A53800">
              <w:rPr>
                <w:rFonts w:asciiTheme="minorEastAsia" w:eastAsiaTheme="minorEastAsia" w:hAnsiTheme="minorEastAsia"/>
                <w:sz w:val="24"/>
                <w:szCs w:val="24"/>
              </w:rPr>
              <w:t>《</w:t>
            </w:r>
            <w:r w:rsidR="00F90D32">
              <w:rPr>
                <w:rFonts w:asciiTheme="minorEastAsia" w:eastAsiaTheme="minorEastAsia" w:hAnsiTheme="minorEastAsia" w:hint="eastAsia"/>
                <w:sz w:val="24"/>
                <w:szCs w:val="24"/>
              </w:rPr>
              <w:t>东吴瑞盈63个月定期开放债券型证券投资基金</w:t>
            </w:r>
            <w:r w:rsidR="004A1F75" w:rsidRPr="00A53800">
              <w:rPr>
                <w:rFonts w:asciiTheme="minorEastAsia" w:eastAsiaTheme="minorEastAsia" w:hAnsiTheme="minorEastAsia"/>
                <w:sz w:val="24"/>
                <w:szCs w:val="24"/>
              </w:rPr>
              <w:t>基金合同》</w:t>
            </w:r>
            <w:r w:rsidR="00EC181E" w:rsidRPr="00A53800">
              <w:rPr>
                <w:rFonts w:asciiTheme="minorEastAsia" w:eastAsiaTheme="minorEastAsia" w:hAnsiTheme="minorEastAsia"/>
                <w:sz w:val="24"/>
                <w:szCs w:val="24"/>
              </w:rPr>
              <w:t>、</w:t>
            </w:r>
            <w:r w:rsidR="004A1F75" w:rsidRPr="00A53800">
              <w:rPr>
                <w:rFonts w:asciiTheme="minorEastAsia" w:eastAsiaTheme="minorEastAsia" w:hAnsiTheme="minorEastAsia"/>
                <w:sz w:val="24"/>
                <w:szCs w:val="24"/>
              </w:rPr>
              <w:t>《</w:t>
            </w:r>
            <w:r w:rsidR="00F90D32">
              <w:rPr>
                <w:rFonts w:asciiTheme="minorEastAsia" w:eastAsiaTheme="minorEastAsia" w:hAnsiTheme="minorEastAsia" w:hint="eastAsia"/>
                <w:sz w:val="24"/>
                <w:szCs w:val="24"/>
              </w:rPr>
              <w:t>东吴瑞盈63个月定期开放债券型证券投资基金</w:t>
            </w:r>
            <w:r w:rsidR="004A1F75" w:rsidRPr="00A53800">
              <w:rPr>
                <w:rFonts w:asciiTheme="minorEastAsia" w:eastAsiaTheme="minorEastAsia" w:hAnsiTheme="minorEastAsia"/>
                <w:sz w:val="24"/>
                <w:szCs w:val="24"/>
              </w:rPr>
              <w:t>招募说明书》</w:t>
            </w:r>
            <w:r w:rsidR="00E84B62">
              <w:rPr>
                <w:rFonts w:asciiTheme="minorEastAsia" w:eastAsiaTheme="minorEastAsia" w:hAnsiTheme="minorEastAsia" w:hint="eastAsia"/>
                <w:sz w:val="24"/>
                <w:szCs w:val="24"/>
              </w:rPr>
              <w:t>等</w:t>
            </w:r>
          </w:p>
        </w:tc>
      </w:tr>
    </w:tbl>
    <w:p w:rsidR="00C935DF" w:rsidRPr="00A53800" w:rsidRDefault="003C0D0A" w:rsidP="007C7EF8">
      <w:pPr>
        <w:pStyle w:val="2"/>
        <w:keepNext w:val="0"/>
        <w:keepLines w:val="0"/>
        <w:spacing w:line="530" w:lineRule="exact"/>
        <w:rPr>
          <w:rFonts w:asciiTheme="minorEastAsia" w:eastAsiaTheme="minorEastAsia" w:hAnsiTheme="minorEastAsia"/>
          <w:bCs w:val="0"/>
          <w:color w:val="000000"/>
          <w:sz w:val="24"/>
          <w:szCs w:val="24"/>
        </w:rPr>
      </w:pPr>
      <w:bookmarkStart w:id="2" w:name="_Toc275961392"/>
      <w:r w:rsidRPr="00A53800">
        <w:rPr>
          <w:rFonts w:asciiTheme="minorEastAsia" w:eastAsiaTheme="minorEastAsia" w:hAnsiTheme="minorEastAsia" w:hint="eastAsia"/>
          <w:bCs w:val="0"/>
          <w:color w:val="000000"/>
          <w:sz w:val="24"/>
          <w:szCs w:val="24"/>
        </w:rPr>
        <w:t>2</w:t>
      </w:r>
      <w:r w:rsidR="007C7EF8">
        <w:rPr>
          <w:rFonts w:asciiTheme="minorEastAsia" w:eastAsiaTheme="minorEastAsia" w:hAnsiTheme="minorEastAsia" w:hint="eastAsia"/>
          <w:bCs w:val="0"/>
          <w:color w:val="000000"/>
          <w:sz w:val="24"/>
          <w:szCs w:val="24"/>
        </w:rPr>
        <w:t>、</w:t>
      </w:r>
      <w:r w:rsidR="00C935DF" w:rsidRPr="00A53800">
        <w:rPr>
          <w:rFonts w:asciiTheme="minorEastAsia" w:eastAsiaTheme="minorEastAsia" w:hAnsiTheme="minorEastAsia"/>
          <w:bCs w:val="0"/>
          <w:color w:val="000000"/>
          <w:sz w:val="24"/>
          <w:szCs w:val="24"/>
        </w:rPr>
        <w:t>基金募集情况</w:t>
      </w:r>
      <w:bookmarkEnd w:id="2"/>
    </w:p>
    <w:tbl>
      <w:tblPr>
        <w:tblpPr w:leftFromText="180" w:rightFromText="180" w:vertAnchor="text" w:tblpXSpec="center" w:tblpY="1"/>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3623"/>
        <w:gridCol w:w="3470"/>
      </w:tblGrid>
      <w:tr w:rsidR="00C935DF" w:rsidRPr="00A53800" w:rsidTr="004C3B27">
        <w:trPr>
          <w:trHeight w:val="556"/>
        </w:trPr>
        <w:tc>
          <w:tcPr>
            <w:tcW w:w="5637" w:type="dxa"/>
            <w:gridSpan w:val="2"/>
            <w:vAlign w:val="center"/>
          </w:tcPr>
          <w:p w:rsidR="00C935DF" w:rsidRPr="00A53800" w:rsidRDefault="00C935DF" w:rsidP="00D54077">
            <w:pPr>
              <w:snapToGrid w:val="0"/>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基金募集申请获中国证监会</w:t>
            </w:r>
            <w:r w:rsidR="00971704" w:rsidRPr="00A53800">
              <w:rPr>
                <w:rFonts w:asciiTheme="minorEastAsia" w:eastAsiaTheme="minorEastAsia" w:hAnsiTheme="minorEastAsia" w:hint="eastAsia"/>
                <w:color w:val="000000"/>
                <w:sz w:val="24"/>
                <w:szCs w:val="24"/>
              </w:rPr>
              <w:t>准予注册</w:t>
            </w:r>
            <w:r w:rsidRPr="00A53800">
              <w:rPr>
                <w:rFonts w:asciiTheme="minorEastAsia" w:eastAsiaTheme="minorEastAsia" w:hAnsiTheme="minorEastAsia"/>
                <w:color w:val="000000"/>
                <w:sz w:val="24"/>
                <w:szCs w:val="24"/>
              </w:rPr>
              <w:t>的文号</w:t>
            </w:r>
          </w:p>
        </w:tc>
        <w:tc>
          <w:tcPr>
            <w:tcW w:w="3470" w:type="dxa"/>
            <w:vAlign w:val="center"/>
          </w:tcPr>
          <w:p w:rsidR="00C935DF" w:rsidRPr="00A53800" w:rsidRDefault="00142AB7" w:rsidP="00041A7D">
            <w:pPr>
              <w:spacing w:line="288" w:lineRule="auto"/>
              <w:rPr>
                <w:rFonts w:asciiTheme="minorEastAsia" w:eastAsiaTheme="minorEastAsia" w:hAnsiTheme="minorEastAsia"/>
                <w:sz w:val="24"/>
                <w:szCs w:val="24"/>
              </w:rPr>
            </w:pPr>
            <w:r w:rsidRPr="00A53800">
              <w:rPr>
                <w:rFonts w:asciiTheme="minorEastAsia" w:eastAsiaTheme="minorEastAsia" w:hAnsiTheme="minorEastAsia" w:hint="eastAsia"/>
                <w:sz w:val="24"/>
                <w:szCs w:val="24"/>
              </w:rPr>
              <w:t>证监许可【</w:t>
            </w:r>
            <w:r w:rsidR="00DF1952">
              <w:rPr>
                <w:rFonts w:asciiTheme="minorEastAsia" w:eastAsiaTheme="minorEastAsia" w:hAnsiTheme="minorEastAsia"/>
                <w:sz w:val="24"/>
                <w:szCs w:val="24"/>
              </w:rPr>
              <w:t>2020</w:t>
            </w:r>
            <w:r w:rsidRPr="00A53800">
              <w:rPr>
                <w:rFonts w:asciiTheme="minorEastAsia" w:eastAsiaTheme="minorEastAsia" w:hAnsiTheme="minorEastAsia" w:hint="eastAsia"/>
                <w:sz w:val="24"/>
                <w:szCs w:val="24"/>
              </w:rPr>
              <w:t>】</w:t>
            </w:r>
            <w:r w:rsidR="00041A7D">
              <w:rPr>
                <w:rFonts w:asciiTheme="minorEastAsia" w:eastAsiaTheme="minorEastAsia" w:hAnsiTheme="minorEastAsia" w:hint="eastAsia"/>
                <w:sz w:val="24"/>
                <w:szCs w:val="24"/>
              </w:rPr>
              <w:t>2831</w:t>
            </w:r>
            <w:r w:rsidRPr="00A53800">
              <w:rPr>
                <w:rFonts w:asciiTheme="minorEastAsia" w:eastAsiaTheme="minorEastAsia" w:hAnsiTheme="minorEastAsia" w:hint="eastAsia"/>
                <w:sz w:val="24"/>
                <w:szCs w:val="24"/>
              </w:rPr>
              <w:t>号</w:t>
            </w:r>
          </w:p>
        </w:tc>
      </w:tr>
      <w:tr w:rsidR="00C935DF" w:rsidRPr="00A53800" w:rsidTr="004C3B27">
        <w:trPr>
          <w:trHeight w:val="340"/>
        </w:trPr>
        <w:tc>
          <w:tcPr>
            <w:tcW w:w="5637" w:type="dxa"/>
            <w:gridSpan w:val="2"/>
            <w:vAlign w:val="center"/>
          </w:tcPr>
          <w:p w:rsidR="00C935DF" w:rsidRPr="00A53800" w:rsidRDefault="00C935DF"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基金募集期间</w:t>
            </w:r>
          </w:p>
        </w:tc>
        <w:tc>
          <w:tcPr>
            <w:tcW w:w="3470" w:type="dxa"/>
            <w:vAlign w:val="center"/>
          </w:tcPr>
          <w:p w:rsidR="00C935DF" w:rsidRPr="00A53800" w:rsidRDefault="00823135" w:rsidP="00267501">
            <w:pPr>
              <w:spacing w:line="288" w:lineRule="auto"/>
              <w:rPr>
                <w:rFonts w:asciiTheme="minorEastAsia" w:eastAsiaTheme="minorEastAsia" w:hAnsiTheme="minorEastAsia"/>
                <w:sz w:val="24"/>
                <w:szCs w:val="24"/>
              </w:rPr>
            </w:pPr>
            <w:r w:rsidRPr="00823135">
              <w:rPr>
                <w:rFonts w:asciiTheme="minorEastAsia" w:eastAsiaTheme="minorEastAsia" w:hAnsiTheme="minorEastAsia" w:hint="eastAsia"/>
                <w:sz w:val="24"/>
                <w:szCs w:val="24"/>
              </w:rPr>
              <w:t>自2020年</w:t>
            </w:r>
            <w:r w:rsidR="00C7075C">
              <w:rPr>
                <w:rFonts w:asciiTheme="minorEastAsia" w:eastAsiaTheme="minorEastAsia" w:hAnsiTheme="minorEastAsia" w:hint="eastAsia"/>
                <w:sz w:val="24"/>
                <w:szCs w:val="24"/>
              </w:rPr>
              <w:t>1</w:t>
            </w:r>
            <w:r w:rsidR="00400F63">
              <w:rPr>
                <w:rFonts w:asciiTheme="minorEastAsia" w:eastAsiaTheme="minorEastAsia" w:hAnsiTheme="minorEastAsia" w:hint="eastAsia"/>
                <w:sz w:val="24"/>
                <w:szCs w:val="24"/>
              </w:rPr>
              <w:t>2</w:t>
            </w:r>
            <w:r w:rsidR="00DF1952">
              <w:rPr>
                <w:rFonts w:asciiTheme="minorEastAsia" w:eastAsiaTheme="minorEastAsia" w:hAnsiTheme="minorEastAsia" w:hint="eastAsia"/>
                <w:sz w:val="24"/>
                <w:szCs w:val="24"/>
              </w:rPr>
              <w:t>月</w:t>
            </w:r>
            <w:r w:rsidR="00400F63">
              <w:rPr>
                <w:rFonts w:asciiTheme="minorEastAsia" w:eastAsiaTheme="minorEastAsia" w:hAnsiTheme="minorEastAsia" w:hint="eastAsia"/>
                <w:sz w:val="24"/>
                <w:szCs w:val="24"/>
              </w:rPr>
              <w:t>14</w:t>
            </w:r>
            <w:r w:rsidR="00DF1952">
              <w:rPr>
                <w:rFonts w:asciiTheme="minorEastAsia" w:eastAsiaTheme="minorEastAsia" w:hAnsiTheme="minorEastAsia" w:hint="eastAsia"/>
                <w:sz w:val="24"/>
                <w:szCs w:val="24"/>
              </w:rPr>
              <w:t>日</w:t>
            </w:r>
            <w:r w:rsidRPr="00823135">
              <w:rPr>
                <w:rFonts w:asciiTheme="minorEastAsia" w:eastAsiaTheme="minorEastAsia" w:hAnsiTheme="minorEastAsia" w:hint="eastAsia"/>
                <w:sz w:val="24"/>
                <w:szCs w:val="24"/>
              </w:rPr>
              <w:t>至</w:t>
            </w:r>
            <w:r>
              <w:rPr>
                <w:rFonts w:asciiTheme="minorEastAsia" w:eastAsiaTheme="minorEastAsia" w:hAnsiTheme="minorEastAsia" w:hint="eastAsia"/>
                <w:sz w:val="24"/>
                <w:szCs w:val="24"/>
              </w:rPr>
              <w:t>202</w:t>
            </w:r>
            <w:r w:rsidR="00400F63">
              <w:rPr>
                <w:rFonts w:asciiTheme="minorEastAsia" w:eastAsiaTheme="minorEastAsia" w:hAnsiTheme="minorEastAsia" w:hint="eastAsia"/>
                <w:sz w:val="24"/>
                <w:szCs w:val="24"/>
              </w:rPr>
              <w:t>1</w:t>
            </w:r>
            <w:r w:rsidRPr="00823135">
              <w:rPr>
                <w:rFonts w:asciiTheme="minorEastAsia" w:eastAsiaTheme="minorEastAsia" w:hAnsiTheme="minorEastAsia" w:hint="eastAsia"/>
                <w:sz w:val="24"/>
                <w:szCs w:val="24"/>
              </w:rPr>
              <w:t>年</w:t>
            </w:r>
            <w:r w:rsidR="00267501">
              <w:rPr>
                <w:rFonts w:asciiTheme="minorEastAsia" w:eastAsiaTheme="minorEastAsia" w:hAnsiTheme="minorEastAsia" w:hint="eastAsia"/>
                <w:sz w:val="24"/>
                <w:szCs w:val="24"/>
              </w:rPr>
              <w:t>2</w:t>
            </w:r>
            <w:r w:rsidR="00DF1952">
              <w:rPr>
                <w:rFonts w:asciiTheme="minorEastAsia" w:eastAsiaTheme="minorEastAsia" w:hAnsiTheme="minorEastAsia" w:hint="eastAsia"/>
                <w:sz w:val="24"/>
                <w:szCs w:val="24"/>
              </w:rPr>
              <w:t>月</w:t>
            </w:r>
            <w:r w:rsidR="00267501">
              <w:rPr>
                <w:rFonts w:asciiTheme="minorEastAsia" w:eastAsiaTheme="minorEastAsia" w:hAnsiTheme="minorEastAsia" w:hint="eastAsia"/>
                <w:sz w:val="24"/>
                <w:szCs w:val="24"/>
              </w:rPr>
              <w:t>5</w:t>
            </w:r>
            <w:r w:rsidR="00DF1952">
              <w:rPr>
                <w:rFonts w:asciiTheme="minorEastAsia" w:eastAsiaTheme="minorEastAsia" w:hAnsiTheme="minorEastAsia" w:hint="eastAsia"/>
                <w:sz w:val="24"/>
                <w:szCs w:val="24"/>
              </w:rPr>
              <w:t>日</w:t>
            </w:r>
            <w:r w:rsidRPr="00823135">
              <w:rPr>
                <w:rFonts w:asciiTheme="minorEastAsia" w:eastAsiaTheme="minorEastAsia" w:hAnsiTheme="minorEastAsia" w:hint="eastAsia"/>
                <w:sz w:val="24"/>
                <w:szCs w:val="24"/>
              </w:rPr>
              <w:t>止</w:t>
            </w:r>
          </w:p>
        </w:tc>
      </w:tr>
      <w:tr w:rsidR="00C935DF" w:rsidRPr="00A53800" w:rsidTr="004C3B27">
        <w:trPr>
          <w:trHeight w:val="504"/>
        </w:trPr>
        <w:tc>
          <w:tcPr>
            <w:tcW w:w="5637" w:type="dxa"/>
            <w:gridSpan w:val="2"/>
            <w:vAlign w:val="center"/>
          </w:tcPr>
          <w:p w:rsidR="00C935DF" w:rsidRPr="00A53800" w:rsidRDefault="00C935DF"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验资机构名称</w:t>
            </w:r>
          </w:p>
        </w:tc>
        <w:tc>
          <w:tcPr>
            <w:tcW w:w="3470" w:type="dxa"/>
            <w:vAlign w:val="center"/>
          </w:tcPr>
          <w:p w:rsidR="00C935DF" w:rsidRPr="00A53800" w:rsidRDefault="003C7319" w:rsidP="00D54077">
            <w:pPr>
              <w:spacing w:line="288" w:lineRule="auto"/>
              <w:rPr>
                <w:rFonts w:asciiTheme="minorEastAsia" w:eastAsiaTheme="minorEastAsia" w:hAnsiTheme="minorEastAsia"/>
                <w:sz w:val="24"/>
                <w:szCs w:val="24"/>
              </w:rPr>
            </w:pPr>
            <w:r w:rsidRPr="003C7319">
              <w:rPr>
                <w:rFonts w:asciiTheme="minorEastAsia" w:eastAsiaTheme="minorEastAsia" w:hAnsiTheme="minorEastAsia" w:hint="eastAsia"/>
                <w:sz w:val="24"/>
                <w:szCs w:val="24"/>
              </w:rPr>
              <w:t>毕马威华振会计师事务所（特殊普通合伙）</w:t>
            </w:r>
          </w:p>
        </w:tc>
      </w:tr>
      <w:tr w:rsidR="00C935DF" w:rsidRPr="00A53800" w:rsidTr="004C3B27">
        <w:trPr>
          <w:trHeight w:val="340"/>
        </w:trPr>
        <w:tc>
          <w:tcPr>
            <w:tcW w:w="5637" w:type="dxa"/>
            <w:gridSpan w:val="2"/>
            <w:vAlign w:val="center"/>
          </w:tcPr>
          <w:p w:rsidR="00C935DF" w:rsidRPr="00A53800" w:rsidRDefault="00BE2AE5"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募集资金划入基金托管专户的日期</w:t>
            </w:r>
          </w:p>
        </w:tc>
        <w:tc>
          <w:tcPr>
            <w:tcW w:w="3470" w:type="dxa"/>
            <w:vAlign w:val="center"/>
          </w:tcPr>
          <w:p w:rsidR="00F62236" w:rsidRPr="00A53800" w:rsidRDefault="00823135" w:rsidP="001769DC">
            <w:pPr>
              <w:spacing w:line="288" w:lineRule="auto"/>
              <w:rPr>
                <w:rFonts w:asciiTheme="minorEastAsia" w:eastAsiaTheme="minorEastAsia" w:hAnsiTheme="minorEastAsia"/>
                <w:sz w:val="24"/>
                <w:szCs w:val="24"/>
              </w:rPr>
            </w:pPr>
            <w:r>
              <w:rPr>
                <w:rFonts w:asciiTheme="minorEastAsia" w:eastAsiaTheme="minorEastAsia" w:hAnsiTheme="minorEastAsia"/>
                <w:sz w:val="24"/>
                <w:szCs w:val="24"/>
              </w:rPr>
              <w:t>202</w:t>
            </w:r>
            <w:r w:rsidR="00400F63">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w:t>
            </w:r>
            <w:r w:rsidR="00267501">
              <w:rPr>
                <w:rFonts w:asciiTheme="minorEastAsia" w:eastAsiaTheme="minorEastAsia" w:hAnsiTheme="minorEastAsia" w:hint="eastAsia"/>
                <w:sz w:val="24"/>
                <w:szCs w:val="24"/>
              </w:rPr>
              <w:t>2</w:t>
            </w:r>
            <w:r w:rsidR="00DF1952">
              <w:rPr>
                <w:rFonts w:asciiTheme="minorEastAsia" w:eastAsiaTheme="minorEastAsia" w:hAnsiTheme="minorEastAsia" w:hint="eastAsia"/>
                <w:sz w:val="24"/>
                <w:szCs w:val="24"/>
              </w:rPr>
              <w:t>月</w:t>
            </w:r>
            <w:r w:rsidR="001769DC">
              <w:rPr>
                <w:rFonts w:asciiTheme="minorEastAsia" w:eastAsiaTheme="minorEastAsia" w:hAnsiTheme="minorEastAsia" w:hint="eastAsia"/>
                <w:sz w:val="24"/>
                <w:szCs w:val="24"/>
              </w:rPr>
              <w:t>8</w:t>
            </w:r>
            <w:r w:rsidR="00DF1952">
              <w:rPr>
                <w:rFonts w:asciiTheme="minorEastAsia" w:eastAsiaTheme="minorEastAsia" w:hAnsiTheme="minorEastAsia" w:hint="eastAsia"/>
                <w:sz w:val="24"/>
                <w:szCs w:val="24"/>
              </w:rPr>
              <w:t>日</w:t>
            </w:r>
          </w:p>
        </w:tc>
      </w:tr>
      <w:tr w:rsidR="00C935DF" w:rsidRPr="00A53800" w:rsidTr="004C3B27">
        <w:trPr>
          <w:trHeight w:val="340"/>
        </w:trPr>
        <w:tc>
          <w:tcPr>
            <w:tcW w:w="5637" w:type="dxa"/>
            <w:gridSpan w:val="2"/>
            <w:vAlign w:val="center"/>
          </w:tcPr>
          <w:p w:rsidR="00C935DF" w:rsidRPr="00A53800" w:rsidRDefault="00BE2AE5"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募集有效认购总户数（单位：</w:t>
            </w:r>
            <w:r w:rsidRPr="00BC68B5">
              <w:rPr>
                <w:rFonts w:asciiTheme="minorEastAsia" w:eastAsiaTheme="minorEastAsia" w:hAnsiTheme="minorEastAsia" w:hint="eastAsia"/>
                <w:color w:val="000000"/>
                <w:sz w:val="24"/>
                <w:szCs w:val="24"/>
              </w:rPr>
              <w:t>户</w:t>
            </w:r>
            <w:r w:rsidRPr="00A53800">
              <w:rPr>
                <w:rFonts w:asciiTheme="minorEastAsia" w:eastAsiaTheme="minorEastAsia" w:hAnsiTheme="minorEastAsia"/>
                <w:color w:val="000000"/>
                <w:sz w:val="24"/>
                <w:szCs w:val="24"/>
              </w:rPr>
              <w:t>）</w:t>
            </w:r>
          </w:p>
        </w:tc>
        <w:tc>
          <w:tcPr>
            <w:tcW w:w="3470" w:type="dxa"/>
            <w:shd w:val="clear" w:color="auto" w:fill="auto"/>
            <w:vAlign w:val="center"/>
          </w:tcPr>
          <w:p w:rsidR="00C935DF" w:rsidRPr="005E65DA" w:rsidRDefault="00DF6910" w:rsidP="00D5407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227</w:t>
            </w:r>
          </w:p>
        </w:tc>
      </w:tr>
      <w:tr w:rsidR="009D4EAE" w:rsidRPr="00A53800" w:rsidTr="004C3B27">
        <w:trPr>
          <w:trHeight w:val="340"/>
        </w:trPr>
        <w:tc>
          <w:tcPr>
            <w:tcW w:w="5637" w:type="dxa"/>
            <w:gridSpan w:val="2"/>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募集期间净认购金额（单位：</w:t>
            </w:r>
            <w:r>
              <w:rPr>
                <w:rFonts w:asciiTheme="minorEastAsia" w:eastAsiaTheme="minorEastAsia" w:hAnsiTheme="minorEastAsia"/>
                <w:color w:val="000000"/>
                <w:sz w:val="24"/>
                <w:szCs w:val="24"/>
              </w:rPr>
              <w:t>人民币</w:t>
            </w:r>
            <w:r w:rsidRPr="00BC68B5">
              <w:rPr>
                <w:rFonts w:asciiTheme="minorEastAsia" w:eastAsiaTheme="minorEastAsia" w:hAnsiTheme="minorEastAsia" w:hint="eastAsia"/>
                <w:color w:val="000000"/>
                <w:sz w:val="24"/>
                <w:szCs w:val="24"/>
              </w:rPr>
              <w:t>元</w:t>
            </w:r>
            <w:r w:rsidRPr="00A53800">
              <w:rPr>
                <w:rFonts w:asciiTheme="minorEastAsia" w:eastAsiaTheme="minorEastAsia" w:hAnsiTheme="minorEastAsia"/>
                <w:color w:val="000000"/>
                <w:sz w:val="24"/>
                <w:szCs w:val="24"/>
              </w:rPr>
              <w:t>）</w:t>
            </w:r>
          </w:p>
        </w:tc>
        <w:tc>
          <w:tcPr>
            <w:tcW w:w="3470" w:type="dxa"/>
            <w:shd w:val="clear" w:color="auto" w:fill="auto"/>
            <w:vAlign w:val="center"/>
          </w:tcPr>
          <w:p w:rsidR="009D4EAE" w:rsidRPr="009D4EAE" w:rsidRDefault="00DF6910" w:rsidP="00400F63">
            <w:pPr>
              <w:widowControl/>
              <w:spacing w:line="288" w:lineRule="auto"/>
              <w:rPr>
                <w:rFonts w:asciiTheme="minorEastAsia" w:eastAsiaTheme="minorEastAsia" w:hAnsiTheme="minorEastAsia"/>
                <w:color w:val="000000"/>
                <w:sz w:val="24"/>
                <w:szCs w:val="24"/>
              </w:rPr>
            </w:pPr>
            <w:r w:rsidRPr="00DF6910">
              <w:rPr>
                <w:rFonts w:asciiTheme="minorEastAsia" w:eastAsiaTheme="minorEastAsia" w:hAnsiTheme="minorEastAsia"/>
                <w:color w:val="000000"/>
                <w:sz w:val="24"/>
                <w:szCs w:val="24"/>
              </w:rPr>
              <w:t>4,720,075,394.93</w:t>
            </w:r>
          </w:p>
        </w:tc>
      </w:tr>
      <w:tr w:rsidR="009D4EAE" w:rsidRPr="00A53800" w:rsidTr="004C3B27">
        <w:trPr>
          <w:trHeight w:val="340"/>
        </w:trPr>
        <w:tc>
          <w:tcPr>
            <w:tcW w:w="5637" w:type="dxa"/>
            <w:gridSpan w:val="2"/>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lastRenderedPageBreak/>
              <w:t>认购资金在募集期间产生的利息（单位：</w:t>
            </w:r>
            <w:r>
              <w:rPr>
                <w:rFonts w:asciiTheme="minorEastAsia" w:eastAsiaTheme="minorEastAsia" w:hAnsiTheme="minorEastAsia"/>
                <w:color w:val="000000"/>
                <w:sz w:val="24"/>
                <w:szCs w:val="24"/>
              </w:rPr>
              <w:t>人民币</w:t>
            </w:r>
            <w:r w:rsidRPr="00BC68B5">
              <w:rPr>
                <w:rFonts w:asciiTheme="minorEastAsia" w:eastAsiaTheme="minorEastAsia" w:hAnsiTheme="minorEastAsia" w:hint="eastAsia"/>
                <w:color w:val="000000"/>
                <w:sz w:val="24"/>
                <w:szCs w:val="24"/>
              </w:rPr>
              <w:t>元</w:t>
            </w:r>
            <w:r w:rsidRPr="00A53800">
              <w:rPr>
                <w:rFonts w:asciiTheme="minorEastAsia" w:eastAsiaTheme="minorEastAsia" w:hAnsiTheme="minorEastAsia"/>
                <w:color w:val="000000"/>
                <w:sz w:val="24"/>
                <w:szCs w:val="24"/>
              </w:rPr>
              <w:t>）</w:t>
            </w:r>
          </w:p>
        </w:tc>
        <w:tc>
          <w:tcPr>
            <w:tcW w:w="3470" w:type="dxa"/>
            <w:shd w:val="clear" w:color="auto" w:fill="auto"/>
            <w:vAlign w:val="center"/>
          </w:tcPr>
          <w:p w:rsidR="009D4EAE" w:rsidRPr="009D4EAE" w:rsidRDefault="00DF6910" w:rsidP="00D54077">
            <w:pPr>
              <w:widowControl/>
              <w:spacing w:line="288" w:lineRule="auto"/>
              <w:rPr>
                <w:rFonts w:asciiTheme="minorEastAsia" w:eastAsiaTheme="minorEastAsia" w:hAnsiTheme="minorEastAsia"/>
                <w:color w:val="000000"/>
                <w:sz w:val="24"/>
                <w:szCs w:val="24"/>
              </w:rPr>
            </w:pPr>
            <w:r w:rsidRPr="00DF6910">
              <w:rPr>
                <w:rFonts w:asciiTheme="minorEastAsia" w:eastAsiaTheme="minorEastAsia" w:hAnsiTheme="minorEastAsia"/>
                <w:color w:val="000000"/>
                <w:sz w:val="24"/>
                <w:szCs w:val="24"/>
              </w:rPr>
              <w:t>94,125.34</w:t>
            </w:r>
          </w:p>
        </w:tc>
      </w:tr>
      <w:tr w:rsidR="009D4EAE" w:rsidRPr="00A53800" w:rsidTr="004C3B27">
        <w:trPr>
          <w:trHeight w:val="340"/>
        </w:trPr>
        <w:tc>
          <w:tcPr>
            <w:tcW w:w="2014" w:type="dxa"/>
            <w:vMerge w:val="restart"/>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募集份额（单位：</w:t>
            </w:r>
            <w:r w:rsidRPr="00A53800">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有效认购份额</w:t>
            </w:r>
          </w:p>
        </w:tc>
        <w:tc>
          <w:tcPr>
            <w:tcW w:w="3470" w:type="dxa"/>
            <w:shd w:val="clear" w:color="auto" w:fill="auto"/>
            <w:vAlign w:val="center"/>
          </w:tcPr>
          <w:p w:rsidR="009D4EAE" w:rsidRPr="009D4EAE" w:rsidRDefault="00DF6910" w:rsidP="00D54077">
            <w:pPr>
              <w:widowControl/>
              <w:spacing w:line="288" w:lineRule="auto"/>
              <w:rPr>
                <w:rFonts w:asciiTheme="minorEastAsia" w:eastAsiaTheme="minorEastAsia" w:hAnsiTheme="minorEastAsia"/>
                <w:color w:val="000000"/>
                <w:sz w:val="24"/>
                <w:szCs w:val="24"/>
              </w:rPr>
            </w:pPr>
            <w:r w:rsidRPr="00DF6910">
              <w:rPr>
                <w:rFonts w:asciiTheme="minorEastAsia" w:eastAsiaTheme="minorEastAsia" w:hAnsiTheme="minorEastAsia"/>
                <w:color w:val="000000"/>
                <w:sz w:val="24"/>
                <w:szCs w:val="24"/>
              </w:rPr>
              <w:t>4,720,075,394.93</w:t>
            </w:r>
          </w:p>
        </w:tc>
      </w:tr>
      <w:tr w:rsidR="009D4EAE" w:rsidRPr="00A53800" w:rsidTr="004C3B27">
        <w:trPr>
          <w:trHeight w:val="340"/>
        </w:trPr>
        <w:tc>
          <w:tcPr>
            <w:tcW w:w="2014" w:type="dxa"/>
            <w:vMerge/>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利息结转的份额</w:t>
            </w:r>
          </w:p>
        </w:tc>
        <w:tc>
          <w:tcPr>
            <w:tcW w:w="3470" w:type="dxa"/>
            <w:shd w:val="clear" w:color="auto" w:fill="auto"/>
            <w:vAlign w:val="center"/>
          </w:tcPr>
          <w:p w:rsidR="009D4EAE" w:rsidRPr="009D4EAE" w:rsidRDefault="00DF6910" w:rsidP="00400F63">
            <w:pPr>
              <w:widowControl/>
              <w:spacing w:line="288" w:lineRule="auto"/>
              <w:rPr>
                <w:rFonts w:asciiTheme="minorEastAsia" w:eastAsiaTheme="minorEastAsia" w:hAnsiTheme="minorEastAsia"/>
                <w:color w:val="000000"/>
                <w:sz w:val="24"/>
                <w:szCs w:val="24"/>
              </w:rPr>
            </w:pPr>
            <w:r w:rsidRPr="00DF6910">
              <w:rPr>
                <w:rFonts w:asciiTheme="minorEastAsia" w:eastAsiaTheme="minorEastAsia" w:hAnsiTheme="minorEastAsia"/>
                <w:color w:val="000000"/>
                <w:sz w:val="24"/>
                <w:szCs w:val="24"/>
              </w:rPr>
              <w:t>94,125.34</w:t>
            </w:r>
          </w:p>
        </w:tc>
      </w:tr>
      <w:tr w:rsidR="009D4EAE" w:rsidRPr="00A53800" w:rsidTr="004C3B27">
        <w:trPr>
          <w:trHeight w:val="340"/>
        </w:trPr>
        <w:tc>
          <w:tcPr>
            <w:tcW w:w="2014" w:type="dxa"/>
            <w:vMerge/>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合计</w:t>
            </w:r>
          </w:p>
        </w:tc>
        <w:tc>
          <w:tcPr>
            <w:tcW w:w="3470" w:type="dxa"/>
            <w:shd w:val="clear" w:color="auto" w:fill="auto"/>
            <w:vAlign w:val="center"/>
          </w:tcPr>
          <w:p w:rsidR="009D4EAE" w:rsidRPr="009D4EAE" w:rsidRDefault="00DF6910" w:rsidP="00400F63">
            <w:pPr>
              <w:widowControl/>
              <w:spacing w:line="288" w:lineRule="auto"/>
              <w:rPr>
                <w:rFonts w:asciiTheme="minorEastAsia" w:eastAsiaTheme="minorEastAsia" w:hAnsiTheme="minorEastAsia"/>
                <w:sz w:val="24"/>
                <w:szCs w:val="24"/>
              </w:rPr>
            </w:pPr>
            <w:r w:rsidRPr="00DF6910">
              <w:rPr>
                <w:rFonts w:asciiTheme="minorEastAsia" w:eastAsiaTheme="minorEastAsia" w:hAnsiTheme="minorEastAsia"/>
                <w:sz w:val="24"/>
                <w:szCs w:val="24"/>
              </w:rPr>
              <w:t>4,720,169,520.27</w:t>
            </w:r>
          </w:p>
        </w:tc>
      </w:tr>
      <w:tr w:rsidR="009D4EAE" w:rsidRPr="00A53800" w:rsidTr="004C3B27">
        <w:trPr>
          <w:trHeight w:val="340"/>
        </w:trPr>
        <w:tc>
          <w:tcPr>
            <w:tcW w:w="2014" w:type="dxa"/>
            <w:vMerge w:val="restart"/>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其中：募集期间基金管理人运用固有资金认购本基金情况</w:t>
            </w: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认购的基金份额（单位：</w:t>
            </w:r>
            <w:r w:rsidRPr="00BC68B5">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3470" w:type="dxa"/>
            <w:shd w:val="clear" w:color="auto" w:fill="auto"/>
            <w:vAlign w:val="center"/>
          </w:tcPr>
          <w:p w:rsidR="009D4EAE" w:rsidRPr="009D4EAE" w:rsidRDefault="00DF6910" w:rsidP="00D5407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9D4EAE" w:rsidRPr="00A53800" w:rsidTr="004C3B27">
        <w:trPr>
          <w:trHeight w:val="340"/>
        </w:trPr>
        <w:tc>
          <w:tcPr>
            <w:tcW w:w="2014" w:type="dxa"/>
            <w:vMerge/>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3470" w:type="dxa"/>
            <w:shd w:val="clear" w:color="auto" w:fill="auto"/>
            <w:vAlign w:val="center"/>
          </w:tcPr>
          <w:p w:rsidR="009D4EAE" w:rsidRPr="009D4EAE" w:rsidRDefault="00DF6910" w:rsidP="00D5407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9D4EAE" w:rsidRPr="00A53800" w:rsidTr="004C3B27">
        <w:trPr>
          <w:trHeight w:val="340"/>
        </w:trPr>
        <w:tc>
          <w:tcPr>
            <w:tcW w:w="2014" w:type="dxa"/>
            <w:vMerge/>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其他需要说明的事项</w:t>
            </w:r>
          </w:p>
        </w:tc>
        <w:tc>
          <w:tcPr>
            <w:tcW w:w="3470" w:type="dxa"/>
            <w:shd w:val="clear" w:color="auto" w:fill="auto"/>
            <w:vAlign w:val="center"/>
          </w:tcPr>
          <w:p w:rsidR="009D4EAE" w:rsidRPr="009D4EAE" w:rsidRDefault="00DF6910" w:rsidP="00D54077">
            <w:pPr>
              <w:spacing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r>
      <w:tr w:rsidR="009D4EAE" w:rsidRPr="00A53800" w:rsidTr="004C3B27">
        <w:trPr>
          <w:trHeight w:val="340"/>
        </w:trPr>
        <w:tc>
          <w:tcPr>
            <w:tcW w:w="2014" w:type="dxa"/>
            <w:vMerge w:val="restart"/>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其中：募集期间基金管理人的从业人员认购本基金情况</w:t>
            </w: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认购的基金份额（单位：</w:t>
            </w:r>
            <w:r w:rsidRPr="00BC68B5">
              <w:rPr>
                <w:rFonts w:asciiTheme="minorEastAsia" w:eastAsiaTheme="minorEastAsia" w:hAnsiTheme="minorEastAsia" w:hint="eastAsia"/>
                <w:color w:val="000000"/>
                <w:sz w:val="24"/>
                <w:szCs w:val="24"/>
              </w:rPr>
              <w:t>份</w:t>
            </w:r>
            <w:r w:rsidRPr="00A53800">
              <w:rPr>
                <w:rFonts w:asciiTheme="minorEastAsia" w:eastAsiaTheme="minorEastAsia" w:hAnsiTheme="minorEastAsia"/>
                <w:color w:val="000000"/>
                <w:sz w:val="24"/>
                <w:szCs w:val="24"/>
              </w:rPr>
              <w:t>）</w:t>
            </w:r>
          </w:p>
        </w:tc>
        <w:tc>
          <w:tcPr>
            <w:tcW w:w="3470" w:type="dxa"/>
            <w:shd w:val="clear" w:color="auto" w:fill="auto"/>
            <w:vAlign w:val="center"/>
          </w:tcPr>
          <w:p w:rsidR="009D4EAE" w:rsidRPr="009D4EAE" w:rsidRDefault="00DF6910" w:rsidP="00400F63">
            <w:pPr>
              <w:spacing w:line="288" w:lineRule="auto"/>
              <w:rPr>
                <w:rFonts w:asciiTheme="minorEastAsia" w:eastAsiaTheme="minorEastAsia" w:hAnsiTheme="minorEastAsia"/>
                <w:sz w:val="24"/>
                <w:szCs w:val="24"/>
              </w:rPr>
            </w:pPr>
            <w:r w:rsidRPr="00DF6910">
              <w:rPr>
                <w:rFonts w:asciiTheme="minorEastAsia" w:eastAsiaTheme="minorEastAsia" w:hAnsiTheme="minorEastAsia"/>
                <w:sz w:val="24"/>
                <w:szCs w:val="24"/>
              </w:rPr>
              <w:t>4,135.08</w:t>
            </w:r>
          </w:p>
        </w:tc>
      </w:tr>
      <w:tr w:rsidR="009D4EAE" w:rsidRPr="00A53800" w:rsidTr="004C3B27">
        <w:trPr>
          <w:trHeight w:val="505"/>
        </w:trPr>
        <w:tc>
          <w:tcPr>
            <w:tcW w:w="2014" w:type="dxa"/>
            <w:vMerge/>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p>
        </w:tc>
        <w:tc>
          <w:tcPr>
            <w:tcW w:w="3623" w:type="dxa"/>
            <w:vAlign w:val="center"/>
          </w:tcPr>
          <w:p w:rsidR="009D4EAE" w:rsidRPr="00A53800" w:rsidRDefault="009D4EAE" w:rsidP="00896DF2">
            <w:pPr>
              <w:snapToGrid w:val="0"/>
              <w:spacing w:beforeLines="50" w:afterLines="50"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占基金总份额比例</w:t>
            </w:r>
          </w:p>
        </w:tc>
        <w:tc>
          <w:tcPr>
            <w:tcW w:w="3470" w:type="dxa"/>
            <w:shd w:val="clear" w:color="auto" w:fill="auto"/>
            <w:vAlign w:val="center"/>
          </w:tcPr>
          <w:p w:rsidR="009D4EAE" w:rsidRPr="009D4EAE" w:rsidRDefault="00DF6910" w:rsidP="00D54077">
            <w:pPr>
              <w:spacing w:line="288" w:lineRule="auto"/>
              <w:rPr>
                <w:rFonts w:asciiTheme="minorEastAsia" w:eastAsiaTheme="minorEastAsia" w:hAnsiTheme="minorEastAsia"/>
                <w:sz w:val="24"/>
                <w:szCs w:val="24"/>
              </w:rPr>
            </w:pPr>
            <w:r w:rsidRPr="00DF6910">
              <w:rPr>
                <w:rFonts w:asciiTheme="minorEastAsia" w:eastAsiaTheme="minorEastAsia" w:hAnsiTheme="minorEastAsia"/>
                <w:sz w:val="24"/>
                <w:szCs w:val="24"/>
              </w:rPr>
              <w:t>0.0001%</w:t>
            </w:r>
          </w:p>
        </w:tc>
      </w:tr>
      <w:tr w:rsidR="00CB79E4" w:rsidRPr="00A53800" w:rsidTr="004C3B27">
        <w:trPr>
          <w:trHeight w:val="874"/>
        </w:trPr>
        <w:tc>
          <w:tcPr>
            <w:tcW w:w="5637" w:type="dxa"/>
            <w:gridSpan w:val="2"/>
            <w:vAlign w:val="center"/>
          </w:tcPr>
          <w:p w:rsidR="00CB79E4" w:rsidRPr="00A53800" w:rsidRDefault="00CB79E4" w:rsidP="0073613D">
            <w:pPr>
              <w:snapToGrid w:val="0"/>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募集期限届满基金是否符合法律法规规定的办理基金备案手续的条件</w:t>
            </w:r>
          </w:p>
        </w:tc>
        <w:tc>
          <w:tcPr>
            <w:tcW w:w="3470" w:type="dxa"/>
            <w:vAlign w:val="center"/>
          </w:tcPr>
          <w:p w:rsidR="00CB79E4" w:rsidRPr="00A53800" w:rsidRDefault="00CB79E4" w:rsidP="0073613D">
            <w:pPr>
              <w:spacing w:line="288" w:lineRule="auto"/>
              <w:rPr>
                <w:rFonts w:asciiTheme="minorEastAsia" w:eastAsiaTheme="minorEastAsia" w:hAnsiTheme="minorEastAsia" w:cs="宋体"/>
                <w:sz w:val="24"/>
                <w:szCs w:val="24"/>
              </w:rPr>
            </w:pPr>
            <w:r w:rsidRPr="00A53800">
              <w:rPr>
                <w:rFonts w:asciiTheme="minorEastAsia" w:eastAsiaTheme="minorEastAsia" w:hAnsiTheme="minorEastAsia" w:hint="eastAsia"/>
                <w:sz w:val="24"/>
                <w:szCs w:val="24"/>
              </w:rPr>
              <w:t>是</w:t>
            </w:r>
          </w:p>
        </w:tc>
      </w:tr>
      <w:tr w:rsidR="00CB79E4" w:rsidRPr="00A53800" w:rsidTr="004C3B27">
        <w:trPr>
          <w:trHeight w:val="340"/>
        </w:trPr>
        <w:tc>
          <w:tcPr>
            <w:tcW w:w="5637" w:type="dxa"/>
            <w:gridSpan w:val="2"/>
            <w:vAlign w:val="center"/>
          </w:tcPr>
          <w:p w:rsidR="00CB79E4" w:rsidRPr="00A53800" w:rsidRDefault="00CB79E4" w:rsidP="00D54077">
            <w:pPr>
              <w:spacing w:line="288" w:lineRule="auto"/>
              <w:rPr>
                <w:rFonts w:asciiTheme="minorEastAsia" w:eastAsiaTheme="minorEastAsia" w:hAnsiTheme="minorEastAsia"/>
                <w:color w:val="000000"/>
                <w:sz w:val="24"/>
                <w:szCs w:val="24"/>
              </w:rPr>
            </w:pPr>
            <w:r w:rsidRPr="00A53800">
              <w:rPr>
                <w:rFonts w:asciiTheme="minorEastAsia" w:eastAsiaTheme="minorEastAsia" w:hAnsiTheme="minorEastAsia"/>
                <w:color w:val="000000"/>
                <w:sz w:val="24"/>
                <w:szCs w:val="24"/>
              </w:rPr>
              <w:t>向中国证监会办理基金备案手续获得书面确认的日期</w:t>
            </w:r>
          </w:p>
        </w:tc>
        <w:tc>
          <w:tcPr>
            <w:tcW w:w="3470" w:type="dxa"/>
            <w:vAlign w:val="center"/>
          </w:tcPr>
          <w:p w:rsidR="00CB79E4" w:rsidRPr="00A53800" w:rsidRDefault="00566FA3" w:rsidP="009139D2">
            <w:pPr>
              <w:spacing w:line="288" w:lineRule="auto"/>
              <w:rPr>
                <w:rFonts w:asciiTheme="minorEastAsia" w:eastAsiaTheme="minorEastAsia" w:hAnsiTheme="minorEastAsia" w:cs="宋体"/>
                <w:sz w:val="24"/>
                <w:szCs w:val="24"/>
              </w:rPr>
            </w:pPr>
            <w:r>
              <w:rPr>
                <w:rFonts w:eastAsiaTheme="minorEastAsia"/>
                <w:sz w:val="24"/>
                <w:szCs w:val="24"/>
              </w:rPr>
              <w:t>202</w:t>
            </w:r>
            <w:r w:rsidR="004E008A">
              <w:rPr>
                <w:rFonts w:eastAsiaTheme="minorEastAsia" w:hint="eastAsia"/>
                <w:sz w:val="24"/>
                <w:szCs w:val="24"/>
              </w:rPr>
              <w:t>1</w:t>
            </w:r>
            <w:r>
              <w:rPr>
                <w:rFonts w:eastAsiaTheme="minorEastAsia" w:hint="eastAsia"/>
                <w:sz w:val="24"/>
                <w:szCs w:val="24"/>
              </w:rPr>
              <w:t>年</w:t>
            </w:r>
            <w:r w:rsidR="00267501">
              <w:rPr>
                <w:rFonts w:eastAsiaTheme="minorEastAsia" w:hint="eastAsia"/>
                <w:sz w:val="24"/>
                <w:szCs w:val="24"/>
              </w:rPr>
              <w:t>2</w:t>
            </w:r>
            <w:r w:rsidR="00DF1952">
              <w:rPr>
                <w:rFonts w:eastAsiaTheme="minorEastAsia" w:hint="eastAsia"/>
                <w:sz w:val="24"/>
                <w:szCs w:val="24"/>
              </w:rPr>
              <w:t>月</w:t>
            </w:r>
            <w:r w:rsidR="009139D2">
              <w:rPr>
                <w:rFonts w:eastAsiaTheme="minorEastAsia" w:hint="eastAsia"/>
                <w:sz w:val="24"/>
                <w:szCs w:val="24"/>
              </w:rPr>
              <w:t>8</w:t>
            </w:r>
            <w:r w:rsidR="00DF1952">
              <w:rPr>
                <w:rFonts w:eastAsiaTheme="minorEastAsia" w:hint="eastAsia"/>
                <w:sz w:val="24"/>
                <w:szCs w:val="24"/>
              </w:rPr>
              <w:t>日</w:t>
            </w:r>
          </w:p>
        </w:tc>
      </w:tr>
    </w:tbl>
    <w:p w:rsidR="0056691B" w:rsidRPr="00A53800" w:rsidRDefault="004C5152" w:rsidP="00896DF2">
      <w:pPr>
        <w:spacing w:beforeLines="50"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kern w:val="0"/>
          <w:sz w:val="24"/>
          <w:szCs w:val="24"/>
        </w:rPr>
        <w:t>注：</w:t>
      </w:r>
      <w:r w:rsidR="00866ECF" w:rsidRPr="00866ECF">
        <w:rPr>
          <w:rFonts w:asciiTheme="minorEastAsia" w:eastAsiaTheme="minorEastAsia" w:hAnsiTheme="minorEastAsia" w:hint="eastAsia"/>
          <w:kern w:val="0"/>
          <w:sz w:val="24"/>
          <w:szCs w:val="24"/>
        </w:rPr>
        <w:t>1、按照有关法律规定，本基金合同生效前的信息披露费、会计师费、律师费由基金管理人承担，不从基金</w:t>
      </w:r>
      <w:r w:rsidR="00601AAF">
        <w:rPr>
          <w:rFonts w:asciiTheme="minorEastAsia" w:eastAsiaTheme="minorEastAsia" w:hAnsiTheme="minorEastAsia" w:hint="eastAsia"/>
          <w:kern w:val="0"/>
          <w:sz w:val="24"/>
          <w:szCs w:val="24"/>
        </w:rPr>
        <w:t>资产</w:t>
      </w:r>
      <w:r w:rsidR="00866ECF" w:rsidRPr="00866ECF">
        <w:rPr>
          <w:rFonts w:asciiTheme="minorEastAsia" w:eastAsiaTheme="minorEastAsia" w:hAnsiTheme="minorEastAsia" w:hint="eastAsia"/>
          <w:kern w:val="0"/>
          <w:sz w:val="24"/>
          <w:szCs w:val="24"/>
        </w:rPr>
        <w:t>中列</w:t>
      </w:r>
      <w:r w:rsidR="00803335">
        <w:rPr>
          <w:rFonts w:asciiTheme="minorEastAsia" w:eastAsiaTheme="minorEastAsia" w:hAnsiTheme="minorEastAsia" w:hint="eastAsia"/>
          <w:kern w:val="0"/>
          <w:sz w:val="24"/>
          <w:szCs w:val="24"/>
        </w:rPr>
        <w:t>支</w:t>
      </w:r>
      <w:r w:rsidR="00866ECF" w:rsidRPr="00866ECF">
        <w:rPr>
          <w:rFonts w:asciiTheme="minorEastAsia" w:eastAsiaTheme="minorEastAsia" w:hAnsiTheme="minorEastAsia" w:hint="eastAsia"/>
          <w:kern w:val="0"/>
          <w:sz w:val="24"/>
          <w:szCs w:val="24"/>
        </w:rPr>
        <w:t>。</w:t>
      </w:r>
    </w:p>
    <w:p w:rsidR="00DC4FF4" w:rsidRPr="00A53800" w:rsidRDefault="00CC48E4">
      <w:pPr>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kern w:val="0"/>
          <w:sz w:val="24"/>
          <w:szCs w:val="24"/>
        </w:rPr>
        <w:t>2、</w:t>
      </w:r>
      <w:r w:rsidR="00813207" w:rsidRPr="00A53800">
        <w:rPr>
          <w:rFonts w:asciiTheme="minorEastAsia" w:eastAsiaTheme="minorEastAsia" w:hAnsiTheme="minorEastAsia" w:hint="eastAsia"/>
          <w:kern w:val="0"/>
          <w:sz w:val="24"/>
          <w:szCs w:val="24"/>
        </w:rPr>
        <w:t>本基金管理人的高级管理人员、基金投资和研究部门负责人</w:t>
      </w:r>
      <w:r w:rsidR="00A86CC3" w:rsidRPr="00A86CC3">
        <w:rPr>
          <w:rFonts w:asciiTheme="minorEastAsia" w:eastAsiaTheme="minorEastAsia" w:hAnsiTheme="minorEastAsia" w:hint="eastAsia"/>
          <w:kern w:val="0"/>
          <w:sz w:val="24"/>
          <w:szCs w:val="24"/>
        </w:rPr>
        <w:t>持有本基金份额总量的数量区间为</w:t>
      </w:r>
      <w:r w:rsidR="004E008A">
        <w:rPr>
          <w:rFonts w:asciiTheme="minorEastAsia" w:eastAsiaTheme="minorEastAsia" w:hAnsiTheme="minorEastAsia" w:hint="eastAsia"/>
          <w:kern w:val="0"/>
          <w:sz w:val="24"/>
          <w:szCs w:val="24"/>
        </w:rPr>
        <w:t>0</w:t>
      </w:r>
      <w:r w:rsidR="00DE0646">
        <w:rPr>
          <w:rFonts w:asciiTheme="minorEastAsia" w:eastAsiaTheme="minorEastAsia" w:hAnsiTheme="minorEastAsia" w:hint="eastAsia"/>
          <w:kern w:val="0"/>
          <w:sz w:val="24"/>
          <w:szCs w:val="24"/>
        </w:rPr>
        <w:t>-</w:t>
      </w:r>
      <w:r w:rsidR="004E008A">
        <w:rPr>
          <w:rFonts w:asciiTheme="minorEastAsia" w:eastAsiaTheme="minorEastAsia" w:hAnsiTheme="minorEastAsia" w:hint="eastAsia"/>
          <w:kern w:val="0"/>
          <w:sz w:val="24"/>
          <w:szCs w:val="24"/>
        </w:rPr>
        <w:t>10</w:t>
      </w:r>
      <w:r w:rsidR="00C16608">
        <w:rPr>
          <w:rFonts w:asciiTheme="minorEastAsia" w:eastAsiaTheme="minorEastAsia" w:hAnsiTheme="minorEastAsia" w:hint="eastAsia"/>
          <w:kern w:val="0"/>
          <w:sz w:val="24"/>
          <w:szCs w:val="24"/>
        </w:rPr>
        <w:t>万份（含）</w:t>
      </w:r>
      <w:r w:rsidR="00A86CC3">
        <w:rPr>
          <w:rFonts w:asciiTheme="minorEastAsia" w:eastAsiaTheme="minorEastAsia" w:hAnsiTheme="minorEastAsia" w:hint="eastAsia"/>
          <w:kern w:val="0"/>
          <w:sz w:val="24"/>
          <w:szCs w:val="24"/>
        </w:rPr>
        <w:t>；</w:t>
      </w:r>
      <w:r w:rsidR="00813207" w:rsidRPr="00A53800">
        <w:rPr>
          <w:rFonts w:asciiTheme="minorEastAsia" w:eastAsiaTheme="minorEastAsia" w:hAnsiTheme="minorEastAsia" w:hint="eastAsia"/>
          <w:kern w:val="0"/>
          <w:sz w:val="24"/>
          <w:szCs w:val="24"/>
        </w:rPr>
        <w:t>本基金基金经理</w:t>
      </w:r>
      <w:r w:rsidR="004E008A">
        <w:rPr>
          <w:rFonts w:asciiTheme="minorEastAsia" w:eastAsiaTheme="minorEastAsia" w:hAnsiTheme="minorEastAsia" w:hint="eastAsia"/>
          <w:kern w:val="0"/>
          <w:sz w:val="24"/>
          <w:szCs w:val="24"/>
        </w:rPr>
        <w:t>认购</w:t>
      </w:r>
      <w:r w:rsidR="00A86CC3" w:rsidRPr="00A86CC3">
        <w:rPr>
          <w:rFonts w:asciiTheme="minorEastAsia" w:eastAsiaTheme="minorEastAsia" w:hAnsiTheme="minorEastAsia" w:hint="eastAsia"/>
          <w:kern w:val="0"/>
          <w:sz w:val="24"/>
          <w:szCs w:val="24"/>
        </w:rPr>
        <w:t>本基金</w:t>
      </w:r>
      <w:r w:rsidR="004E008A" w:rsidRPr="004E008A">
        <w:rPr>
          <w:rFonts w:asciiTheme="minorEastAsia" w:eastAsiaTheme="minorEastAsia" w:hAnsiTheme="minorEastAsia" w:hint="eastAsia"/>
          <w:kern w:val="0"/>
          <w:sz w:val="24"/>
          <w:szCs w:val="24"/>
        </w:rPr>
        <w:t>份额</w:t>
      </w:r>
      <w:r w:rsidR="003309E6">
        <w:rPr>
          <w:rFonts w:asciiTheme="minorEastAsia" w:eastAsiaTheme="minorEastAsia" w:hAnsiTheme="minorEastAsia" w:hint="eastAsia"/>
          <w:kern w:val="0"/>
          <w:sz w:val="24"/>
          <w:szCs w:val="24"/>
        </w:rPr>
        <w:t>总量的</w:t>
      </w:r>
      <w:r w:rsidR="004E008A" w:rsidRPr="004E008A">
        <w:rPr>
          <w:rFonts w:asciiTheme="minorEastAsia" w:eastAsiaTheme="minorEastAsia" w:hAnsiTheme="minorEastAsia" w:hint="eastAsia"/>
          <w:kern w:val="0"/>
          <w:sz w:val="24"/>
          <w:szCs w:val="24"/>
        </w:rPr>
        <w:t>数量区间为</w:t>
      </w:r>
      <w:r w:rsidR="004E008A">
        <w:rPr>
          <w:rFonts w:asciiTheme="minorEastAsia" w:eastAsiaTheme="minorEastAsia" w:hAnsiTheme="minorEastAsia" w:hint="eastAsia"/>
          <w:kern w:val="0"/>
          <w:sz w:val="24"/>
          <w:szCs w:val="24"/>
        </w:rPr>
        <w:t>0份</w:t>
      </w:r>
      <w:r w:rsidR="001D39D6" w:rsidRPr="00A53800">
        <w:rPr>
          <w:rFonts w:asciiTheme="minorEastAsia" w:eastAsiaTheme="minorEastAsia" w:hAnsiTheme="minorEastAsia" w:hint="eastAsia"/>
          <w:kern w:val="0"/>
          <w:sz w:val="24"/>
          <w:szCs w:val="24"/>
        </w:rPr>
        <w:t>。</w:t>
      </w:r>
    </w:p>
    <w:p w:rsidR="00C935DF" w:rsidRPr="00A53800" w:rsidRDefault="003C0D0A" w:rsidP="007C7EF8">
      <w:pPr>
        <w:pStyle w:val="2"/>
        <w:keepNext w:val="0"/>
        <w:keepLines w:val="0"/>
        <w:spacing w:line="560" w:lineRule="exact"/>
        <w:rPr>
          <w:rFonts w:asciiTheme="minorEastAsia" w:eastAsiaTheme="minorEastAsia" w:hAnsiTheme="minorEastAsia"/>
          <w:bCs w:val="0"/>
          <w:color w:val="000000"/>
          <w:sz w:val="24"/>
          <w:szCs w:val="24"/>
        </w:rPr>
      </w:pPr>
      <w:r w:rsidRPr="00A53800">
        <w:rPr>
          <w:rFonts w:asciiTheme="minorEastAsia" w:eastAsiaTheme="minorEastAsia" w:hAnsiTheme="minorEastAsia" w:hint="eastAsia"/>
          <w:bCs w:val="0"/>
          <w:color w:val="000000"/>
          <w:sz w:val="24"/>
          <w:szCs w:val="24"/>
        </w:rPr>
        <w:t>3</w:t>
      </w:r>
      <w:r w:rsidR="007C7EF8">
        <w:rPr>
          <w:rFonts w:asciiTheme="minorEastAsia" w:eastAsiaTheme="minorEastAsia" w:hAnsiTheme="minorEastAsia" w:hint="eastAsia"/>
          <w:bCs w:val="0"/>
          <w:color w:val="000000"/>
          <w:sz w:val="24"/>
          <w:szCs w:val="24"/>
        </w:rPr>
        <w:t>、</w:t>
      </w:r>
      <w:r w:rsidR="00C935DF" w:rsidRPr="00A53800">
        <w:rPr>
          <w:rFonts w:asciiTheme="minorEastAsia" w:eastAsiaTheme="minorEastAsia" w:hAnsiTheme="minorEastAsia"/>
          <w:bCs w:val="0"/>
          <w:color w:val="000000"/>
          <w:sz w:val="24"/>
          <w:szCs w:val="24"/>
        </w:rPr>
        <w:t>其他需要提示的事项</w:t>
      </w:r>
    </w:p>
    <w:p w:rsidR="009C5969" w:rsidRPr="00A53800" w:rsidRDefault="009C5969" w:rsidP="009C5969">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（1）基金份额持有人可以</w:t>
      </w:r>
      <w:r w:rsidR="00EF53A5" w:rsidRPr="00EF53A5">
        <w:rPr>
          <w:rFonts w:asciiTheme="minorEastAsia" w:eastAsiaTheme="minorEastAsia" w:hAnsiTheme="minorEastAsia" w:hint="eastAsia"/>
          <w:kern w:val="0"/>
          <w:sz w:val="24"/>
          <w:szCs w:val="24"/>
        </w:rPr>
        <w:t>到销售机构网点进行交易确认单查询和打印</w:t>
      </w:r>
      <w:r w:rsidRPr="00A53800">
        <w:rPr>
          <w:rFonts w:asciiTheme="minorEastAsia" w:eastAsiaTheme="minorEastAsia" w:hAnsiTheme="minorEastAsia" w:hint="eastAsia"/>
          <w:kern w:val="0"/>
          <w:sz w:val="24"/>
          <w:szCs w:val="24"/>
        </w:rPr>
        <w:t>，也可以通过本基金管理人的网站（</w:t>
      </w:r>
      <w:r w:rsidR="002E57D7" w:rsidRPr="002E57D7">
        <w:rPr>
          <w:rFonts w:asciiTheme="minorEastAsia" w:eastAsiaTheme="minorEastAsia" w:hAnsiTheme="minorEastAsia"/>
          <w:kern w:val="0"/>
          <w:sz w:val="24"/>
          <w:szCs w:val="24"/>
        </w:rPr>
        <w:t>www.scfund.com.cn</w:t>
      </w:r>
      <w:r w:rsidRPr="00A53800">
        <w:rPr>
          <w:rFonts w:asciiTheme="minorEastAsia" w:eastAsiaTheme="minorEastAsia" w:hAnsiTheme="minorEastAsia" w:hint="eastAsia"/>
          <w:kern w:val="0"/>
          <w:sz w:val="24"/>
          <w:szCs w:val="24"/>
        </w:rPr>
        <w:t>）</w:t>
      </w:r>
      <w:r w:rsidR="0085637E">
        <w:rPr>
          <w:rFonts w:asciiTheme="minorEastAsia" w:eastAsiaTheme="minorEastAsia" w:hAnsiTheme="minorEastAsia" w:hint="eastAsia"/>
          <w:kern w:val="0"/>
          <w:sz w:val="24"/>
          <w:szCs w:val="24"/>
        </w:rPr>
        <w:t>或者拨打</w:t>
      </w:r>
      <w:r w:rsidR="0085637E" w:rsidRPr="0085637E">
        <w:rPr>
          <w:rFonts w:asciiTheme="minorEastAsia" w:eastAsiaTheme="minorEastAsia" w:hAnsiTheme="minorEastAsia" w:hint="eastAsia"/>
          <w:kern w:val="0"/>
          <w:sz w:val="24"/>
          <w:szCs w:val="24"/>
        </w:rPr>
        <w:t>本基金管理人客户服务电话</w:t>
      </w:r>
      <w:r w:rsidR="002E57D7" w:rsidRPr="002E57D7">
        <w:rPr>
          <w:rFonts w:asciiTheme="minorEastAsia" w:eastAsiaTheme="minorEastAsia" w:hAnsiTheme="minorEastAsia"/>
          <w:kern w:val="0"/>
          <w:sz w:val="24"/>
          <w:szCs w:val="24"/>
        </w:rPr>
        <w:t>400-821-0588</w:t>
      </w:r>
      <w:r w:rsidR="0085637E" w:rsidRPr="0085637E">
        <w:rPr>
          <w:rFonts w:asciiTheme="minorEastAsia" w:eastAsiaTheme="minorEastAsia" w:hAnsiTheme="minorEastAsia" w:hint="eastAsia"/>
          <w:kern w:val="0"/>
          <w:sz w:val="24"/>
          <w:szCs w:val="24"/>
        </w:rPr>
        <w:t>（免长途话费）</w:t>
      </w:r>
      <w:r w:rsidRPr="00A53800">
        <w:rPr>
          <w:rFonts w:asciiTheme="minorEastAsia" w:eastAsiaTheme="minorEastAsia" w:hAnsiTheme="minorEastAsia" w:hint="eastAsia"/>
          <w:kern w:val="0"/>
          <w:sz w:val="24"/>
          <w:szCs w:val="24"/>
        </w:rPr>
        <w:t>查询交易确认情况。</w:t>
      </w:r>
    </w:p>
    <w:p w:rsidR="00D753E9" w:rsidRDefault="009C5969" w:rsidP="0052736A">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（2）</w:t>
      </w:r>
      <w:r w:rsidR="00BB3F09" w:rsidRPr="00BB3F09">
        <w:rPr>
          <w:rFonts w:asciiTheme="minorEastAsia" w:eastAsiaTheme="minorEastAsia" w:hAnsiTheme="minorEastAsia" w:hint="eastAsia"/>
          <w:kern w:val="0"/>
          <w:sz w:val="24"/>
          <w:szCs w:val="24"/>
        </w:rPr>
        <w:t>基金份额的封闭期和开放期</w:t>
      </w:r>
    </w:p>
    <w:p w:rsidR="00BB3F09" w:rsidRPr="00BB3F09" w:rsidRDefault="00BB3F09" w:rsidP="00BB3F09">
      <w:pPr>
        <w:widowControl/>
        <w:spacing w:line="360" w:lineRule="auto"/>
        <w:ind w:firstLineChars="200" w:firstLine="480"/>
        <w:rPr>
          <w:rFonts w:asciiTheme="minorEastAsia" w:eastAsiaTheme="minorEastAsia" w:hAnsiTheme="minorEastAsia"/>
          <w:kern w:val="0"/>
          <w:sz w:val="24"/>
          <w:szCs w:val="24"/>
        </w:rPr>
      </w:pPr>
      <w:r w:rsidRPr="00BB3F09">
        <w:rPr>
          <w:rFonts w:asciiTheme="minorEastAsia" w:eastAsiaTheme="minorEastAsia" w:hAnsiTheme="minorEastAsia" w:hint="eastAsia"/>
          <w:kern w:val="0"/>
          <w:sz w:val="24"/>
          <w:szCs w:val="24"/>
        </w:rPr>
        <w:lastRenderedPageBreak/>
        <w:t>本基金第一个封闭期的起始之日为基金合同生效日，结束之日为基金合同生效日所对应的第63个月度对日的前一日。第二个封闭期的起始之日为第一个开放期结束之日次日，结束之日为第二个封闭期起始之日所对应的第63个月度对日的前一日，依此类推。如不存在对应日期或该对应日为非工作日的，则顺延至下一工作日。如果基金份额持有人在当期封闭期到期后的开放期未申请赎回，则自该开放期结束日的次日起该基金份额进入下一个封闭期。本基金在封闭期内不办理申购与赎回业务，也不上市交易。</w:t>
      </w:r>
    </w:p>
    <w:p w:rsidR="00BB3F09" w:rsidRPr="00A53800" w:rsidRDefault="00BB3F09" w:rsidP="00BB3F09">
      <w:pPr>
        <w:widowControl/>
        <w:spacing w:line="360" w:lineRule="auto"/>
        <w:ind w:firstLineChars="200" w:firstLine="480"/>
        <w:rPr>
          <w:rFonts w:asciiTheme="minorEastAsia" w:eastAsiaTheme="minorEastAsia" w:hAnsiTheme="minorEastAsia"/>
          <w:kern w:val="0"/>
          <w:sz w:val="24"/>
          <w:szCs w:val="24"/>
        </w:rPr>
      </w:pPr>
      <w:r w:rsidRPr="00BB3F09">
        <w:rPr>
          <w:rFonts w:asciiTheme="minorEastAsia" w:eastAsiaTheme="minorEastAsia" w:hAnsiTheme="minorEastAsia" w:hint="eastAsia"/>
          <w:kern w:val="0"/>
          <w:sz w:val="24"/>
          <w:szCs w:val="24"/>
        </w:rPr>
        <w:t>本基金自封闭期结束之日的下一个工作日起进入开放期，期间可以办理申购与赎回业务。本基金每个开放期不少于1个工作日且最长不超过20个工作日，开放期的具体时间以基金管理人届时公告为准。如在封闭期结束之后或开放期内发生不可抗力或其他情形致使基金无法按时开放申购与赎回业务的，开放期时间中止计算，在不可抗力或其他情形影响因素消除之日次一工作日起，继续计算该开放期时间，直到满足开放期的时间要求。</w:t>
      </w:r>
    </w:p>
    <w:p w:rsidR="009C5969" w:rsidRPr="00535CBB" w:rsidRDefault="009C5969" w:rsidP="009C5969">
      <w:pPr>
        <w:widowControl/>
        <w:spacing w:line="360" w:lineRule="auto"/>
        <w:ind w:firstLineChars="200" w:firstLine="480"/>
        <w:rPr>
          <w:rFonts w:asciiTheme="minorEastAsia" w:eastAsiaTheme="minorEastAsia" w:hAnsiTheme="minorEastAsia"/>
          <w:kern w:val="0"/>
          <w:sz w:val="24"/>
          <w:szCs w:val="24"/>
        </w:rPr>
      </w:pPr>
    </w:p>
    <w:p w:rsidR="00D753E9" w:rsidRPr="001F28AB" w:rsidRDefault="004C5152" w:rsidP="0073131B">
      <w:pPr>
        <w:spacing w:line="360" w:lineRule="auto"/>
        <w:ind w:firstLineChars="200" w:firstLine="482"/>
        <w:rPr>
          <w:rFonts w:asciiTheme="minorEastAsia" w:eastAsiaTheme="minorEastAsia" w:hAnsiTheme="minorEastAsia"/>
          <w:b/>
          <w:kern w:val="0"/>
          <w:sz w:val="24"/>
          <w:szCs w:val="24"/>
        </w:rPr>
      </w:pPr>
      <w:r w:rsidRPr="001F28AB">
        <w:rPr>
          <w:rFonts w:asciiTheme="minorEastAsia" w:eastAsiaTheme="minorEastAsia" w:hAnsiTheme="minorEastAsia" w:hint="eastAsia"/>
          <w:b/>
          <w:kern w:val="0"/>
          <w:sz w:val="24"/>
          <w:szCs w:val="24"/>
        </w:rPr>
        <w:t>风险提示：</w:t>
      </w:r>
    </w:p>
    <w:p w:rsidR="00D753E9" w:rsidRDefault="00533520" w:rsidP="009C5969">
      <w:pPr>
        <w:widowControl/>
        <w:spacing w:line="360" w:lineRule="auto"/>
        <w:ind w:firstLineChars="200" w:firstLine="480"/>
        <w:rPr>
          <w:rFonts w:asciiTheme="minorEastAsia" w:eastAsiaTheme="minorEastAsia" w:hAnsiTheme="minorEastAsia"/>
          <w:kern w:val="0"/>
          <w:sz w:val="24"/>
          <w:szCs w:val="24"/>
        </w:rPr>
      </w:pPr>
      <w:r w:rsidRPr="00533520">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w:t>
      </w:r>
      <w:r w:rsidR="00D218BE">
        <w:rPr>
          <w:rFonts w:asciiTheme="minorEastAsia" w:eastAsiaTheme="minorEastAsia" w:hAnsiTheme="minorEastAsia" w:hint="eastAsia"/>
          <w:kern w:val="0"/>
          <w:sz w:val="24"/>
          <w:szCs w:val="24"/>
        </w:rPr>
        <w:t>未来</w:t>
      </w:r>
      <w:r w:rsidRPr="00533520">
        <w:rPr>
          <w:rFonts w:asciiTheme="minorEastAsia" w:eastAsiaTheme="minorEastAsia" w:hAnsiTheme="minorEastAsia" w:hint="eastAsia"/>
          <w:kern w:val="0"/>
          <w:sz w:val="24"/>
          <w:szCs w:val="24"/>
        </w:rPr>
        <w:t>表现。投资有风险，敬请投资者认真阅读基金的相关法律文件，了解基金产品的详细情况，选择与自己风险识别能力和风险承受能力相匹配的基金。</w:t>
      </w:r>
    </w:p>
    <w:p w:rsidR="00533520" w:rsidRPr="00A53800" w:rsidRDefault="00533520" w:rsidP="009C5969">
      <w:pPr>
        <w:widowControl/>
        <w:spacing w:line="360" w:lineRule="auto"/>
        <w:ind w:firstLineChars="200" w:firstLine="480"/>
        <w:rPr>
          <w:rFonts w:asciiTheme="minorEastAsia" w:eastAsiaTheme="minorEastAsia" w:hAnsiTheme="minorEastAsia"/>
          <w:kern w:val="0"/>
          <w:sz w:val="24"/>
          <w:szCs w:val="24"/>
        </w:rPr>
      </w:pPr>
    </w:p>
    <w:p w:rsidR="001457F7" w:rsidRDefault="0030037A" w:rsidP="00176ACF">
      <w:pPr>
        <w:widowControl/>
        <w:spacing w:line="360" w:lineRule="auto"/>
        <w:ind w:firstLineChars="200" w:firstLine="480"/>
        <w:rPr>
          <w:rFonts w:asciiTheme="minorEastAsia" w:eastAsiaTheme="minorEastAsia" w:hAnsiTheme="minorEastAsia"/>
          <w:kern w:val="0"/>
          <w:sz w:val="24"/>
          <w:szCs w:val="24"/>
        </w:rPr>
      </w:pPr>
      <w:r w:rsidRPr="00A53800">
        <w:rPr>
          <w:rFonts w:asciiTheme="minorEastAsia" w:eastAsiaTheme="minorEastAsia" w:hAnsiTheme="minorEastAsia" w:hint="eastAsia"/>
          <w:kern w:val="0"/>
          <w:sz w:val="24"/>
          <w:szCs w:val="24"/>
        </w:rPr>
        <w:t>特此公告。</w:t>
      </w:r>
    </w:p>
    <w:p w:rsidR="00533520" w:rsidRDefault="00533520" w:rsidP="00176ACF">
      <w:pPr>
        <w:widowControl/>
        <w:spacing w:line="360" w:lineRule="auto"/>
        <w:ind w:firstLineChars="200" w:firstLine="480"/>
        <w:rPr>
          <w:rFonts w:asciiTheme="minorEastAsia" w:eastAsiaTheme="minorEastAsia" w:hAnsiTheme="minorEastAsia"/>
          <w:kern w:val="0"/>
          <w:sz w:val="24"/>
          <w:szCs w:val="24"/>
        </w:rPr>
      </w:pPr>
    </w:p>
    <w:p w:rsidR="00D218BE" w:rsidRDefault="00D218BE" w:rsidP="00176ACF">
      <w:pPr>
        <w:widowControl/>
        <w:spacing w:line="360" w:lineRule="auto"/>
        <w:ind w:firstLineChars="200" w:firstLine="480"/>
        <w:rPr>
          <w:rFonts w:asciiTheme="minorEastAsia" w:eastAsiaTheme="minorEastAsia" w:hAnsiTheme="minorEastAsia"/>
          <w:kern w:val="0"/>
          <w:sz w:val="24"/>
          <w:szCs w:val="24"/>
        </w:rPr>
      </w:pPr>
    </w:p>
    <w:p w:rsidR="00D218BE" w:rsidRDefault="00D218BE" w:rsidP="00176ACF">
      <w:pPr>
        <w:widowControl/>
        <w:spacing w:line="360" w:lineRule="auto"/>
        <w:ind w:firstLineChars="200" w:firstLine="480"/>
        <w:rPr>
          <w:rFonts w:asciiTheme="minorEastAsia" w:eastAsiaTheme="minorEastAsia" w:hAnsiTheme="minorEastAsia"/>
          <w:kern w:val="0"/>
          <w:sz w:val="24"/>
          <w:szCs w:val="24"/>
        </w:rPr>
      </w:pPr>
    </w:p>
    <w:p w:rsidR="005D6240" w:rsidRDefault="00BD079C" w:rsidP="00483E3E">
      <w:pPr>
        <w:widowControl/>
        <w:spacing w:line="360" w:lineRule="auto"/>
        <w:ind w:firstLineChars="200" w:firstLine="480"/>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东吴基金管理有限公司</w:t>
      </w:r>
    </w:p>
    <w:p w:rsidR="005D6240" w:rsidRPr="00EE338E" w:rsidRDefault="007965BE" w:rsidP="006D4E37">
      <w:pPr>
        <w:widowControl/>
        <w:spacing w:line="360" w:lineRule="auto"/>
        <w:ind w:firstLineChars="200" w:firstLine="480"/>
        <w:jc w:val="right"/>
        <w:rPr>
          <w:rFonts w:asciiTheme="minorEastAsia" w:eastAsiaTheme="minorEastAsia" w:hAnsiTheme="minorEastAsia"/>
          <w:kern w:val="0"/>
          <w:sz w:val="24"/>
          <w:szCs w:val="24"/>
        </w:rPr>
      </w:pPr>
      <w:r w:rsidRPr="001379F4">
        <w:rPr>
          <w:rFonts w:asciiTheme="minorEastAsia" w:eastAsiaTheme="minorEastAsia" w:hAnsiTheme="minorEastAsia" w:hint="eastAsia"/>
          <w:kern w:val="0"/>
          <w:sz w:val="24"/>
          <w:szCs w:val="24"/>
        </w:rPr>
        <w:t>二〇</w:t>
      </w:r>
      <w:r w:rsidR="00566FA3">
        <w:rPr>
          <w:rFonts w:asciiTheme="minorEastAsia" w:eastAsiaTheme="minorEastAsia" w:hAnsiTheme="minorEastAsia" w:hint="eastAsia"/>
          <w:kern w:val="0"/>
          <w:sz w:val="24"/>
          <w:szCs w:val="24"/>
        </w:rPr>
        <w:t>二</w:t>
      </w:r>
      <w:r w:rsidR="00AA694F">
        <w:rPr>
          <w:rFonts w:asciiTheme="minorEastAsia" w:eastAsiaTheme="minorEastAsia" w:hAnsiTheme="minorEastAsia" w:hint="eastAsia"/>
          <w:kern w:val="0"/>
          <w:sz w:val="24"/>
          <w:szCs w:val="24"/>
        </w:rPr>
        <w:t>一</w:t>
      </w:r>
      <w:r w:rsidRPr="001379F4">
        <w:rPr>
          <w:rFonts w:asciiTheme="minorEastAsia" w:eastAsiaTheme="minorEastAsia" w:hAnsiTheme="minorEastAsia" w:hint="eastAsia"/>
          <w:kern w:val="0"/>
          <w:sz w:val="24"/>
          <w:szCs w:val="24"/>
        </w:rPr>
        <w:t>年</w:t>
      </w:r>
      <w:r w:rsidR="00BC3CFB">
        <w:rPr>
          <w:rFonts w:asciiTheme="minorEastAsia" w:eastAsiaTheme="minorEastAsia" w:hAnsiTheme="minorEastAsia" w:hint="eastAsia"/>
          <w:kern w:val="0"/>
          <w:sz w:val="24"/>
          <w:szCs w:val="24"/>
        </w:rPr>
        <w:t>二</w:t>
      </w:r>
      <w:r w:rsidR="00136976">
        <w:rPr>
          <w:rFonts w:asciiTheme="minorEastAsia" w:eastAsiaTheme="minorEastAsia" w:hAnsiTheme="minorEastAsia" w:hint="eastAsia"/>
          <w:kern w:val="0"/>
          <w:sz w:val="24"/>
          <w:szCs w:val="24"/>
        </w:rPr>
        <w:t>月</w:t>
      </w:r>
      <w:r w:rsidR="009139D2">
        <w:rPr>
          <w:rFonts w:asciiTheme="minorEastAsia" w:eastAsiaTheme="minorEastAsia" w:hAnsiTheme="minorEastAsia" w:hint="eastAsia"/>
          <w:kern w:val="0"/>
          <w:sz w:val="24"/>
          <w:szCs w:val="24"/>
        </w:rPr>
        <w:t>九</w:t>
      </w:r>
      <w:r w:rsidR="00136976">
        <w:rPr>
          <w:rFonts w:asciiTheme="minorEastAsia" w:eastAsiaTheme="minorEastAsia" w:hAnsiTheme="minorEastAsia"/>
          <w:kern w:val="0"/>
          <w:sz w:val="24"/>
          <w:szCs w:val="24"/>
        </w:rPr>
        <w:t>日</w:t>
      </w:r>
    </w:p>
    <w:sectPr w:rsidR="005D6240" w:rsidRPr="00EE338E" w:rsidSect="004C05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970" w:rsidRDefault="00220970" w:rsidP="00C935DF">
      <w:r>
        <w:separator/>
      </w:r>
    </w:p>
  </w:endnote>
  <w:endnote w:type="continuationSeparator" w:id="0">
    <w:p w:rsidR="00220970" w:rsidRDefault="00220970" w:rsidP="00C935DF">
      <w:r>
        <w:continuationSeparator/>
      </w:r>
    </w:p>
  </w:endnote>
  <w:endnote w:type="continuationNotice" w:id="1">
    <w:p w:rsidR="00220970" w:rsidRDefault="0022097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72574"/>
      <w:docPartObj>
        <w:docPartGallery w:val="Page Numbers (Bottom of Page)"/>
        <w:docPartUnique/>
      </w:docPartObj>
    </w:sdtPr>
    <w:sdtContent>
      <w:p w:rsidR="00220970" w:rsidRDefault="003F0944" w:rsidP="00C7075C">
        <w:pPr>
          <w:pStyle w:val="a6"/>
          <w:jc w:val="center"/>
        </w:pPr>
        <w:r>
          <w:fldChar w:fldCharType="begin"/>
        </w:r>
        <w:r w:rsidR="00220970">
          <w:instrText>PAGE   \* MERGEFORMAT</w:instrText>
        </w:r>
        <w:r>
          <w:fldChar w:fldCharType="separate"/>
        </w:r>
        <w:r w:rsidR="00896DF2" w:rsidRPr="00896DF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970" w:rsidRDefault="00220970" w:rsidP="00C935DF">
      <w:r>
        <w:separator/>
      </w:r>
    </w:p>
  </w:footnote>
  <w:footnote w:type="continuationSeparator" w:id="0">
    <w:p w:rsidR="00220970" w:rsidRDefault="00220970" w:rsidP="00C935DF">
      <w:r>
        <w:continuationSeparator/>
      </w:r>
    </w:p>
  </w:footnote>
  <w:footnote w:type="continuationNotice" w:id="1">
    <w:p w:rsidR="00220970" w:rsidRDefault="002209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0C19"/>
    <w:multiLevelType w:val="hybridMultilevel"/>
    <w:tmpl w:val="B61866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935DF"/>
    <w:rsid w:val="000116A2"/>
    <w:rsid w:val="00020E3D"/>
    <w:rsid w:val="00022083"/>
    <w:rsid w:val="000228C8"/>
    <w:rsid w:val="0002507E"/>
    <w:rsid w:val="000263A4"/>
    <w:rsid w:val="00027356"/>
    <w:rsid w:val="00027DF0"/>
    <w:rsid w:val="00027DFD"/>
    <w:rsid w:val="00027ECC"/>
    <w:rsid w:val="00032038"/>
    <w:rsid w:val="00032C57"/>
    <w:rsid w:val="000330C4"/>
    <w:rsid w:val="00035BD7"/>
    <w:rsid w:val="00035D00"/>
    <w:rsid w:val="00037A96"/>
    <w:rsid w:val="00040A54"/>
    <w:rsid w:val="00041353"/>
    <w:rsid w:val="00041A7D"/>
    <w:rsid w:val="00043C9F"/>
    <w:rsid w:val="0004636C"/>
    <w:rsid w:val="0004688D"/>
    <w:rsid w:val="00053224"/>
    <w:rsid w:val="0005479A"/>
    <w:rsid w:val="00063472"/>
    <w:rsid w:val="00064A42"/>
    <w:rsid w:val="000657B6"/>
    <w:rsid w:val="000667FA"/>
    <w:rsid w:val="000710DE"/>
    <w:rsid w:val="00074E44"/>
    <w:rsid w:val="00077D6C"/>
    <w:rsid w:val="00077F66"/>
    <w:rsid w:val="000820C0"/>
    <w:rsid w:val="00083E36"/>
    <w:rsid w:val="00087446"/>
    <w:rsid w:val="00090536"/>
    <w:rsid w:val="00090A74"/>
    <w:rsid w:val="000A221B"/>
    <w:rsid w:val="000A3AE9"/>
    <w:rsid w:val="000B5039"/>
    <w:rsid w:val="000B7716"/>
    <w:rsid w:val="000C3C56"/>
    <w:rsid w:val="000C78D8"/>
    <w:rsid w:val="000C7FE0"/>
    <w:rsid w:val="000D0E1C"/>
    <w:rsid w:val="000D209F"/>
    <w:rsid w:val="000D3249"/>
    <w:rsid w:val="000E1829"/>
    <w:rsid w:val="000E6EE9"/>
    <w:rsid w:val="000F1D61"/>
    <w:rsid w:val="00100BE8"/>
    <w:rsid w:val="00102229"/>
    <w:rsid w:val="00102950"/>
    <w:rsid w:val="00107ABA"/>
    <w:rsid w:val="00110C39"/>
    <w:rsid w:val="00115202"/>
    <w:rsid w:val="00120672"/>
    <w:rsid w:val="0012430F"/>
    <w:rsid w:val="00126FB5"/>
    <w:rsid w:val="00131030"/>
    <w:rsid w:val="00131CAD"/>
    <w:rsid w:val="00136976"/>
    <w:rsid w:val="00136AF6"/>
    <w:rsid w:val="001379F4"/>
    <w:rsid w:val="0014079A"/>
    <w:rsid w:val="0014262C"/>
    <w:rsid w:val="00142AB7"/>
    <w:rsid w:val="001457F7"/>
    <w:rsid w:val="00155179"/>
    <w:rsid w:val="0016571B"/>
    <w:rsid w:val="00174C6C"/>
    <w:rsid w:val="001769DC"/>
    <w:rsid w:val="00176ACF"/>
    <w:rsid w:val="0018104F"/>
    <w:rsid w:val="00182710"/>
    <w:rsid w:val="00195976"/>
    <w:rsid w:val="00195C61"/>
    <w:rsid w:val="001A0386"/>
    <w:rsid w:val="001A3C23"/>
    <w:rsid w:val="001A63ED"/>
    <w:rsid w:val="001B0886"/>
    <w:rsid w:val="001B0E0E"/>
    <w:rsid w:val="001B2E62"/>
    <w:rsid w:val="001B676D"/>
    <w:rsid w:val="001C30BB"/>
    <w:rsid w:val="001C437B"/>
    <w:rsid w:val="001C4B49"/>
    <w:rsid w:val="001C51A0"/>
    <w:rsid w:val="001C5EB7"/>
    <w:rsid w:val="001D1106"/>
    <w:rsid w:val="001D1942"/>
    <w:rsid w:val="001D3511"/>
    <w:rsid w:val="001D39D6"/>
    <w:rsid w:val="001D40B9"/>
    <w:rsid w:val="001D4E91"/>
    <w:rsid w:val="001E1459"/>
    <w:rsid w:val="001E44EF"/>
    <w:rsid w:val="001E4736"/>
    <w:rsid w:val="001E56A6"/>
    <w:rsid w:val="001E71BC"/>
    <w:rsid w:val="001E774E"/>
    <w:rsid w:val="001F09F4"/>
    <w:rsid w:val="001F28AB"/>
    <w:rsid w:val="00220970"/>
    <w:rsid w:val="00221F2C"/>
    <w:rsid w:val="00224161"/>
    <w:rsid w:val="00227191"/>
    <w:rsid w:val="00235DA6"/>
    <w:rsid w:val="00237DCA"/>
    <w:rsid w:val="00240036"/>
    <w:rsid w:val="002464A6"/>
    <w:rsid w:val="00246F51"/>
    <w:rsid w:val="00247C42"/>
    <w:rsid w:val="00251199"/>
    <w:rsid w:val="0025568C"/>
    <w:rsid w:val="00261007"/>
    <w:rsid w:val="0026382B"/>
    <w:rsid w:val="00267501"/>
    <w:rsid w:val="002708B9"/>
    <w:rsid w:val="00275D2A"/>
    <w:rsid w:val="00281608"/>
    <w:rsid w:val="00284EC5"/>
    <w:rsid w:val="00292AC7"/>
    <w:rsid w:val="0029332C"/>
    <w:rsid w:val="0029360C"/>
    <w:rsid w:val="00295F22"/>
    <w:rsid w:val="002A0E28"/>
    <w:rsid w:val="002A2812"/>
    <w:rsid w:val="002A57CA"/>
    <w:rsid w:val="002B287A"/>
    <w:rsid w:val="002B3E66"/>
    <w:rsid w:val="002B4F0F"/>
    <w:rsid w:val="002B551A"/>
    <w:rsid w:val="002C03F5"/>
    <w:rsid w:val="002C1686"/>
    <w:rsid w:val="002C3BE7"/>
    <w:rsid w:val="002C5B2A"/>
    <w:rsid w:val="002D0DB5"/>
    <w:rsid w:val="002D7461"/>
    <w:rsid w:val="002E18ED"/>
    <w:rsid w:val="002E57D7"/>
    <w:rsid w:val="002F5FD9"/>
    <w:rsid w:val="002F60A6"/>
    <w:rsid w:val="003000C2"/>
    <w:rsid w:val="0030037A"/>
    <w:rsid w:val="003034F7"/>
    <w:rsid w:val="00306E2A"/>
    <w:rsid w:val="003173D2"/>
    <w:rsid w:val="0032038F"/>
    <w:rsid w:val="00330845"/>
    <w:rsid w:val="003309E6"/>
    <w:rsid w:val="00332F2C"/>
    <w:rsid w:val="00335958"/>
    <w:rsid w:val="00336811"/>
    <w:rsid w:val="003400F0"/>
    <w:rsid w:val="00345E41"/>
    <w:rsid w:val="00346C39"/>
    <w:rsid w:val="00351BC4"/>
    <w:rsid w:val="003545E4"/>
    <w:rsid w:val="00355193"/>
    <w:rsid w:val="00361B89"/>
    <w:rsid w:val="003675D8"/>
    <w:rsid w:val="00370AB5"/>
    <w:rsid w:val="00370FA3"/>
    <w:rsid w:val="0037415C"/>
    <w:rsid w:val="003752C8"/>
    <w:rsid w:val="003770DB"/>
    <w:rsid w:val="00382F23"/>
    <w:rsid w:val="00390E48"/>
    <w:rsid w:val="00391516"/>
    <w:rsid w:val="00392AD3"/>
    <w:rsid w:val="00394D7E"/>
    <w:rsid w:val="00395A7F"/>
    <w:rsid w:val="00396C7B"/>
    <w:rsid w:val="003A0766"/>
    <w:rsid w:val="003A0EF8"/>
    <w:rsid w:val="003A66ED"/>
    <w:rsid w:val="003A7935"/>
    <w:rsid w:val="003B2623"/>
    <w:rsid w:val="003C0D0A"/>
    <w:rsid w:val="003C1CBE"/>
    <w:rsid w:val="003C4D25"/>
    <w:rsid w:val="003C5F43"/>
    <w:rsid w:val="003C7319"/>
    <w:rsid w:val="003D01EE"/>
    <w:rsid w:val="003D0993"/>
    <w:rsid w:val="003D3081"/>
    <w:rsid w:val="003D7327"/>
    <w:rsid w:val="003D79E3"/>
    <w:rsid w:val="003F0944"/>
    <w:rsid w:val="003F1143"/>
    <w:rsid w:val="003F5161"/>
    <w:rsid w:val="003F62E0"/>
    <w:rsid w:val="003F78B4"/>
    <w:rsid w:val="00400F63"/>
    <w:rsid w:val="004013B2"/>
    <w:rsid w:val="00402D75"/>
    <w:rsid w:val="00413F7A"/>
    <w:rsid w:val="00430907"/>
    <w:rsid w:val="00433603"/>
    <w:rsid w:val="0044222E"/>
    <w:rsid w:val="00443C52"/>
    <w:rsid w:val="004449D1"/>
    <w:rsid w:val="00457F15"/>
    <w:rsid w:val="004669F8"/>
    <w:rsid w:val="00467A98"/>
    <w:rsid w:val="004701C0"/>
    <w:rsid w:val="00470D71"/>
    <w:rsid w:val="00471C46"/>
    <w:rsid w:val="004728BC"/>
    <w:rsid w:val="0048169F"/>
    <w:rsid w:val="00483E3E"/>
    <w:rsid w:val="00483EB4"/>
    <w:rsid w:val="0049139B"/>
    <w:rsid w:val="004966BA"/>
    <w:rsid w:val="00497ACF"/>
    <w:rsid w:val="004A074A"/>
    <w:rsid w:val="004A1F75"/>
    <w:rsid w:val="004A631B"/>
    <w:rsid w:val="004B6B00"/>
    <w:rsid w:val="004B7409"/>
    <w:rsid w:val="004C055C"/>
    <w:rsid w:val="004C3B27"/>
    <w:rsid w:val="004C5152"/>
    <w:rsid w:val="004D2D61"/>
    <w:rsid w:val="004D40F4"/>
    <w:rsid w:val="004D6CE8"/>
    <w:rsid w:val="004D7EA3"/>
    <w:rsid w:val="004E008A"/>
    <w:rsid w:val="004E5BA6"/>
    <w:rsid w:val="004F692B"/>
    <w:rsid w:val="005012DD"/>
    <w:rsid w:val="005025FA"/>
    <w:rsid w:val="00515385"/>
    <w:rsid w:val="005206E0"/>
    <w:rsid w:val="00522FF9"/>
    <w:rsid w:val="0052736A"/>
    <w:rsid w:val="00532682"/>
    <w:rsid w:val="00533520"/>
    <w:rsid w:val="00535CBB"/>
    <w:rsid w:val="0054292E"/>
    <w:rsid w:val="005434E3"/>
    <w:rsid w:val="00551804"/>
    <w:rsid w:val="00553FA4"/>
    <w:rsid w:val="00561DFB"/>
    <w:rsid w:val="005654B6"/>
    <w:rsid w:val="00565CBB"/>
    <w:rsid w:val="0056691B"/>
    <w:rsid w:val="00566FA3"/>
    <w:rsid w:val="00575394"/>
    <w:rsid w:val="0057718F"/>
    <w:rsid w:val="00582351"/>
    <w:rsid w:val="00585268"/>
    <w:rsid w:val="00585A2E"/>
    <w:rsid w:val="00586226"/>
    <w:rsid w:val="005969F3"/>
    <w:rsid w:val="005A2FB3"/>
    <w:rsid w:val="005A3291"/>
    <w:rsid w:val="005B0474"/>
    <w:rsid w:val="005B6278"/>
    <w:rsid w:val="005B66AC"/>
    <w:rsid w:val="005C0B8D"/>
    <w:rsid w:val="005C1B44"/>
    <w:rsid w:val="005C6E52"/>
    <w:rsid w:val="005D151F"/>
    <w:rsid w:val="005D56E7"/>
    <w:rsid w:val="005D5CAA"/>
    <w:rsid w:val="005D6240"/>
    <w:rsid w:val="005D6260"/>
    <w:rsid w:val="005D78BE"/>
    <w:rsid w:val="005E0049"/>
    <w:rsid w:val="005E2B74"/>
    <w:rsid w:val="005E65DA"/>
    <w:rsid w:val="005F0D33"/>
    <w:rsid w:val="005F796C"/>
    <w:rsid w:val="006005A3"/>
    <w:rsid w:val="00601AAF"/>
    <w:rsid w:val="00601BF3"/>
    <w:rsid w:val="0061340E"/>
    <w:rsid w:val="00613952"/>
    <w:rsid w:val="00615513"/>
    <w:rsid w:val="0061553F"/>
    <w:rsid w:val="0061685F"/>
    <w:rsid w:val="006205E6"/>
    <w:rsid w:val="00623C2A"/>
    <w:rsid w:val="00623D12"/>
    <w:rsid w:val="00626BA1"/>
    <w:rsid w:val="00634C46"/>
    <w:rsid w:val="00634D25"/>
    <w:rsid w:val="00635330"/>
    <w:rsid w:val="00636D84"/>
    <w:rsid w:val="00644D89"/>
    <w:rsid w:val="0064584D"/>
    <w:rsid w:val="00650EC0"/>
    <w:rsid w:val="006514E8"/>
    <w:rsid w:val="006610C6"/>
    <w:rsid w:val="006632DE"/>
    <w:rsid w:val="006706C5"/>
    <w:rsid w:val="00671E52"/>
    <w:rsid w:val="00673A08"/>
    <w:rsid w:val="00684AA9"/>
    <w:rsid w:val="0068544A"/>
    <w:rsid w:val="006900FF"/>
    <w:rsid w:val="006A243F"/>
    <w:rsid w:val="006B402C"/>
    <w:rsid w:val="006B6CCA"/>
    <w:rsid w:val="006C4A70"/>
    <w:rsid w:val="006C5B33"/>
    <w:rsid w:val="006D4E37"/>
    <w:rsid w:val="006D56EA"/>
    <w:rsid w:val="006D59B4"/>
    <w:rsid w:val="006D640D"/>
    <w:rsid w:val="006D67CD"/>
    <w:rsid w:val="006D7B06"/>
    <w:rsid w:val="006E0338"/>
    <w:rsid w:val="006E5C65"/>
    <w:rsid w:val="006E6A56"/>
    <w:rsid w:val="006E6BB0"/>
    <w:rsid w:val="006F1684"/>
    <w:rsid w:val="006F1C50"/>
    <w:rsid w:val="006F2656"/>
    <w:rsid w:val="006F2728"/>
    <w:rsid w:val="007013D7"/>
    <w:rsid w:val="007045C4"/>
    <w:rsid w:val="00707702"/>
    <w:rsid w:val="007161E4"/>
    <w:rsid w:val="00717E45"/>
    <w:rsid w:val="00721018"/>
    <w:rsid w:val="00721271"/>
    <w:rsid w:val="007230FA"/>
    <w:rsid w:val="00725429"/>
    <w:rsid w:val="00730EC9"/>
    <w:rsid w:val="0073131B"/>
    <w:rsid w:val="00732355"/>
    <w:rsid w:val="0073613D"/>
    <w:rsid w:val="007365BA"/>
    <w:rsid w:val="00736C4C"/>
    <w:rsid w:val="007421AC"/>
    <w:rsid w:val="0074360D"/>
    <w:rsid w:val="007670F3"/>
    <w:rsid w:val="0076782E"/>
    <w:rsid w:val="00771F3C"/>
    <w:rsid w:val="0077463D"/>
    <w:rsid w:val="00786908"/>
    <w:rsid w:val="00790BC2"/>
    <w:rsid w:val="00794B74"/>
    <w:rsid w:val="007965BE"/>
    <w:rsid w:val="00796A19"/>
    <w:rsid w:val="007A0B50"/>
    <w:rsid w:val="007A1FBA"/>
    <w:rsid w:val="007A52FA"/>
    <w:rsid w:val="007A6461"/>
    <w:rsid w:val="007B1304"/>
    <w:rsid w:val="007B2794"/>
    <w:rsid w:val="007C24C0"/>
    <w:rsid w:val="007C35BD"/>
    <w:rsid w:val="007C3667"/>
    <w:rsid w:val="007C7EF8"/>
    <w:rsid w:val="007D3D90"/>
    <w:rsid w:val="007D4091"/>
    <w:rsid w:val="007E1C15"/>
    <w:rsid w:val="007E5D05"/>
    <w:rsid w:val="007F03A8"/>
    <w:rsid w:val="007F111F"/>
    <w:rsid w:val="007F4376"/>
    <w:rsid w:val="00802100"/>
    <w:rsid w:val="00803335"/>
    <w:rsid w:val="008066EF"/>
    <w:rsid w:val="0080709E"/>
    <w:rsid w:val="00813207"/>
    <w:rsid w:val="00814191"/>
    <w:rsid w:val="008150A5"/>
    <w:rsid w:val="00823135"/>
    <w:rsid w:val="00832507"/>
    <w:rsid w:val="008359A1"/>
    <w:rsid w:val="00841B8D"/>
    <w:rsid w:val="0084455A"/>
    <w:rsid w:val="008551C9"/>
    <w:rsid w:val="0085637E"/>
    <w:rsid w:val="00865588"/>
    <w:rsid w:val="008660BD"/>
    <w:rsid w:val="00866ECF"/>
    <w:rsid w:val="00871BA0"/>
    <w:rsid w:val="00873914"/>
    <w:rsid w:val="00874327"/>
    <w:rsid w:val="008754FF"/>
    <w:rsid w:val="00876523"/>
    <w:rsid w:val="00880AEA"/>
    <w:rsid w:val="00884CC9"/>
    <w:rsid w:val="008859E9"/>
    <w:rsid w:val="00891639"/>
    <w:rsid w:val="00894643"/>
    <w:rsid w:val="008956FE"/>
    <w:rsid w:val="00896DF2"/>
    <w:rsid w:val="008A2893"/>
    <w:rsid w:val="008B38D3"/>
    <w:rsid w:val="008C6FD7"/>
    <w:rsid w:val="008D1678"/>
    <w:rsid w:val="008E08B3"/>
    <w:rsid w:val="008E0A83"/>
    <w:rsid w:val="008E15D6"/>
    <w:rsid w:val="008E52F3"/>
    <w:rsid w:val="008F28E5"/>
    <w:rsid w:val="008F2920"/>
    <w:rsid w:val="008F49F4"/>
    <w:rsid w:val="00900CE4"/>
    <w:rsid w:val="00904108"/>
    <w:rsid w:val="009134B6"/>
    <w:rsid w:val="009139D2"/>
    <w:rsid w:val="00913F0A"/>
    <w:rsid w:val="009157BD"/>
    <w:rsid w:val="00920232"/>
    <w:rsid w:val="00926DCE"/>
    <w:rsid w:val="009314CD"/>
    <w:rsid w:val="00931B1F"/>
    <w:rsid w:val="0093293C"/>
    <w:rsid w:val="00936738"/>
    <w:rsid w:val="009371A9"/>
    <w:rsid w:val="00943D25"/>
    <w:rsid w:val="00944CBC"/>
    <w:rsid w:val="0094692C"/>
    <w:rsid w:val="009506C9"/>
    <w:rsid w:val="0095670E"/>
    <w:rsid w:val="009575F9"/>
    <w:rsid w:val="00964E42"/>
    <w:rsid w:val="00965098"/>
    <w:rsid w:val="009666C0"/>
    <w:rsid w:val="00971704"/>
    <w:rsid w:val="00984D12"/>
    <w:rsid w:val="00987EE3"/>
    <w:rsid w:val="00990CDE"/>
    <w:rsid w:val="00991070"/>
    <w:rsid w:val="009965C2"/>
    <w:rsid w:val="009A5815"/>
    <w:rsid w:val="009A5A15"/>
    <w:rsid w:val="009A6AC1"/>
    <w:rsid w:val="009B3A73"/>
    <w:rsid w:val="009B78B6"/>
    <w:rsid w:val="009B7BB3"/>
    <w:rsid w:val="009C4419"/>
    <w:rsid w:val="009C5969"/>
    <w:rsid w:val="009C5EBC"/>
    <w:rsid w:val="009D2C24"/>
    <w:rsid w:val="009D3F58"/>
    <w:rsid w:val="009D4EAE"/>
    <w:rsid w:val="009E1BD9"/>
    <w:rsid w:val="009E2EAE"/>
    <w:rsid w:val="009F0A11"/>
    <w:rsid w:val="009F3240"/>
    <w:rsid w:val="009F4198"/>
    <w:rsid w:val="009F6591"/>
    <w:rsid w:val="009F7478"/>
    <w:rsid w:val="00A0306D"/>
    <w:rsid w:val="00A11CBA"/>
    <w:rsid w:val="00A131AA"/>
    <w:rsid w:val="00A13CDF"/>
    <w:rsid w:val="00A14E53"/>
    <w:rsid w:val="00A170DB"/>
    <w:rsid w:val="00A213DC"/>
    <w:rsid w:val="00A22DEF"/>
    <w:rsid w:val="00A22FC0"/>
    <w:rsid w:val="00A303BB"/>
    <w:rsid w:val="00A307CC"/>
    <w:rsid w:val="00A44BD2"/>
    <w:rsid w:val="00A46B55"/>
    <w:rsid w:val="00A52802"/>
    <w:rsid w:val="00A53800"/>
    <w:rsid w:val="00A61873"/>
    <w:rsid w:val="00A669FB"/>
    <w:rsid w:val="00A66B74"/>
    <w:rsid w:val="00A72767"/>
    <w:rsid w:val="00A74AFB"/>
    <w:rsid w:val="00A82B47"/>
    <w:rsid w:val="00A86CC3"/>
    <w:rsid w:val="00A92B73"/>
    <w:rsid w:val="00A97A11"/>
    <w:rsid w:val="00AA1205"/>
    <w:rsid w:val="00AA694F"/>
    <w:rsid w:val="00AA7946"/>
    <w:rsid w:val="00AB011F"/>
    <w:rsid w:val="00AB076D"/>
    <w:rsid w:val="00AB494D"/>
    <w:rsid w:val="00AB5203"/>
    <w:rsid w:val="00AC3E86"/>
    <w:rsid w:val="00AD5E3C"/>
    <w:rsid w:val="00AE54B5"/>
    <w:rsid w:val="00AF083A"/>
    <w:rsid w:val="00AF0B13"/>
    <w:rsid w:val="00AF11D0"/>
    <w:rsid w:val="00AF5A33"/>
    <w:rsid w:val="00B002E7"/>
    <w:rsid w:val="00B068C7"/>
    <w:rsid w:val="00B07F6C"/>
    <w:rsid w:val="00B10C79"/>
    <w:rsid w:val="00B11554"/>
    <w:rsid w:val="00B11615"/>
    <w:rsid w:val="00B153D3"/>
    <w:rsid w:val="00B207E2"/>
    <w:rsid w:val="00B20E1E"/>
    <w:rsid w:val="00B2144B"/>
    <w:rsid w:val="00B21E1B"/>
    <w:rsid w:val="00B22B34"/>
    <w:rsid w:val="00B22FA8"/>
    <w:rsid w:val="00B25004"/>
    <w:rsid w:val="00B2600F"/>
    <w:rsid w:val="00B35D39"/>
    <w:rsid w:val="00B406BB"/>
    <w:rsid w:val="00B447CB"/>
    <w:rsid w:val="00B5043C"/>
    <w:rsid w:val="00B536F8"/>
    <w:rsid w:val="00B53A7A"/>
    <w:rsid w:val="00B547E0"/>
    <w:rsid w:val="00B54E88"/>
    <w:rsid w:val="00B55909"/>
    <w:rsid w:val="00B561FF"/>
    <w:rsid w:val="00B61EDA"/>
    <w:rsid w:val="00B64DD9"/>
    <w:rsid w:val="00B666DB"/>
    <w:rsid w:val="00B772FA"/>
    <w:rsid w:val="00B77F4F"/>
    <w:rsid w:val="00B81A88"/>
    <w:rsid w:val="00B82298"/>
    <w:rsid w:val="00B82A89"/>
    <w:rsid w:val="00B90602"/>
    <w:rsid w:val="00B907B2"/>
    <w:rsid w:val="00B916FE"/>
    <w:rsid w:val="00B91711"/>
    <w:rsid w:val="00BA79D5"/>
    <w:rsid w:val="00BB2BAF"/>
    <w:rsid w:val="00BB3F09"/>
    <w:rsid w:val="00BB4B60"/>
    <w:rsid w:val="00BB7E8A"/>
    <w:rsid w:val="00BC2C6B"/>
    <w:rsid w:val="00BC3CFB"/>
    <w:rsid w:val="00BC53C2"/>
    <w:rsid w:val="00BC68B5"/>
    <w:rsid w:val="00BD079C"/>
    <w:rsid w:val="00BD260A"/>
    <w:rsid w:val="00BD2A37"/>
    <w:rsid w:val="00BD346A"/>
    <w:rsid w:val="00BD5345"/>
    <w:rsid w:val="00BD7EFA"/>
    <w:rsid w:val="00BE2AE5"/>
    <w:rsid w:val="00BE542E"/>
    <w:rsid w:val="00BE6F95"/>
    <w:rsid w:val="00C00536"/>
    <w:rsid w:val="00C06262"/>
    <w:rsid w:val="00C072D6"/>
    <w:rsid w:val="00C1325E"/>
    <w:rsid w:val="00C1591D"/>
    <w:rsid w:val="00C16608"/>
    <w:rsid w:val="00C26D76"/>
    <w:rsid w:val="00C30E6A"/>
    <w:rsid w:val="00C35D35"/>
    <w:rsid w:val="00C40FE0"/>
    <w:rsid w:val="00C45C86"/>
    <w:rsid w:val="00C471DC"/>
    <w:rsid w:val="00C5233D"/>
    <w:rsid w:val="00C54B10"/>
    <w:rsid w:val="00C63E6D"/>
    <w:rsid w:val="00C65D47"/>
    <w:rsid w:val="00C66FCB"/>
    <w:rsid w:val="00C67B99"/>
    <w:rsid w:val="00C7075C"/>
    <w:rsid w:val="00C81A3A"/>
    <w:rsid w:val="00C83661"/>
    <w:rsid w:val="00C85D18"/>
    <w:rsid w:val="00C935DF"/>
    <w:rsid w:val="00C9585B"/>
    <w:rsid w:val="00CA4D70"/>
    <w:rsid w:val="00CA5FC5"/>
    <w:rsid w:val="00CA7356"/>
    <w:rsid w:val="00CB03BE"/>
    <w:rsid w:val="00CB0572"/>
    <w:rsid w:val="00CB3E1F"/>
    <w:rsid w:val="00CB4961"/>
    <w:rsid w:val="00CB583A"/>
    <w:rsid w:val="00CB6E9B"/>
    <w:rsid w:val="00CB79E4"/>
    <w:rsid w:val="00CC1F9B"/>
    <w:rsid w:val="00CC2F62"/>
    <w:rsid w:val="00CC48E4"/>
    <w:rsid w:val="00CC4954"/>
    <w:rsid w:val="00CC5943"/>
    <w:rsid w:val="00CD118A"/>
    <w:rsid w:val="00CD4DE1"/>
    <w:rsid w:val="00CD6CA8"/>
    <w:rsid w:val="00CE49D0"/>
    <w:rsid w:val="00CE701E"/>
    <w:rsid w:val="00CF2BBC"/>
    <w:rsid w:val="00CF3173"/>
    <w:rsid w:val="00CF4EC2"/>
    <w:rsid w:val="00D04580"/>
    <w:rsid w:val="00D05058"/>
    <w:rsid w:val="00D063DE"/>
    <w:rsid w:val="00D15C76"/>
    <w:rsid w:val="00D218BE"/>
    <w:rsid w:val="00D2435B"/>
    <w:rsid w:val="00D311AB"/>
    <w:rsid w:val="00D327FB"/>
    <w:rsid w:val="00D339BD"/>
    <w:rsid w:val="00D34F47"/>
    <w:rsid w:val="00D35283"/>
    <w:rsid w:val="00D37370"/>
    <w:rsid w:val="00D517E1"/>
    <w:rsid w:val="00D52E9E"/>
    <w:rsid w:val="00D54077"/>
    <w:rsid w:val="00D5419C"/>
    <w:rsid w:val="00D57F49"/>
    <w:rsid w:val="00D6077A"/>
    <w:rsid w:val="00D636E1"/>
    <w:rsid w:val="00D6648B"/>
    <w:rsid w:val="00D710AA"/>
    <w:rsid w:val="00D753E9"/>
    <w:rsid w:val="00D87CD4"/>
    <w:rsid w:val="00D90D07"/>
    <w:rsid w:val="00D921BA"/>
    <w:rsid w:val="00D9240D"/>
    <w:rsid w:val="00D95377"/>
    <w:rsid w:val="00DA4A51"/>
    <w:rsid w:val="00DA77B6"/>
    <w:rsid w:val="00DA7F43"/>
    <w:rsid w:val="00DB1342"/>
    <w:rsid w:val="00DB2A12"/>
    <w:rsid w:val="00DB3A6A"/>
    <w:rsid w:val="00DB439F"/>
    <w:rsid w:val="00DC16BE"/>
    <w:rsid w:val="00DC4FF4"/>
    <w:rsid w:val="00DD014D"/>
    <w:rsid w:val="00DD46CD"/>
    <w:rsid w:val="00DD74CA"/>
    <w:rsid w:val="00DE0646"/>
    <w:rsid w:val="00DE090E"/>
    <w:rsid w:val="00DE3121"/>
    <w:rsid w:val="00DE351C"/>
    <w:rsid w:val="00DE7BC9"/>
    <w:rsid w:val="00DE7E98"/>
    <w:rsid w:val="00DF1952"/>
    <w:rsid w:val="00DF2ADB"/>
    <w:rsid w:val="00DF45ED"/>
    <w:rsid w:val="00DF6910"/>
    <w:rsid w:val="00E02104"/>
    <w:rsid w:val="00E03903"/>
    <w:rsid w:val="00E04995"/>
    <w:rsid w:val="00E07755"/>
    <w:rsid w:val="00E12842"/>
    <w:rsid w:val="00E1438A"/>
    <w:rsid w:val="00E15A54"/>
    <w:rsid w:val="00E17D5D"/>
    <w:rsid w:val="00E2069A"/>
    <w:rsid w:val="00E2122C"/>
    <w:rsid w:val="00E21395"/>
    <w:rsid w:val="00E25248"/>
    <w:rsid w:val="00E3396A"/>
    <w:rsid w:val="00E37983"/>
    <w:rsid w:val="00E5324F"/>
    <w:rsid w:val="00E533EE"/>
    <w:rsid w:val="00E56399"/>
    <w:rsid w:val="00E57275"/>
    <w:rsid w:val="00E57DE9"/>
    <w:rsid w:val="00E613D7"/>
    <w:rsid w:val="00E621E2"/>
    <w:rsid w:val="00E6605C"/>
    <w:rsid w:val="00E66738"/>
    <w:rsid w:val="00E67F66"/>
    <w:rsid w:val="00E8215C"/>
    <w:rsid w:val="00E8402E"/>
    <w:rsid w:val="00E84B62"/>
    <w:rsid w:val="00E86835"/>
    <w:rsid w:val="00E93D85"/>
    <w:rsid w:val="00E954A2"/>
    <w:rsid w:val="00E967F6"/>
    <w:rsid w:val="00E96DE5"/>
    <w:rsid w:val="00E97630"/>
    <w:rsid w:val="00EA0545"/>
    <w:rsid w:val="00EB06D4"/>
    <w:rsid w:val="00EB22F0"/>
    <w:rsid w:val="00EC181E"/>
    <w:rsid w:val="00EC426C"/>
    <w:rsid w:val="00ED65D5"/>
    <w:rsid w:val="00EE18FB"/>
    <w:rsid w:val="00EE338E"/>
    <w:rsid w:val="00EF1CBB"/>
    <w:rsid w:val="00EF40F5"/>
    <w:rsid w:val="00EF53A5"/>
    <w:rsid w:val="00F00F45"/>
    <w:rsid w:val="00F0485C"/>
    <w:rsid w:val="00F102A0"/>
    <w:rsid w:val="00F13DDD"/>
    <w:rsid w:val="00F23728"/>
    <w:rsid w:val="00F249A5"/>
    <w:rsid w:val="00F26989"/>
    <w:rsid w:val="00F40A9D"/>
    <w:rsid w:val="00F4292E"/>
    <w:rsid w:val="00F47730"/>
    <w:rsid w:val="00F47FFD"/>
    <w:rsid w:val="00F53425"/>
    <w:rsid w:val="00F566ED"/>
    <w:rsid w:val="00F6092A"/>
    <w:rsid w:val="00F6193F"/>
    <w:rsid w:val="00F62236"/>
    <w:rsid w:val="00F75020"/>
    <w:rsid w:val="00F76A56"/>
    <w:rsid w:val="00F82497"/>
    <w:rsid w:val="00F8477E"/>
    <w:rsid w:val="00F8684F"/>
    <w:rsid w:val="00F90D32"/>
    <w:rsid w:val="00F92D5C"/>
    <w:rsid w:val="00F96037"/>
    <w:rsid w:val="00FA18AB"/>
    <w:rsid w:val="00FA3E5F"/>
    <w:rsid w:val="00FC5BDE"/>
    <w:rsid w:val="00FC6601"/>
    <w:rsid w:val="00FC763F"/>
    <w:rsid w:val="00FD0982"/>
    <w:rsid w:val="00FD2C8A"/>
    <w:rsid w:val="00FD5DCA"/>
    <w:rsid w:val="00FE0E8A"/>
    <w:rsid w:val="00FE1833"/>
    <w:rsid w:val="00FE4D0A"/>
    <w:rsid w:val="00FE5ECA"/>
    <w:rsid w:val="00FE69B6"/>
    <w:rsid w:val="00FF2E75"/>
    <w:rsid w:val="00FF2FA2"/>
    <w:rsid w:val="00FF37C0"/>
    <w:rsid w:val="00FF3E55"/>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90CDE"/>
    <w:rPr>
      <w:rFonts w:ascii="Times New Roman" w:eastAsia="方正仿宋简体" w:hAnsi="Times New Roman" w:cs="Times New Roman"/>
      <w:sz w:val="32"/>
      <w:szCs w:val="20"/>
    </w:rPr>
  </w:style>
  <w:style w:type="paragraph" w:styleId="ae">
    <w:name w:val="List Paragraph"/>
    <w:basedOn w:val="a"/>
    <w:uiPriority w:val="34"/>
    <w:qFormat/>
    <w:rsid w:val="005E65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 w:type="paragraph" w:styleId="ad">
    <w:name w:val="Revision"/>
    <w:hidden/>
    <w:uiPriority w:val="99"/>
    <w:semiHidden/>
    <w:rsid w:val="00990CDE"/>
    <w:rPr>
      <w:rFonts w:ascii="Times New Roman" w:eastAsia="方正仿宋简体" w:hAnsi="Times New Roman" w:cs="Times New Roman"/>
      <w:sz w:val="32"/>
      <w:szCs w:val="20"/>
    </w:rPr>
  </w:style>
  <w:style w:type="paragraph" w:styleId="ae">
    <w:name w:val="List Paragraph"/>
    <w:basedOn w:val="a"/>
    <w:uiPriority w:val="34"/>
    <w:qFormat/>
    <w:rsid w:val="005E65DA"/>
    <w:pPr>
      <w:ind w:firstLineChars="200" w:firstLine="420"/>
    </w:p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22875768">
      <w:bodyDiv w:val="1"/>
      <w:marLeft w:val="0"/>
      <w:marRight w:val="0"/>
      <w:marTop w:val="0"/>
      <w:marBottom w:val="0"/>
      <w:divBdr>
        <w:top w:val="none" w:sz="0" w:space="0" w:color="auto"/>
        <w:left w:val="none" w:sz="0" w:space="0" w:color="auto"/>
        <w:bottom w:val="none" w:sz="0" w:space="0" w:color="auto"/>
        <w:right w:val="none" w:sz="0" w:space="0" w:color="auto"/>
      </w:divBdr>
    </w:div>
    <w:div w:id="43724897">
      <w:bodyDiv w:val="1"/>
      <w:marLeft w:val="0"/>
      <w:marRight w:val="0"/>
      <w:marTop w:val="0"/>
      <w:marBottom w:val="0"/>
      <w:divBdr>
        <w:top w:val="none" w:sz="0" w:space="0" w:color="auto"/>
        <w:left w:val="none" w:sz="0" w:space="0" w:color="auto"/>
        <w:bottom w:val="none" w:sz="0" w:space="0" w:color="auto"/>
        <w:right w:val="none" w:sz="0" w:space="0" w:color="auto"/>
      </w:divBdr>
    </w:div>
    <w:div w:id="121273079">
      <w:bodyDiv w:val="1"/>
      <w:marLeft w:val="0"/>
      <w:marRight w:val="0"/>
      <w:marTop w:val="0"/>
      <w:marBottom w:val="0"/>
      <w:divBdr>
        <w:top w:val="none" w:sz="0" w:space="0" w:color="auto"/>
        <w:left w:val="none" w:sz="0" w:space="0" w:color="auto"/>
        <w:bottom w:val="none" w:sz="0" w:space="0" w:color="auto"/>
        <w:right w:val="none" w:sz="0" w:space="0" w:color="auto"/>
      </w:divBdr>
    </w:div>
    <w:div w:id="136387052">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193857686">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28929637">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294651525">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33653655">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53384830">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77513324">
      <w:bodyDiv w:val="1"/>
      <w:marLeft w:val="0"/>
      <w:marRight w:val="0"/>
      <w:marTop w:val="0"/>
      <w:marBottom w:val="0"/>
      <w:divBdr>
        <w:top w:val="none" w:sz="0" w:space="0" w:color="auto"/>
        <w:left w:val="none" w:sz="0" w:space="0" w:color="auto"/>
        <w:bottom w:val="none" w:sz="0" w:space="0" w:color="auto"/>
        <w:right w:val="none" w:sz="0" w:space="0" w:color="auto"/>
      </w:divBdr>
    </w:div>
    <w:div w:id="392168143">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49665575">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488207245">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664433978">
      <w:bodyDiv w:val="1"/>
      <w:marLeft w:val="0"/>
      <w:marRight w:val="0"/>
      <w:marTop w:val="0"/>
      <w:marBottom w:val="0"/>
      <w:divBdr>
        <w:top w:val="none" w:sz="0" w:space="0" w:color="auto"/>
        <w:left w:val="none" w:sz="0" w:space="0" w:color="auto"/>
        <w:bottom w:val="none" w:sz="0" w:space="0" w:color="auto"/>
        <w:right w:val="none" w:sz="0" w:space="0" w:color="auto"/>
      </w:divBdr>
    </w:div>
    <w:div w:id="751199226">
      <w:bodyDiv w:val="1"/>
      <w:marLeft w:val="0"/>
      <w:marRight w:val="0"/>
      <w:marTop w:val="0"/>
      <w:marBottom w:val="0"/>
      <w:divBdr>
        <w:top w:val="none" w:sz="0" w:space="0" w:color="auto"/>
        <w:left w:val="none" w:sz="0" w:space="0" w:color="auto"/>
        <w:bottom w:val="none" w:sz="0" w:space="0" w:color="auto"/>
        <w:right w:val="none" w:sz="0" w:space="0" w:color="auto"/>
      </w:divBdr>
    </w:div>
    <w:div w:id="769591900">
      <w:bodyDiv w:val="1"/>
      <w:marLeft w:val="0"/>
      <w:marRight w:val="0"/>
      <w:marTop w:val="0"/>
      <w:marBottom w:val="0"/>
      <w:divBdr>
        <w:top w:val="none" w:sz="0" w:space="0" w:color="auto"/>
        <w:left w:val="none" w:sz="0" w:space="0" w:color="auto"/>
        <w:bottom w:val="none" w:sz="0" w:space="0" w:color="auto"/>
        <w:right w:val="none" w:sz="0" w:space="0" w:color="auto"/>
      </w:divBdr>
    </w:div>
    <w:div w:id="791364776">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49895853">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245264000">
      <w:bodyDiv w:val="1"/>
      <w:marLeft w:val="0"/>
      <w:marRight w:val="0"/>
      <w:marTop w:val="0"/>
      <w:marBottom w:val="0"/>
      <w:divBdr>
        <w:top w:val="none" w:sz="0" w:space="0" w:color="auto"/>
        <w:left w:val="none" w:sz="0" w:space="0" w:color="auto"/>
        <w:bottom w:val="none" w:sz="0" w:space="0" w:color="auto"/>
        <w:right w:val="none" w:sz="0" w:space="0" w:color="auto"/>
      </w:divBdr>
    </w:div>
    <w:div w:id="1251769384">
      <w:bodyDiv w:val="1"/>
      <w:marLeft w:val="0"/>
      <w:marRight w:val="0"/>
      <w:marTop w:val="0"/>
      <w:marBottom w:val="0"/>
      <w:divBdr>
        <w:top w:val="none" w:sz="0" w:space="0" w:color="auto"/>
        <w:left w:val="none" w:sz="0" w:space="0" w:color="auto"/>
        <w:bottom w:val="none" w:sz="0" w:space="0" w:color="auto"/>
        <w:right w:val="none" w:sz="0" w:space="0" w:color="auto"/>
      </w:divBdr>
    </w:div>
    <w:div w:id="125563086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0353726">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35058847">
      <w:bodyDiv w:val="1"/>
      <w:marLeft w:val="0"/>
      <w:marRight w:val="0"/>
      <w:marTop w:val="0"/>
      <w:marBottom w:val="0"/>
      <w:divBdr>
        <w:top w:val="none" w:sz="0" w:space="0" w:color="auto"/>
        <w:left w:val="none" w:sz="0" w:space="0" w:color="auto"/>
        <w:bottom w:val="none" w:sz="0" w:space="0" w:color="auto"/>
        <w:right w:val="none" w:sz="0" w:space="0" w:color="auto"/>
      </w:divBdr>
    </w:div>
    <w:div w:id="1452357275">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495800843">
      <w:bodyDiv w:val="1"/>
      <w:marLeft w:val="0"/>
      <w:marRight w:val="0"/>
      <w:marTop w:val="0"/>
      <w:marBottom w:val="0"/>
      <w:divBdr>
        <w:top w:val="none" w:sz="0" w:space="0" w:color="auto"/>
        <w:left w:val="none" w:sz="0" w:space="0" w:color="auto"/>
        <w:bottom w:val="none" w:sz="0" w:space="0" w:color="auto"/>
        <w:right w:val="none" w:sz="0" w:space="0" w:color="auto"/>
      </w:divBdr>
    </w:div>
    <w:div w:id="1548880384">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68825318">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41914651">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56011938">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4915055">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85686208">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 w:id="2131626266">
      <w:bodyDiv w:val="1"/>
      <w:marLeft w:val="0"/>
      <w:marRight w:val="0"/>
      <w:marTop w:val="0"/>
      <w:marBottom w:val="0"/>
      <w:divBdr>
        <w:top w:val="none" w:sz="0" w:space="0" w:color="auto"/>
        <w:left w:val="none" w:sz="0" w:space="0" w:color="auto"/>
        <w:bottom w:val="none" w:sz="0" w:space="0" w:color="auto"/>
        <w:right w:val="none" w:sz="0" w:space="0" w:color="auto"/>
      </w:divBdr>
    </w:div>
    <w:div w:id="2134588340">
      <w:bodyDiv w:val="1"/>
      <w:marLeft w:val="0"/>
      <w:marRight w:val="0"/>
      <w:marTop w:val="0"/>
      <w:marBottom w:val="0"/>
      <w:divBdr>
        <w:top w:val="none" w:sz="0" w:space="0" w:color="auto"/>
        <w:left w:val="none" w:sz="0" w:space="0" w:color="auto"/>
        <w:bottom w:val="none" w:sz="0" w:space="0" w:color="auto"/>
        <w:right w:val="none" w:sz="0" w:space="0" w:color="auto"/>
      </w:divBdr>
    </w:div>
    <w:div w:id="2140566151">
      <w:bodyDiv w:val="1"/>
      <w:marLeft w:val="0"/>
      <w:marRight w:val="0"/>
      <w:marTop w:val="0"/>
      <w:marBottom w:val="0"/>
      <w:divBdr>
        <w:top w:val="none" w:sz="0" w:space="0" w:color="auto"/>
        <w:left w:val="none" w:sz="0" w:space="0" w:color="auto"/>
        <w:bottom w:val="none" w:sz="0" w:space="0" w:color="auto"/>
        <w:right w:val="none" w:sz="0" w:space="0" w:color="auto"/>
      </w:divBdr>
    </w:div>
    <w:div w:id="21445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36DD-F3CA-428A-91DC-5A895C7E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1453</Characters>
  <Application>Microsoft Office Word</Application>
  <DocSecurity>4</DocSecurity>
  <Lines>12</Lines>
  <Paragraphs>3</Paragraphs>
  <ScaleCrop>false</ScaleCrop>
  <Company>微软中国</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dc:description/>
  <cp:lastModifiedBy>ZHONGM</cp:lastModifiedBy>
  <cp:revision>2</cp:revision>
  <cp:lastPrinted>2017-02-27T07:46:00Z</cp:lastPrinted>
  <dcterms:created xsi:type="dcterms:W3CDTF">2021-02-08T16:01:00Z</dcterms:created>
  <dcterms:modified xsi:type="dcterms:W3CDTF">2021-02-08T16:01:00Z</dcterms:modified>
</cp:coreProperties>
</file>