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0D0" w:rsidRPr="00BA7278" w:rsidRDefault="004C0128" w:rsidP="0003481A">
      <w:pPr>
        <w:snapToGrid w:val="0"/>
        <w:spacing w:line="360" w:lineRule="auto"/>
        <w:jc w:val="center"/>
        <w:rPr>
          <w:rFonts w:asciiTheme="minorEastAsia" w:hAnsiTheme="minorEastAsia" w:cs="Times New Roman"/>
          <w:b/>
          <w:sz w:val="28"/>
          <w:szCs w:val="28"/>
        </w:rPr>
      </w:pPr>
      <w:r w:rsidRPr="00BA7278">
        <w:rPr>
          <w:rFonts w:asciiTheme="minorEastAsia" w:hAnsiTheme="minorEastAsia" w:cs="Times New Roman" w:hint="eastAsia"/>
          <w:b/>
          <w:sz w:val="28"/>
          <w:szCs w:val="28"/>
        </w:rPr>
        <w:t>中银基金管理有限公司关于旗下部分基金</w:t>
      </w:r>
      <w:r w:rsidR="007D123C" w:rsidRPr="00BA7278">
        <w:rPr>
          <w:rFonts w:asciiTheme="minorEastAsia" w:hAnsiTheme="minorEastAsia" w:cs="Times New Roman" w:hint="eastAsia"/>
          <w:b/>
          <w:sz w:val="28"/>
          <w:szCs w:val="28"/>
        </w:rPr>
        <w:t>开通转换业务</w:t>
      </w:r>
      <w:r w:rsidR="0003481A" w:rsidRPr="00BA7278">
        <w:rPr>
          <w:rFonts w:asciiTheme="minorEastAsia" w:hAnsiTheme="minorEastAsia" w:cs="Times New Roman" w:hint="eastAsia"/>
          <w:b/>
          <w:sz w:val="28"/>
          <w:szCs w:val="28"/>
        </w:rPr>
        <w:t>的公告</w:t>
      </w:r>
    </w:p>
    <w:p w:rsidR="004C0128" w:rsidRPr="00BA7278" w:rsidRDefault="004C0128" w:rsidP="00691C47">
      <w:pPr>
        <w:spacing w:line="360" w:lineRule="auto"/>
        <w:ind w:firstLineChars="202" w:firstLine="424"/>
        <w:rPr>
          <w:rFonts w:asciiTheme="minorEastAsia" w:hAnsiTheme="minorEastAsia" w:cs="Times New Roman"/>
        </w:rPr>
      </w:pPr>
      <w:bookmarkStart w:id="0" w:name="_GoBack"/>
      <w:bookmarkEnd w:id="0"/>
    </w:p>
    <w:p w:rsidR="00C61157" w:rsidRPr="00BA7278" w:rsidRDefault="002056C4" w:rsidP="00691C47">
      <w:pPr>
        <w:spacing w:line="360" w:lineRule="auto"/>
        <w:ind w:firstLineChars="202" w:firstLine="424"/>
        <w:rPr>
          <w:rFonts w:asciiTheme="minorEastAsia" w:hAnsiTheme="minorEastAsia" w:cs="Times New Roman"/>
        </w:rPr>
      </w:pPr>
      <w:r w:rsidRPr="00BA7278">
        <w:rPr>
          <w:rFonts w:asciiTheme="minorEastAsia" w:hAnsiTheme="minorEastAsia" w:cs="Times New Roman" w:hint="eastAsia"/>
        </w:rPr>
        <w:t>为了更好地服务客户，中银基金管理有限公司（以下简称“本公司”）将从</w:t>
      </w:r>
      <w:r w:rsidRPr="00BA7278">
        <w:rPr>
          <w:rFonts w:asciiTheme="minorEastAsia" w:hAnsiTheme="minorEastAsia" w:cs="Times New Roman"/>
        </w:rPr>
        <w:t>202</w:t>
      </w:r>
      <w:r w:rsidR="00475410">
        <w:rPr>
          <w:rFonts w:asciiTheme="minorEastAsia" w:hAnsiTheme="minorEastAsia" w:cs="Times New Roman"/>
        </w:rPr>
        <w:t>1</w:t>
      </w:r>
      <w:r w:rsidRPr="00BA7278">
        <w:rPr>
          <w:rFonts w:asciiTheme="minorEastAsia" w:hAnsiTheme="minorEastAsia" w:cs="Times New Roman" w:hint="eastAsia"/>
        </w:rPr>
        <w:t>年</w:t>
      </w:r>
      <w:r w:rsidR="00F81BAC">
        <w:rPr>
          <w:rFonts w:asciiTheme="minorEastAsia" w:hAnsiTheme="minorEastAsia" w:cs="Times New Roman"/>
        </w:rPr>
        <w:t>2</w:t>
      </w:r>
      <w:r w:rsidRPr="00BA7278">
        <w:rPr>
          <w:rFonts w:asciiTheme="minorEastAsia" w:hAnsiTheme="minorEastAsia" w:cs="Times New Roman" w:hint="eastAsia"/>
        </w:rPr>
        <w:t>月</w:t>
      </w:r>
      <w:r w:rsidR="00F81BAC">
        <w:rPr>
          <w:rFonts w:asciiTheme="minorEastAsia" w:hAnsiTheme="minorEastAsia" w:cs="Times New Roman"/>
        </w:rPr>
        <w:t>5</w:t>
      </w:r>
      <w:r w:rsidRPr="00BA7278">
        <w:rPr>
          <w:rFonts w:asciiTheme="minorEastAsia" w:hAnsiTheme="minorEastAsia" w:cs="Times New Roman" w:hint="eastAsia"/>
        </w:rPr>
        <w:t>日起，对以下</w:t>
      </w:r>
      <w:r w:rsidR="004C0128" w:rsidRPr="00BA7278">
        <w:rPr>
          <w:rFonts w:asciiTheme="minorEastAsia" w:hAnsiTheme="minorEastAsia" w:cs="Times New Roman" w:hint="eastAsia"/>
        </w:rPr>
        <w:t>基金</w:t>
      </w:r>
      <w:r w:rsidRPr="00BA7278">
        <w:rPr>
          <w:rFonts w:asciiTheme="minorEastAsia" w:hAnsiTheme="minorEastAsia" w:cs="Times New Roman" w:hint="eastAsia"/>
        </w:rPr>
        <w:t>开通基金转换业务。</w:t>
      </w:r>
    </w:p>
    <w:p w:rsidR="00B33587" w:rsidRPr="00B33587" w:rsidRDefault="002056C4" w:rsidP="00B33587">
      <w:pPr>
        <w:pStyle w:val="a6"/>
        <w:numPr>
          <w:ilvl w:val="0"/>
          <w:numId w:val="11"/>
        </w:numPr>
        <w:spacing w:line="360" w:lineRule="auto"/>
        <w:rPr>
          <w:rFonts w:asciiTheme="minorEastAsia" w:hAnsiTheme="minorEastAsia" w:cs="Times New Roman"/>
          <w:b/>
        </w:rPr>
      </w:pPr>
      <w:r w:rsidRPr="00BA7278">
        <w:rPr>
          <w:rFonts w:asciiTheme="minorEastAsia" w:hAnsiTheme="minorEastAsia" w:cs="Times New Roman" w:hint="eastAsia"/>
          <w:b/>
        </w:rPr>
        <w:t>本次开通转换业务的基金</w:t>
      </w:r>
    </w:p>
    <w:tbl>
      <w:tblPr>
        <w:tblStyle w:val="ac"/>
        <w:tblW w:w="7688" w:type="dxa"/>
        <w:tblInd w:w="844" w:type="dxa"/>
        <w:tblLook w:val="04A0"/>
      </w:tblPr>
      <w:tblGrid>
        <w:gridCol w:w="4916"/>
        <w:gridCol w:w="2772"/>
      </w:tblGrid>
      <w:tr w:rsidR="002056C4" w:rsidRPr="00BA7278" w:rsidTr="001F129E">
        <w:trPr>
          <w:trHeight w:val="20"/>
        </w:trPr>
        <w:tc>
          <w:tcPr>
            <w:tcW w:w="4916" w:type="dxa"/>
          </w:tcPr>
          <w:p w:rsidR="002056C4" w:rsidRPr="00BA7278" w:rsidRDefault="002056C4" w:rsidP="001F129E">
            <w:pPr>
              <w:pStyle w:val="a6"/>
              <w:ind w:left="0"/>
              <w:jc w:val="center"/>
              <w:rPr>
                <w:rFonts w:asciiTheme="minorEastAsia" w:hAnsiTheme="minorEastAsia" w:cs="Times New Roman"/>
                <w:b/>
              </w:rPr>
            </w:pPr>
            <w:r w:rsidRPr="00BA7278">
              <w:rPr>
                <w:rFonts w:asciiTheme="minorEastAsia" w:hAnsiTheme="minorEastAsia" w:cs="Times New Roman" w:hint="eastAsia"/>
                <w:b/>
              </w:rPr>
              <w:t>基金名称</w:t>
            </w:r>
          </w:p>
        </w:tc>
        <w:tc>
          <w:tcPr>
            <w:tcW w:w="2772" w:type="dxa"/>
          </w:tcPr>
          <w:p w:rsidR="002056C4" w:rsidRPr="00BA7278" w:rsidRDefault="002056C4" w:rsidP="001F129E">
            <w:pPr>
              <w:pStyle w:val="a6"/>
              <w:ind w:left="0"/>
              <w:jc w:val="center"/>
              <w:rPr>
                <w:rFonts w:asciiTheme="minorEastAsia" w:hAnsiTheme="minorEastAsia" w:cs="Times New Roman"/>
                <w:b/>
              </w:rPr>
            </w:pPr>
            <w:r w:rsidRPr="00BA7278">
              <w:rPr>
                <w:rFonts w:asciiTheme="minorEastAsia" w:hAnsiTheme="minorEastAsia" w:cs="Times New Roman" w:hint="eastAsia"/>
                <w:b/>
              </w:rPr>
              <w:t>基金代码</w:t>
            </w:r>
          </w:p>
        </w:tc>
      </w:tr>
      <w:tr w:rsidR="002056C4" w:rsidRPr="00BA7278" w:rsidTr="001F129E">
        <w:trPr>
          <w:trHeight w:val="20"/>
        </w:trPr>
        <w:tc>
          <w:tcPr>
            <w:tcW w:w="4916" w:type="dxa"/>
          </w:tcPr>
          <w:p w:rsidR="002056C4" w:rsidRPr="00E86004" w:rsidRDefault="00F81BAC" w:rsidP="001F129E">
            <w:pPr>
              <w:pStyle w:val="a6"/>
              <w:ind w:left="0"/>
              <w:jc w:val="center"/>
              <w:rPr>
                <w:rFonts w:asciiTheme="minorEastAsia" w:hAnsiTheme="minorEastAsia" w:cs="Times New Roman"/>
              </w:rPr>
            </w:pPr>
            <w:r w:rsidRPr="00F81BAC">
              <w:rPr>
                <w:rFonts w:asciiTheme="minorEastAsia" w:hAnsiTheme="minorEastAsia" w:cs="Times New Roman" w:hint="eastAsia"/>
              </w:rPr>
              <w:t>中银消费主题混合型证券投资基金</w:t>
            </w:r>
          </w:p>
        </w:tc>
        <w:tc>
          <w:tcPr>
            <w:tcW w:w="2772" w:type="dxa"/>
          </w:tcPr>
          <w:p w:rsidR="002056C4" w:rsidRPr="00E86004" w:rsidRDefault="007A696D" w:rsidP="001F129E">
            <w:pPr>
              <w:pStyle w:val="a6"/>
              <w:ind w:left="0"/>
              <w:jc w:val="center"/>
              <w:rPr>
                <w:rFonts w:asciiTheme="minorEastAsia" w:hAnsiTheme="minorEastAsia" w:cs="Times New Roman"/>
              </w:rPr>
            </w:pPr>
            <w:r>
              <w:rPr>
                <w:rFonts w:asciiTheme="minorEastAsia" w:hAnsiTheme="minorEastAsia" w:cs="Times New Roman"/>
              </w:rPr>
              <w:t>000057</w:t>
            </w:r>
          </w:p>
        </w:tc>
      </w:tr>
      <w:tr w:rsidR="00B33587" w:rsidRPr="00BA7278" w:rsidTr="001F129E">
        <w:trPr>
          <w:trHeight w:val="20"/>
        </w:trPr>
        <w:tc>
          <w:tcPr>
            <w:tcW w:w="4916" w:type="dxa"/>
            <w:vAlign w:val="center"/>
          </w:tcPr>
          <w:p w:rsidR="00B33587" w:rsidRPr="00BA7278" w:rsidRDefault="007A696D" w:rsidP="001F129E">
            <w:pPr>
              <w:jc w:val="center"/>
              <w:rPr>
                <w:rFonts w:asciiTheme="minorEastAsia" w:hAnsiTheme="minorEastAsia" w:cs="Times New Roman"/>
              </w:rPr>
            </w:pPr>
            <w:r w:rsidRPr="007A696D">
              <w:rPr>
                <w:rFonts w:asciiTheme="minorEastAsia" w:hAnsiTheme="minorEastAsia" w:cs="Times New Roman" w:hint="eastAsia"/>
              </w:rPr>
              <w:t>中银美丽中国混合型证券投资基金</w:t>
            </w:r>
          </w:p>
        </w:tc>
        <w:tc>
          <w:tcPr>
            <w:tcW w:w="2772" w:type="dxa"/>
          </w:tcPr>
          <w:p w:rsidR="00B33587" w:rsidRPr="00BA7278" w:rsidRDefault="007A696D" w:rsidP="001F129E">
            <w:pPr>
              <w:pStyle w:val="a6"/>
              <w:ind w:left="0"/>
              <w:jc w:val="center"/>
              <w:rPr>
                <w:rFonts w:asciiTheme="minorEastAsia" w:hAnsiTheme="minorEastAsia" w:cs="Times New Roman"/>
              </w:rPr>
            </w:pPr>
            <w:r>
              <w:rPr>
                <w:rFonts w:asciiTheme="minorEastAsia" w:hAnsiTheme="minorEastAsia" w:cs="Times New Roman"/>
              </w:rPr>
              <w:t>000120</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中银新回报灵活配置混合型证券投资基金</w:t>
            </w:r>
            <w:r>
              <w:rPr>
                <w:rFonts w:asciiTheme="minorEastAsia" w:hAnsiTheme="minorEastAsia" w:cs="Times New Roman"/>
              </w:rPr>
              <w:t>A类份额</w:t>
            </w:r>
          </w:p>
        </w:tc>
        <w:tc>
          <w:tcPr>
            <w:tcW w:w="2772" w:type="dxa"/>
          </w:tcPr>
          <w:p w:rsidR="007A696D" w:rsidDel="007A696D" w:rsidRDefault="007A696D" w:rsidP="001F129E">
            <w:pPr>
              <w:pStyle w:val="a6"/>
              <w:ind w:left="0"/>
              <w:jc w:val="center"/>
              <w:rPr>
                <w:rFonts w:asciiTheme="minorEastAsia" w:hAnsiTheme="minorEastAsia" w:cs="Times New Roman"/>
              </w:rPr>
            </w:pPr>
            <w:r>
              <w:rPr>
                <w:rFonts w:asciiTheme="minorEastAsia" w:hAnsiTheme="minorEastAsia" w:cs="Times New Roman" w:hint="eastAsia"/>
              </w:rPr>
              <w:t>0</w:t>
            </w:r>
            <w:r>
              <w:rPr>
                <w:rFonts w:asciiTheme="minorEastAsia" w:hAnsiTheme="minorEastAsia" w:cs="Times New Roman"/>
              </w:rPr>
              <w:t>00190</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Pr>
                <w:rFonts w:asciiTheme="minorEastAsia" w:hAnsiTheme="minorEastAsia" w:cs="Times New Roman" w:hint="eastAsia"/>
              </w:rPr>
              <w:t>中银中高等级债券型证</w:t>
            </w:r>
            <w:r w:rsidRPr="007A696D">
              <w:rPr>
                <w:rFonts w:asciiTheme="minorEastAsia" w:hAnsiTheme="minorEastAsia" w:cs="Times New Roman" w:hint="eastAsia"/>
              </w:rPr>
              <w:t>券投资基金</w:t>
            </w:r>
            <w:r>
              <w:rPr>
                <w:rFonts w:asciiTheme="minorEastAsia" w:hAnsiTheme="minorEastAsia" w:cs="Times New Roman"/>
              </w:rPr>
              <w:t>A类份额</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000305</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中银优秀企业混合型证券投资基金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000432</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中银产业债债券型证券投资基金</w:t>
            </w:r>
            <w:r w:rsidR="00B81208">
              <w:rPr>
                <w:rFonts w:asciiTheme="minorEastAsia" w:hAnsiTheme="minorEastAsia" w:cs="Times New Roman" w:hint="eastAsia"/>
              </w:rPr>
              <w:t>C</w:t>
            </w:r>
            <w:r w:rsidR="00B81208">
              <w:rPr>
                <w:rFonts w:asciiTheme="minorEastAsia" w:hAnsiTheme="minorEastAsia" w:cs="Times New Roman"/>
              </w:rPr>
              <w:t>类份额</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008936</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中银欣享利率债债券型证券投资基金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010083</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中银中国精选混合型开放式证券投资基金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163801</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Pr>
                <w:rFonts w:asciiTheme="minorEastAsia" w:hAnsiTheme="minorEastAsia" w:cs="Times New Roman" w:hint="eastAsia"/>
              </w:rPr>
              <w:t>中银货币市场证券投资基金A类份额</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163802</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中银持续增长混合型证券投资基金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163803</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中银收益混合型证券投资基金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163804</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中银动态策略混合型证券投资基金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163805</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中银稳健增利债券型证券投资基金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163806</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中银行业优选灵活配置混合型证券投资基金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163807</w:t>
            </w:r>
          </w:p>
        </w:tc>
      </w:tr>
      <w:tr w:rsidR="007A696D" w:rsidRPr="00BA7278" w:rsidTr="001F129E">
        <w:trPr>
          <w:trHeight w:val="20"/>
        </w:trPr>
        <w:tc>
          <w:tcPr>
            <w:tcW w:w="4916" w:type="dxa"/>
            <w:vAlign w:val="center"/>
          </w:tcPr>
          <w:p w:rsidR="007A696D" w:rsidRPr="007A696D" w:rsidRDefault="007A696D" w:rsidP="001F129E">
            <w:pPr>
              <w:jc w:val="center"/>
              <w:rPr>
                <w:rFonts w:asciiTheme="minorEastAsia" w:hAnsiTheme="minorEastAsia" w:cs="Times New Roman"/>
              </w:rPr>
            </w:pPr>
            <w:r w:rsidRPr="007A696D">
              <w:rPr>
                <w:rFonts w:asciiTheme="minorEastAsia" w:hAnsiTheme="minorEastAsia" w:cs="Times New Roman" w:hint="eastAsia"/>
              </w:rPr>
              <w:t>中银中证100指数增强型证券投资基金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163808</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中银蓝筹精选灵活配置混合型证券投资基金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163809</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中银价值精选灵活配置混合型证券投资基金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163810</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中银稳健双利债券型证券投资基金</w:t>
            </w:r>
            <w:r>
              <w:rPr>
                <w:rFonts w:asciiTheme="minorEastAsia" w:hAnsiTheme="minorEastAsia" w:cs="Times New Roman"/>
              </w:rPr>
              <w:t>A类份额</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163811</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中银稳健双利债券型证券投资基金</w:t>
            </w:r>
            <w:r>
              <w:rPr>
                <w:rFonts w:asciiTheme="minorEastAsia" w:hAnsiTheme="minorEastAsia" w:cs="Times New Roman"/>
              </w:rPr>
              <w:t>B类份额</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163812</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中银转债增强债券型证券投资基金</w:t>
            </w:r>
            <w:r>
              <w:rPr>
                <w:rFonts w:asciiTheme="minorEastAsia" w:hAnsiTheme="minorEastAsia" w:cs="Times New Roman"/>
              </w:rPr>
              <w:t>A类份额</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163816</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中银转债增强债券型证券投资基金</w:t>
            </w:r>
            <w:r>
              <w:rPr>
                <w:rFonts w:asciiTheme="minorEastAsia" w:hAnsiTheme="minorEastAsia" w:cs="Times New Roman"/>
              </w:rPr>
              <w:t>B类份额</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163817</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Pr>
                <w:rFonts w:asciiTheme="minorEastAsia" w:hAnsiTheme="minorEastAsia" w:cs="Times New Roman" w:hint="eastAsia"/>
              </w:rPr>
              <w:t>中银中小盘成长混合型证券投资基金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163818</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Pr>
                <w:rFonts w:asciiTheme="minorEastAsia" w:hAnsiTheme="minorEastAsia" w:cs="Times New Roman" w:hint="eastAsia"/>
              </w:rPr>
              <w:t>中银货币市场证券投资基金</w:t>
            </w:r>
            <w:r>
              <w:rPr>
                <w:rFonts w:asciiTheme="minorEastAsia" w:hAnsiTheme="minorEastAsia" w:cs="Times New Roman"/>
              </w:rPr>
              <w:t>B</w:t>
            </w:r>
            <w:r>
              <w:rPr>
                <w:rFonts w:asciiTheme="minorEastAsia" w:hAnsiTheme="minorEastAsia" w:cs="Times New Roman" w:hint="eastAsia"/>
              </w:rPr>
              <w:t>类份额</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163820</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中银主题策略混合型证券投资基金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163822</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中银稳健策略灵活配置混合型证券投资基金</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163823</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中银产业债债券型证券投资基金</w:t>
            </w:r>
            <w:r>
              <w:rPr>
                <w:rFonts w:asciiTheme="minorEastAsia" w:hAnsiTheme="minorEastAsia" w:cs="Times New Roman"/>
              </w:rPr>
              <w:t>A类份额</w:t>
            </w:r>
          </w:p>
        </w:tc>
        <w:tc>
          <w:tcPr>
            <w:tcW w:w="2772" w:type="dxa"/>
            <w:vAlign w:val="bottom"/>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163827</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中银纯债债券型证券投资基金</w:t>
            </w:r>
            <w:r>
              <w:rPr>
                <w:rFonts w:asciiTheme="minorEastAsia" w:hAnsiTheme="minorEastAsia" w:cs="Times New Roman"/>
              </w:rPr>
              <w:t>A类份额</w:t>
            </w:r>
          </w:p>
        </w:tc>
        <w:tc>
          <w:tcPr>
            <w:tcW w:w="2772" w:type="dxa"/>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380005</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中银纯债债券型证券投资基金</w:t>
            </w:r>
            <w:r>
              <w:rPr>
                <w:rFonts w:asciiTheme="minorEastAsia" w:hAnsiTheme="minorEastAsia" w:cs="Times New Roman"/>
              </w:rPr>
              <w:t>C类份额</w:t>
            </w:r>
          </w:p>
        </w:tc>
        <w:tc>
          <w:tcPr>
            <w:tcW w:w="2772" w:type="dxa"/>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380006</w:t>
            </w:r>
          </w:p>
        </w:tc>
      </w:tr>
      <w:tr w:rsidR="007A696D" w:rsidRPr="00BA7278" w:rsidTr="001F129E">
        <w:trPr>
          <w:trHeight w:val="20"/>
        </w:trPr>
        <w:tc>
          <w:tcPr>
            <w:tcW w:w="4916" w:type="dxa"/>
            <w:vAlign w:val="center"/>
          </w:tcPr>
          <w:p w:rsidR="007A696D" w:rsidRPr="007A696D" w:rsidRDefault="00ED74EF" w:rsidP="001F129E">
            <w:pPr>
              <w:jc w:val="center"/>
              <w:rPr>
                <w:rFonts w:asciiTheme="minorEastAsia" w:hAnsiTheme="minorEastAsia" w:cs="Times New Roman"/>
              </w:rPr>
            </w:pPr>
            <w:r w:rsidRPr="00ED74EF">
              <w:rPr>
                <w:rFonts w:asciiTheme="minorEastAsia" w:hAnsiTheme="minorEastAsia" w:cs="Times New Roman" w:hint="eastAsia"/>
              </w:rPr>
              <w:t>中银稳健添利债券型发起式证券投资基金</w:t>
            </w:r>
            <w:r>
              <w:rPr>
                <w:rFonts w:asciiTheme="minorEastAsia" w:hAnsiTheme="minorEastAsia" w:cs="Times New Roman" w:hint="eastAsia"/>
              </w:rPr>
              <w:t>A</w:t>
            </w:r>
            <w:r>
              <w:rPr>
                <w:rFonts w:asciiTheme="minorEastAsia" w:hAnsiTheme="minorEastAsia" w:cs="Times New Roman"/>
              </w:rPr>
              <w:t>类份额</w:t>
            </w:r>
          </w:p>
        </w:tc>
        <w:tc>
          <w:tcPr>
            <w:tcW w:w="2772" w:type="dxa"/>
          </w:tcPr>
          <w:p w:rsidR="007A696D" w:rsidDel="007A696D" w:rsidRDefault="007A696D" w:rsidP="001F129E">
            <w:pPr>
              <w:pStyle w:val="a6"/>
              <w:ind w:left="0"/>
              <w:jc w:val="center"/>
              <w:rPr>
                <w:rFonts w:asciiTheme="minorEastAsia" w:hAnsiTheme="minorEastAsia" w:cs="Times New Roman"/>
              </w:rPr>
            </w:pPr>
            <w:r w:rsidRPr="001F129E">
              <w:rPr>
                <w:rFonts w:asciiTheme="minorEastAsia" w:hAnsiTheme="minorEastAsia" w:cs="Times New Roman"/>
              </w:rPr>
              <w:t>380009</w:t>
            </w:r>
          </w:p>
        </w:tc>
      </w:tr>
    </w:tbl>
    <w:p w:rsidR="00F257A3" w:rsidRPr="00BA7278" w:rsidRDefault="00F257A3" w:rsidP="00E03B1F">
      <w:pPr>
        <w:pStyle w:val="a6"/>
        <w:numPr>
          <w:ilvl w:val="0"/>
          <w:numId w:val="11"/>
        </w:numPr>
        <w:spacing w:beforeLines="50" w:line="360" w:lineRule="auto"/>
        <w:ind w:left="868" w:hanging="448"/>
        <w:rPr>
          <w:rFonts w:asciiTheme="minorEastAsia" w:hAnsiTheme="minorEastAsia" w:cs="Times New Roman"/>
          <w:b/>
        </w:rPr>
      </w:pPr>
      <w:r w:rsidRPr="00BA7278">
        <w:rPr>
          <w:rFonts w:asciiTheme="minorEastAsia" w:hAnsiTheme="minorEastAsia" w:cs="Times New Roman" w:hint="eastAsia"/>
          <w:b/>
        </w:rPr>
        <w:t>转换费率</w:t>
      </w:r>
    </w:p>
    <w:p w:rsidR="00F257A3" w:rsidRPr="00BA7278" w:rsidRDefault="004C0128"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hint="eastAsia"/>
        </w:rPr>
        <w:t>（一）</w:t>
      </w:r>
      <w:r w:rsidR="00F257A3" w:rsidRPr="00BA7278">
        <w:rPr>
          <w:rFonts w:asciiTheme="minorEastAsia" w:hAnsiTheme="minorEastAsia" w:cs="Times New Roman" w:hint="eastAsia"/>
        </w:rPr>
        <w:t>基金转换费用由转出基金的赎回费用加上转出与转入基金申购费用的补差两部分构成，具体收取情况视每次转换时两只基金的申购费差异情况和转出基金的赎回费而定。基</w:t>
      </w:r>
      <w:r w:rsidR="00F257A3" w:rsidRPr="00BA7278">
        <w:rPr>
          <w:rFonts w:asciiTheme="minorEastAsia" w:hAnsiTheme="minorEastAsia" w:cs="Times New Roman" w:hint="eastAsia"/>
        </w:rPr>
        <w:lastRenderedPageBreak/>
        <w:t>金转换费用由基金份额持有人承担。</w:t>
      </w:r>
    </w:p>
    <w:p w:rsidR="00F257A3" w:rsidRPr="00BA7278" w:rsidRDefault="00903D44"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w:t>
      </w:r>
      <w:r w:rsidR="00F257A3" w:rsidRPr="00BA7278">
        <w:rPr>
          <w:rFonts w:asciiTheme="minorEastAsia" w:hAnsiTheme="minorEastAsia" w:cs="Times New Roman" w:hint="eastAsia"/>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F257A3" w:rsidRPr="00BA7278" w:rsidRDefault="00903D44"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w:t>
      </w:r>
      <w:r w:rsidR="00F257A3" w:rsidRPr="00BA7278">
        <w:rPr>
          <w:rFonts w:asciiTheme="minorEastAsia" w:hAnsiTheme="minorEastAsia" w:cs="Times New Roman" w:hint="eastAsia"/>
        </w:rPr>
        <w:t>转出基金赎回费：按转出基金正常赎回时的赎回费率收取费用。</w:t>
      </w:r>
    </w:p>
    <w:p w:rsidR="00F257A3" w:rsidRPr="00BA7278" w:rsidRDefault="004C0128"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hint="eastAsia"/>
        </w:rPr>
        <w:t>（二）</w:t>
      </w:r>
      <w:r w:rsidR="00F257A3" w:rsidRPr="00BA7278">
        <w:rPr>
          <w:rFonts w:asciiTheme="minorEastAsia" w:hAnsiTheme="minorEastAsia" w:cs="Times New Roman" w:hint="eastAsia"/>
        </w:rPr>
        <w:t>基金转换的计算公式</w:t>
      </w:r>
    </w:p>
    <w:p w:rsidR="00F257A3" w:rsidRPr="00BA7278" w:rsidRDefault="00F257A3"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F257A3" w:rsidRPr="00BA7278" w:rsidRDefault="00F257A3"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F257A3" w:rsidRPr="00BA7278" w:rsidRDefault="00F257A3"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F257A3" w:rsidRPr="00BA7278" w:rsidRDefault="00F257A3" w:rsidP="00F257A3">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00452AC8" w:rsidRPr="00BA7278">
        <w:rPr>
          <w:rFonts w:asciiTheme="minorEastAsia" w:hAnsiTheme="minorEastAsia" w:cs="Times New Roman" w:hint="eastAsia"/>
        </w:rPr>
        <w:t>：</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F257A3" w:rsidRPr="00BA7278" w:rsidRDefault="00F257A3"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F257A3" w:rsidRPr="00BA7278" w:rsidRDefault="00F257A3"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F257A3" w:rsidRPr="00BA7278" w:rsidRDefault="00F257A3"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F257A3" w:rsidRPr="00BA7278" w:rsidRDefault="00F257A3"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rPr>
        <w:t>E</w:t>
      </w:r>
      <w:r w:rsidRPr="00BA7278">
        <w:rPr>
          <w:rFonts w:asciiTheme="minorEastAsia" w:hAnsiTheme="minorEastAsia" w:cs="Times New Roman" w:hint="eastAsia"/>
        </w:rPr>
        <w:t>为转换当日转入基金份额净值；</w:t>
      </w:r>
    </w:p>
    <w:p w:rsidR="00F257A3" w:rsidRPr="00BA7278" w:rsidRDefault="00F257A3" w:rsidP="00F257A3">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F257A3" w:rsidRPr="00BA7278" w:rsidRDefault="00F257A3" w:rsidP="00F257A3">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00BD0DB0"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F257A3" w:rsidRPr="00BA7278" w:rsidRDefault="00F257A3" w:rsidP="00F257A3">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F257A3" w:rsidRPr="00BA7278" w:rsidRDefault="00F257A3" w:rsidP="00F257A3">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F257A3" w:rsidRPr="00BA7278" w:rsidRDefault="00F257A3" w:rsidP="00F257A3">
      <w:pPr>
        <w:spacing w:line="360" w:lineRule="auto"/>
        <w:ind w:firstLine="420"/>
        <w:rPr>
          <w:rFonts w:asciiTheme="minorEastAsia" w:hAnsiTheme="minorEastAsia" w:cs="Times New Roman"/>
        </w:rPr>
      </w:pPr>
      <w:r w:rsidRPr="00BA7278">
        <w:rPr>
          <w:rFonts w:asciiTheme="minorEastAsia" w:hAnsiTheme="minorEastAsia" w:cs="Times New Roman" w:hint="eastAsia"/>
        </w:rPr>
        <w:t>赎回费按照转出基金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F257A3" w:rsidRPr="00BA7278" w:rsidRDefault="00F257A3" w:rsidP="006D6097">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EB080A" w:rsidRPr="00BA7278" w:rsidRDefault="00EB080A" w:rsidP="00767D95">
      <w:pPr>
        <w:pStyle w:val="a6"/>
        <w:numPr>
          <w:ilvl w:val="0"/>
          <w:numId w:val="11"/>
        </w:numPr>
        <w:spacing w:line="360" w:lineRule="auto"/>
        <w:rPr>
          <w:rFonts w:asciiTheme="minorEastAsia" w:hAnsiTheme="minorEastAsia" w:cs="Times New Roman"/>
          <w:b/>
        </w:rPr>
      </w:pPr>
      <w:r w:rsidRPr="00BA7278">
        <w:rPr>
          <w:rFonts w:asciiTheme="minorEastAsia" w:hAnsiTheme="minorEastAsia" w:cs="Times New Roman" w:hint="eastAsia"/>
          <w:b/>
        </w:rPr>
        <w:t>其他与转换相关的事项</w:t>
      </w:r>
    </w:p>
    <w:p w:rsidR="00EB080A" w:rsidRPr="00BA7278" w:rsidRDefault="00452AC8" w:rsidP="00767D95">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（一）</w:t>
      </w:r>
      <w:r w:rsidR="00EB080A" w:rsidRPr="00BA7278">
        <w:rPr>
          <w:rFonts w:asciiTheme="minorEastAsia" w:hAnsiTheme="minorEastAsia" w:cs="Times New Roman" w:hint="eastAsia"/>
          <w:b/>
        </w:rPr>
        <w:t>办理时间</w:t>
      </w:r>
    </w:p>
    <w:p w:rsidR="00F257A3" w:rsidRPr="00BA7278" w:rsidRDefault="00F257A3" w:rsidP="006D6097">
      <w:pPr>
        <w:spacing w:line="360" w:lineRule="auto"/>
        <w:ind w:firstLine="420"/>
        <w:rPr>
          <w:rFonts w:asciiTheme="minorEastAsia" w:hAnsiTheme="minorEastAsia" w:cs="Times New Roman"/>
        </w:rPr>
      </w:pPr>
      <w:r w:rsidRPr="00BA7278">
        <w:rPr>
          <w:rFonts w:asciiTheme="minorEastAsia" w:hAnsiTheme="minorEastAsia" w:cs="Times New Roman" w:hint="eastAsia"/>
        </w:rPr>
        <w:t>自</w:t>
      </w:r>
      <w:r w:rsidR="00691FBB" w:rsidRPr="00BA7278">
        <w:rPr>
          <w:rFonts w:asciiTheme="minorEastAsia" w:hAnsiTheme="minorEastAsia" w:cs="Times New Roman"/>
          <w:color w:val="000000"/>
          <w:szCs w:val="21"/>
        </w:rPr>
        <w:t>202</w:t>
      </w:r>
      <w:r w:rsidR="00475410">
        <w:rPr>
          <w:rFonts w:asciiTheme="minorEastAsia" w:hAnsiTheme="minorEastAsia" w:cs="Times New Roman"/>
          <w:color w:val="000000"/>
          <w:szCs w:val="21"/>
        </w:rPr>
        <w:t>1</w:t>
      </w:r>
      <w:r w:rsidR="00691FBB" w:rsidRPr="00BA7278">
        <w:rPr>
          <w:rFonts w:asciiTheme="minorEastAsia" w:hAnsiTheme="minorEastAsia" w:cs="Times New Roman" w:hint="eastAsia"/>
          <w:color w:val="000000"/>
          <w:szCs w:val="21"/>
        </w:rPr>
        <w:t>年</w:t>
      </w:r>
      <w:r w:rsidR="00ED74EF">
        <w:rPr>
          <w:rFonts w:asciiTheme="minorEastAsia" w:hAnsiTheme="minorEastAsia" w:cs="Times New Roman"/>
        </w:rPr>
        <w:t>2</w:t>
      </w:r>
      <w:r w:rsidR="00281458" w:rsidRPr="00BA7278">
        <w:rPr>
          <w:rFonts w:asciiTheme="minorEastAsia" w:hAnsiTheme="minorEastAsia" w:cs="Times New Roman" w:hint="eastAsia"/>
        </w:rPr>
        <w:t>月</w:t>
      </w:r>
      <w:r w:rsidR="00ED74EF">
        <w:rPr>
          <w:rFonts w:asciiTheme="minorEastAsia" w:hAnsiTheme="minorEastAsia" w:cs="Times New Roman" w:hint="eastAsia"/>
        </w:rPr>
        <w:t>5</w:t>
      </w:r>
      <w:r w:rsidR="00281458" w:rsidRPr="00BA7278">
        <w:rPr>
          <w:rFonts w:asciiTheme="minorEastAsia" w:hAnsiTheme="minorEastAsia" w:cs="Times New Roman" w:hint="eastAsia"/>
        </w:rPr>
        <w:t>日</w:t>
      </w:r>
      <w:r w:rsidRPr="00BA7278">
        <w:rPr>
          <w:rFonts w:asciiTheme="minorEastAsia" w:hAnsiTheme="minorEastAsia" w:cs="Times New Roman" w:hint="eastAsia"/>
        </w:rPr>
        <w:t>起正式开通，转换业务办理时间为上海证券交易所和深圳证券交易所的正常交易日（基金管理人公告暂停基金转换业务时除外）。由于各销售机构系统及业务安排等原因，开放日的具体交易时间可能有所不同，投资者应参照相关销售机构的具体规定。</w:t>
      </w:r>
    </w:p>
    <w:p w:rsidR="006D6097" w:rsidRPr="00BA7278" w:rsidRDefault="004855C4" w:rsidP="00767D95">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（二）</w:t>
      </w:r>
      <w:r w:rsidR="006D6097" w:rsidRPr="00BA7278">
        <w:rPr>
          <w:rFonts w:asciiTheme="minorEastAsia" w:hAnsiTheme="minorEastAsia" w:cs="Times New Roman" w:hint="eastAsia"/>
          <w:b/>
        </w:rPr>
        <w:t>办理机构</w:t>
      </w:r>
    </w:p>
    <w:p w:rsidR="00410558" w:rsidRPr="00BA7278" w:rsidRDefault="006D6097" w:rsidP="006D6097">
      <w:pPr>
        <w:spacing w:line="360" w:lineRule="auto"/>
        <w:ind w:firstLine="420"/>
        <w:rPr>
          <w:rFonts w:asciiTheme="minorEastAsia" w:hAnsiTheme="minorEastAsia" w:cs="Times New Roman"/>
        </w:rPr>
      </w:pPr>
      <w:r w:rsidRPr="00BA7278">
        <w:rPr>
          <w:rFonts w:asciiTheme="minorEastAsia" w:hAnsiTheme="minorEastAsia" w:cs="Times New Roman" w:hint="eastAsia"/>
        </w:rPr>
        <w:t>投资者目前可以通过</w:t>
      </w:r>
      <w:r w:rsidR="0076525A" w:rsidRPr="00BA7278">
        <w:rPr>
          <w:rFonts w:asciiTheme="minorEastAsia" w:hAnsiTheme="minorEastAsia" w:cs="Times New Roman" w:hint="eastAsia"/>
        </w:rPr>
        <w:t>共同代销上述基金并</w:t>
      </w:r>
      <w:r w:rsidR="0076525A" w:rsidRPr="00BA7278">
        <w:rPr>
          <w:rFonts w:asciiTheme="minorEastAsia" w:hAnsiTheme="minorEastAsia" w:cs="Times New Roman" w:hint="eastAsia"/>
          <w:color w:val="000000" w:themeColor="text1"/>
          <w:kern w:val="0"/>
          <w:szCs w:val="21"/>
        </w:rPr>
        <w:t>开通转换业务的</w:t>
      </w:r>
      <w:r w:rsidR="00ED74EF">
        <w:rPr>
          <w:rFonts w:asciiTheme="minorEastAsia" w:hAnsiTheme="minorEastAsia" w:cs="Times New Roman" w:hint="eastAsia"/>
          <w:color w:val="000000" w:themeColor="text1"/>
          <w:kern w:val="0"/>
          <w:szCs w:val="21"/>
        </w:rPr>
        <w:t>中国银行股份有限公司、招商银行股份有限公司、</w:t>
      </w:r>
      <w:r w:rsidR="00D00F10">
        <w:rPr>
          <w:rFonts w:asciiTheme="minorEastAsia" w:hAnsiTheme="minorEastAsia" w:cs="Times New Roman" w:hint="eastAsia"/>
          <w:color w:val="000000" w:themeColor="text1"/>
          <w:kern w:val="0"/>
          <w:szCs w:val="21"/>
        </w:rPr>
        <w:t>兴业银行股份有限公司</w:t>
      </w:r>
      <w:r w:rsidR="0076525A" w:rsidRPr="00BA7278">
        <w:rPr>
          <w:rFonts w:asciiTheme="minorEastAsia" w:hAnsiTheme="minorEastAsia" w:cs="Times New Roman" w:hint="eastAsia"/>
        </w:rPr>
        <w:t>办理</w:t>
      </w:r>
      <w:r w:rsidRPr="00BA7278">
        <w:rPr>
          <w:rFonts w:asciiTheme="minorEastAsia" w:hAnsiTheme="minorEastAsia" w:cs="Times New Roman" w:hint="eastAsia"/>
        </w:rPr>
        <w:t>基金转换业务。</w:t>
      </w:r>
    </w:p>
    <w:p w:rsidR="006D6097" w:rsidRPr="00BA7278" w:rsidRDefault="00950BCA" w:rsidP="006D6097">
      <w:pPr>
        <w:spacing w:line="360" w:lineRule="auto"/>
        <w:ind w:firstLine="420"/>
        <w:rPr>
          <w:rFonts w:asciiTheme="minorEastAsia" w:hAnsiTheme="minorEastAsia" w:cs="Times New Roman"/>
        </w:rPr>
      </w:pPr>
      <w:r w:rsidRPr="00BA7278">
        <w:rPr>
          <w:rFonts w:asciiTheme="minorEastAsia" w:hAnsiTheme="minorEastAsia" w:cs="Times New Roman" w:hint="eastAsia"/>
        </w:rPr>
        <w:t>投资者在销售机构办理相关业务时，需遵循各基金销售机构的相关规定，以各销售机构的实际业务开展为准。</w:t>
      </w:r>
      <w:r w:rsidRPr="00BA7278">
        <w:rPr>
          <w:rFonts w:asciiTheme="minorEastAsia" w:hAnsiTheme="minorEastAsia" w:cs="Times New Roman"/>
        </w:rPr>
        <w:cr/>
      </w:r>
      <w:r w:rsidR="00452AC8" w:rsidRPr="00BA7278">
        <w:rPr>
          <w:rFonts w:asciiTheme="minorEastAsia" w:hAnsiTheme="minorEastAsia" w:cs="Times New Roman"/>
        </w:rPr>
        <w:t xml:space="preserve">    </w:t>
      </w:r>
      <w:r w:rsidR="006D6097" w:rsidRPr="00BA7278">
        <w:rPr>
          <w:rFonts w:asciiTheme="minorEastAsia" w:hAnsiTheme="minorEastAsia" w:cs="Times New Roman" w:hint="eastAsia"/>
        </w:rPr>
        <w:t>基金管理人将根据业务发展情况，调整业务办理机构，届时将按规定在指定媒介上刊登公告</w:t>
      </w:r>
      <w:r w:rsidR="004855C4" w:rsidRPr="00BA7278">
        <w:rPr>
          <w:rFonts w:asciiTheme="minorEastAsia" w:hAnsiTheme="minorEastAsia" w:cs="Times New Roman"/>
        </w:rPr>
        <w:t>/</w:t>
      </w:r>
      <w:r w:rsidR="004855C4" w:rsidRPr="00BA7278">
        <w:rPr>
          <w:rFonts w:asciiTheme="minorEastAsia" w:hAnsiTheme="minorEastAsia" w:cs="Times New Roman" w:hint="eastAsia"/>
        </w:rPr>
        <w:t>官方网站公示</w:t>
      </w:r>
      <w:r w:rsidR="006D6097" w:rsidRPr="00BA7278">
        <w:rPr>
          <w:rFonts w:asciiTheme="minorEastAsia" w:hAnsiTheme="minorEastAsia" w:cs="Times New Roman" w:hint="eastAsia"/>
        </w:rPr>
        <w:t>。</w:t>
      </w:r>
    </w:p>
    <w:p w:rsidR="00410558" w:rsidRPr="00BA7278" w:rsidRDefault="004855C4" w:rsidP="00767D95">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（三）</w:t>
      </w:r>
      <w:r w:rsidR="00410558" w:rsidRPr="00BA7278">
        <w:rPr>
          <w:rFonts w:asciiTheme="minorEastAsia" w:hAnsiTheme="minorEastAsia" w:cs="Times New Roman" w:hint="eastAsia"/>
          <w:b/>
        </w:rPr>
        <w:t>基金转换的申请</w:t>
      </w:r>
    </w:p>
    <w:p w:rsidR="00410558" w:rsidRPr="00BA7278" w:rsidRDefault="00452AC8" w:rsidP="00410558">
      <w:pPr>
        <w:spacing w:line="360" w:lineRule="auto"/>
        <w:ind w:firstLine="420"/>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w:t>
      </w:r>
      <w:r w:rsidR="00410558" w:rsidRPr="00BA7278">
        <w:rPr>
          <w:rFonts w:asciiTheme="minorEastAsia" w:hAnsiTheme="minorEastAsia" w:cs="Times New Roman" w:hint="eastAsia"/>
        </w:rPr>
        <w:t>基金转换的申请方式</w:t>
      </w:r>
    </w:p>
    <w:p w:rsidR="00410558" w:rsidRPr="00BA7278" w:rsidRDefault="00410558" w:rsidP="00410558">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基金份额持有人必须根据基金管理人与相关销售机构规定的手续，在开放日的交易时间段内提出基金转换申请。</w:t>
      </w:r>
    </w:p>
    <w:p w:rsidR="00410558" w:rsidRPr="00BA7278" w:rsidRDefault="00452AC8" w:rsidP="00410558">
      <w:pPr>
        <w:spacing w:line="360" w:lineRule="auto"/>
        <w:ind w:firstLine="420"/>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w:t>
      </w:r>
      <w:r w:rsidR="00410558" w:rsidRPr="00BA7278">
        <w:rPr>
          <w:rFonts w:asciiTheme="minorEastAsia" w:hAnsiTheme="minorEastAsia" w:cs="Times New Roman" w:hint="eastAsia"/>
        </w:rPr>
        <w:t>基金转换申请的确认</w:t>
      </w:r>
    </w:p>
    <w:p w:rsidR="00410558" w:rsidRPr="00BA7278" w:rsidRDefault="00410558" w:rsidP="00410558">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410558" w:rsidRPr="00BA7278" w:rsidRDefault="004855C4" w:rsidP="00767D95">
      <w:pPr>
        <w:spacing w:line="360" w:lineRule="auto"/>
        <w:ind w:firstLineChars="200" w:firstLine="422"/>
        <w:rPr>
          <w:rFonts w:asciiTheme="minorEastAsia" w:hAnsiTheme="minorEastAsia" w:cs="Times New Roman"/>
        </w:rPr>
      </w:pPr>
      <w:r w:rsidRPr="00BA7278">
        <w:rPr>
          <w:rFonts w:asciiTheme="minorEastAsia" w:hAnsiTheme="minorEastAsia" w:cs="Times New Roman" w:hint="eastAsia"/>
          <w:b/>
        </w:rPr>
        <w:t>（四）</w:t>
      </w:r>
      <w:r w:rsidR="00410558" w:rsidRPr="00BA7278">
        <w:rPr>
          <w:rFonts w:asciiTheme="minorEastAsia" w:hAnsiTheme="minorEastAsia" w:cs="Times New Roman" w:hint="eastAsia"/>
          <w:b/>
        </w:rPr>
        <w:t>基金转换的数额限制</w:t>
      </w:r>
    </w:p>
    <w:p w:rsidR="00410558" w:rsidRPr="00BA7278" w:rsidRDefault="00410558" w:rsidP="00410558">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410558" w:rsidRPr="00BA7278" w:rsidRDefault="00410558" w:rsidP="00410558">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份，应选择一次性全部转出，具体数量限制以各销售机构规定为准。</w:t>
      </w:r>
    </w:p>
    <w:p w:rsidR="00410558" w:rsidRPr="00BA7278" w:rsidRDefault="004855C4" w:rsidP="00767D95">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（五）</w:t>
      </w:r>
      <w:r w:rsidR="00410558" w:rsidRPr="00BA7278">
        <w:rPr>
          <w:rFonts w:asciiTheme="minorEastAsia" w:hAnsiTheme="minorEastAsia" w:cs="Times New Roman" w:hint="eastAsia"/>
          <w:b/>
        </w:rPr>
        <w:t>基金转换的注册登记</w:t>
      </w:r>
    </w:p>
    <w:p w:rsidR="00410558" w:rsidRPr="00BA7278" w:rsidRDefault="002060E2" w:rsidP="00410558">
      <w:pPr>
        <w:spacing w:line="360" w:lineRule="auto"/>
        <w:ind w:firstLine="420"/>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w:t>
      </w:r>
      <w:r w:rsidR="00410558" w:rsidRPr="00BA7278">
        <w:rPr>
          <w:rFonts w:asciiTheme="minorEastAsia" w:hAnsiTheme="minorEastAsia" w:cs="Times New Roman" w:hint="eastAsia"/>
        </w:rPr>
        <w:t>基金投资者提出的基金转换申请，在当日交易时间结束前可以撤销，交易时间结束后即不得撤销。</w:t>
      </w:r>
    </w:p>
    <w:p w:rsidR="00410558" w:rsidRPr="00BA7278" w:rsidRDefault="002060E2" w:rsidP="00410558">
      <w:pPr>
        <w:spacing w:line="360" w:lineRule="auto"/>
        <w:ind w:firstLine="420"/>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w:t>
      </w:r>
      <w:r w:rsidR="00410558" w:rsidRPr="00BA7278">
        <w:rPr>
          <w:rFonts w:asciiTheme="minorEastAsia" w:hAnsiTheme="minorEastAsia" w:cs="Times New Roman" w:hint="eastAsia"/>
        </w:rPr>
        <w:t>基金持有人申请基金转换成功后，基金注册登记机构在</w:t>
      </w:r>
      <w:r w:rsidR="00410558" w:rsidRPr="00BA7278">
        <w:rPr>
          <w:rFonts w:asciiTheme="minorEastAsia" w:hAnsiTheme="minorEastAsia" w:cs="Times New Roman"/>
        </w:rPr>
        <w:t>T+1</w:t>
      </w:r>
      <w:r w:rsidR="00410558" w:rsidRPr="00BA7278">
        <w:rPr>
          <w:rFonts w:asciiTheme="minorEastAsia" w:hAnsiTheme="minorEastAsia" w:cs="Times New Roman" w:hint="eastAsia"/>
        </w:rPr>
        <w:t>工作日为基金持有人办理相关的注册登记手续。</w:t>
      </w:r>
    </w:p>
    <w:p w:rsidR="00410558" w:rsidRPr="00BA7278" w:rsidRDefault="002060E2" w:rsidP="00410558">
      <w:pPr>
        <w:spacing w:line="360" w:lineRule="auto"/>
        <w:ind w:firstLine="420"/>
        <w:rPr>
          <w:rFonts w:asciiTheme="minorEastAsia" w:hAnsiTheme="minorEastAsia" w:cs="Times New Roman"/>
        </w:rPr>
      </w:pPr>
      <w:r w:rsidRPr="00BA7278">
        <w:rPr>
          <w:rFonts w:asciiTheme="minorEastAsia" w:hAnsiTheme="minorEastAsia" w:cs="Times New Roman"/>
        </w:rPr>
        <w:t>3</w:t>
      </w:r>
      <w:r w:rsidRPr="00BA7278">
        <w:rPr>
          <w:rFonts w:asciiTheme="minorEastAsia" w:hAnsiTheme="minorEastAsia" w:cs="Times New Roman" w:hint="eastAsia"/>
        </w:rPr>
        <w:t>、</w:t>
      </w:r>
      <w:r w:rsidR="00410558" w:rsidRPr="00BA7278">
        <w:rPr>
          <w:rFonts w:asciiTheme="minorEastAsia" w:hAnsiTheme="minorEastAsia" w:cs="Times New Roman" w:hint="eastAsia"/>
        </w:rPr>
        <w:t>基金管理人可在法律法规允许的范围内，对上述注册登记办理时间进行调整并公告。</w:t>
      </w:r>
    </w:p>
    <w:p w:rsidR="00337412" w:rsidRPr="00BA7278" w:rsidRDefault="004855C4" w:rsidP="00767D95">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四、</w:t>
      </w:r>
      <w:r w:rsidR="00337412" w:rsidRPr="00BA7278">
        <w:rPr>
          <w:rFonts w:asciiTheme="minorEastAsia" w:hAnsiTheme="minorEastAsia" w:cs="Times New Roman" w:hint="eastAsia"/>
          <w:b/>
        </w:rPr>
        <w:t>其他需要提示的事项</w:t>
      </w:r>
    </w:p>
    <w:p w:rsidR="00337412" w:rsidRPr="00BA7278" w:rsidRDefault="00337412" w:rsidP="00337412">
      <w:pPr>
        <w:spacing w:line="360" w:lineRule="auto"/>
        <w:ind w:firstLine="420"/>
        <w:rPr>
          <w:rFonts w:asciiTheme="minorEastAsia" w:hAnsiTheme="minorEastAsia" w:cs="Times New Roman"/>
        </w:rPr>
      </w:pPr>
      <w:r w:rsidRPr="00BA7278">
        <w:rPr>
          <w:rFonts w:asciiTheme="minorEastAsia" w:hAnsiTheme="minorEastAsia" w:cs="Times New Roman"/>
        </w:rPr>
        <w:t>1</w:t>
      </w:r>
      <w:r w:rsidR="002060E2" w:rsidRPr="00BA7278">
        <w:rPr>
          <w:rFonts w:asciiTheme="minorEastAsia" w:hAnsiTheme="minorEastAsia" w:cs="Times New Roman" w:hint="eastAsia"/>
        </w:rPr>
        <w:t>、</w:t>
      </w:r>
      <w:r w:rsidRPr="00BA7278">
        <w:rPr>
          <w:rFonts w:asciiTheme="minorEastAsia" w:hAnsiTheme="minorEastAsia" w:cs="Times New Roman" w:hint="eastAsia"/>
        </w:rPr>
        <w:t>本公告仅对基金开通基金份额日常转换业务的有关事项予以说明；</w:t>
      </w:r>
    </w:p>
    <w:p w:rsidR="00337412" w:rsidRPr="00BA7278" w:rsidRDefault="00337412" w:rsidP="00337412">
      <w:pPr>
        <w:spacing w:line="360" w:lineRule="auto"/>
        <w:ind w:firstLine="420"/>
        <w:rPr>
          <w:rFonts w:asciiTheme="minorEastAsia" w:hAnsiTheme="minorEastAsia" w:cs="Times New Roman"/>
        </w:rPr>
      </w:pPr>
      <w:r w:rsidRPr="00BA7278">
        <w:rPr>
          <w:rFonts w:asciiTheme="minorEastAsia" w:hAnsiTheme="minorEastAsia" w:cs="Times New Roman"/>
        </w:rPr>
        <w:t>2</w:t>
      </w:r>
      <w:r w:rsidR="002060E2" w:rsidRPr="00BA7278">
        <w:rPr>
          <w:rFonts w:asciiTheme="minorEastAsia" w:hAnsiTheme="minorEastAsia" w:cs="Times New Roman" w:hint="eastAsia"/>
        </w:rPr>
        <w:t>、</w:t>
      </w:r>
      <w:r w:rsidRPr="00BA7278">
        <w:rPr>
          <w:rFonts w:asciiTheme="minorEastAsia" w:hAnsiTheme="minorEastAsia" w:cs="Times New Roman" w:hint="eastAsia"/>
        </w:rPr>
        <w:t>投资者欲了解基金的详细情况，请详细阅读</w:t>
      </w:r>
      <w:r w:rsidR="004855C4" w:rsidRPr="00BA7278">
        <w:rPr>
          <w:rFonts w:asciiTheme="minorEastAsia" w:hAnsiTheme="minorEastAsia" w:cs="Times New Roman" w:hint="eastAsia"/>
        </w:rPr>
        <w:t>基金合同、招募说明书</w:t>
      </w:r>
      <w:r w:rsidRPr="00BA7278">
        <w:rPr>
          <w:rFonts w:asciiTheme="minorEastAsia" w:hAnsiTheme="minorEastAsia" w:cs="Times New Roman" w:hint="eastAsia"/>
        </w:rPr>
        <w:t>等法律文件。投资者亦可拨打本公司的客户服务电话</w:t>
      </w:r>
      <w:r w:rsidRPr="00BA7278">
        <w:rPr>
          <w:rFonts w:asciiTheme="minorEastAsia" w:hAnsiTheme="minorEastAsia" w:cs="Times New Roman"/>
        </w:rPr>
        <w:t>021-38834788/400-888-5566</w:t>
      </w:r>
      <w:r w:rsidRPr="00BA7278">
        <w:rPr>
          <w:rFonts w:asciiTheme="minorEastAsia" w:hAnsiTheme="minorEastAsia" w:cs="Times New Roman" w:hint="eastAsia"/>
        </w:rPr>
        <w:t>或登陆本公司网站</w:t>
      </w:r>
      <w:r w:rsidRPr="00BA7278">
        <w:rPr>
          <w:rFonts w:asciiTheme="minorEastAsia" w:hAnsiTheme="minorEastAsia" w:cs="Times New Roman"/>
        </w:rPr>
        <w:t>www.bocim.com</w:t>
      </w:r>
      <w:r w:rsidRPr="00BA7278">
        <w:rPr>
          <w:rFonts w:asciiTheme="minorEastAsia" w:hAnsiTheme="minorEastAsia" w:cs="Times New Roman" w:hint="eastAsia"/>
        </w:rPr>
        <w:t>了解相关情况。</w:t>
      </w:r>
    </w:p>
    <w:p w:rsidR="00337412" w:rsidRPr="00BA7278" w:rsidRDefault="00337412" w:rsidP="00337412">
      <w:pPr>
        <w:spacing w:line="360" w:lineRule="auto"/>
        <w:ind w:firstLine="420"/>
        <w:rPr>
          <w:rFonts w:asciiTheme="minorEastAsia" w:hAnsiTheme="minorEastAsia" w:cs="Times New Roman"/>
        </w:rPr>
      </w:pPr>
      <w:r w:rsidRPr="00BA7278">
        <w:rPr>
          <w:rFonts w:asciiTheme="minorEastAsia" w:hAnsiTheme="minorEastAsia" w:cs="Times New Roman"/>
        </w:rPr>
        <w:t>3</w:t>
      </w:r>
      <w:r w:rsidR="002060E2" w:rsidRPr="00BA7278">
        <w:rPr>
          <w:rFonts w:asciiTheme="minorEastAsia" w:hAnsiTheme="minorEastAsia" w:cs="Times New Roman" w:hint="eastAsia"/>
        </w:rPr>
        <w:t>、</w:t>
      </w:r>
      <w:r w:rsidRPr="00BA7278">
        <w:rPr>
          <w:rFonts w:asciiTheme="minorEastAsia" w:hAnsiTheme="minorEastAsia" w:cs="Times New Roman" w:hint="eastAsia"/>
        </w:rPr>
        <w:t>风险提示：</w:t>
      </w:r>
    </w:p>
    <w:p w:rsidR="00337412" w:rsidRPr="00BA7278" w:rsidRDefault="00337412" w:rsidP="00337412">
      <w:pPr>
        <w:spacing w:line="360" w:lineRule="auto"/>
        <w:ind w:firstLine="420"/>
        <w:rPr>
          <w:rFonts w:asciiTheme="minorEastAsia" w:hAnsiTheme="minorEastAsia" w:cs="Times New Roman"/>
        </w:rPr>
      </w:pPr>
      <w:r w:rsidRPr="00BA7278">
        <w:rPr>
          <w:rFonts w:asciiTheme="minorEastAsia" w:hAnsiTheme="minorEastAsia" w:cs="Times New Roman" w:hint="eastAsia"/>
        </w:rPr>
        <w:t>基金管理人承诺依照诚实信用、勤勉尽职的原则管理和运用基金资产，但不保证基金一定盈利，也不保证最低收益</w:t>
      </w:r>
      <w:r w:rsidR="004855C4" w:rsidRPr="00BA7278">
        <w:rPr>
          <w:rFonts w:asciiTheme="minorEastAsia" w:hAnsiTheme="minorEastAsia" w:cs="Times New Roman" w:hint="eastAsia"/>
        </w:rPr>
        <w:t>，在市场波动等因素的影响下，基金投资存在本金损失的风险</w:t>
      </w:r>
      <w:r w:rsidRPr="00BA7278">
        <w:rPr>
          <w:rFonts w:asciiTheme="minorEastAsia" w:hAnsiTheme="minorEastAsia" w:cs="Times New Roman" w:hint="eastAsia"/>
        </w:rPr>
        <w:t>。基金的过往业绩及其净值高低并不预示其未来业绩表现。基金管理人提醒投资者基金投资的</w:t>
      </w:r>
      <w:r w:rsidRPr="00BA7278">
        <w:rPr>
          <w:rFonts w:asciiTheme="minorEastAsia" w:hAnsiTheme="minorEastAsia" w:cs="Times New Roman"/>
        </w:rPr>
        <w:t>“</w:t>
      </w:r>
      <w:r w:rsidRPr="00BA7278">
        <w:rPr>
          <w:rFonts w:asciiTheme="minorEastAsia" w:hAnsiTheme="minorEastAsia" w:cs="Times New Roman" w:hint="eastAsia"/>
        </w:rPr>
        <w:t>买者自负”原则，在做出投资决策后，基金运营状况与基金净值变化引致的投资风险，由投资者自行负担。</w:t>
      </w:r>
    </w:p>
    <w:p w:rsidR="00AF4986" w:rsidRPr="00BA7278" w:rsidRDefault="00337412" w:rsidP="00337412">
      <w:pPr>
        <w:spacing w:line="360" w:lineRule="auto"/>
        <w:ind w:firstLine="420"/>
        <w:rPr>
          <w:rFonts w:asciiTheme="minorEastAsia" w:hAnsiTheme="minorEastAsia" w:cs="Times New Roman"/>
        </w:rPr>
      </w:pPr>
      <w:r w:rsidRPr="00BA7278">
        <w:rPr>
          <w:rFonts w:asciiTheme="minorEastAsia" w:hAnsiTheme="minorEastAsia" w:cs="Times New Roman" w:hint="eastAsia"/>
        </w:rPr>
        <w:t>投资者投资基金前应认真阅读基金合同、最新的招募说明书等法律文件，了解拟投资基金的风险收益特征，根据自身投资目的、投资期限、投资经验、资产状况等判断基金是否和投资者的风险承受能力相匹配</w:t>
      </w:r>
      <w:r w:rsidR="004855C4" w:rsidRPr="00BA7278">
        <w:rPr>
          <w:rFonts w:asciiTheme="minorEastAsia" w:hAnsiTheme="minorEastAsia" w:cs="Times New Roman" w:hint="eastAsia"/>
        </w:rPr>
        <w:t>，并按照销售机构的要求完成风险承受能力与产品风险之间的匹配检验。</w:t>
      </w:r>
    </w:p>
    <w:p w:rsidR="003100D0" w:rsidRPr="00BA7278" w:rsidRDefault="00412892" w:rsidP="00FD2DC0">
      <w:pPr>
        <w:spacing w:line="360" w:lineRule="auto"/>
        <w:ind w:firstLine="420"/>
        <w:rPr>
          <w:rFonts w:asciiTheme="minorEastAsia" w:hAnsiTheme="minorEastAsia" w:cs="Times New Roman"/>
        </w:rPr>
      </w:pPr>
      <w:r w:rsidRPr="00BA7278">
        <w:rPr>
          <w:rFonts w:asciiTheme="minorEastAsia" w:hAnsiTheme="minorEastAsia" w:cs="Times New Roman" w:hint="eastAsia"/>
        </w:rPr>
        <w:t>特此公告</w:t>
      </w:r>
      <w:r w:rsidR="00050D18" w:rsidRPr="00BA7278">
        <w:rPr>
          <w:rFonts w:asciiTheme="minorEastAsia" w:hAnsiTheme="minorEastAsia" w:cs="Times New Roman" w:hint="eastAsia"/>
        </w:rPr>
        <w:t>。</w:t>
      </w:r>
    </w:p>
    <w:p w:rsidR="003100D0" w:rsidRPr="00BA7278" w:rsidRDefault="003100D0" w:rsidP="0050773B">
      <w:pPr>
        <w:spacing w:line="360" w:lineRule="auto"/>
        <w:jc w:val="right"/>
        <w:rPr>
          <w:rFonts w:asciiTheme="minorEastAsia" w:hAnsiTheme="minorEastAsia" w:cs="Times New Roman"/>
        </w:rPr>
      </w:pPr>
      <w:r w:rsidRPr="00BA7278">
        <w:rPr>
          <w:rFonts w:asciiTheme="minorEastAsia" w:hAnsiTheme="minorEastAsia" w:cs="Times New Roman" w:hint="eastAsia"/>
        </w:rPr>
        <w:t>中银基金管理有限公司</w:t>
      </w:r>
    </w:p>
    <w:p w:rsidR="00EE279B" w:rsidRPr="00767D95" w:rsidRDefault="0076525A" w:rsidP="0050773B">
      <w:pPr>
        <w:spacing w:line="360" w:lineRule="auto"/>
        <w:jc w:val="right"/>
        <w:rPr>
          <w:rFonts w:asciiTheme="minorEastAsia" w:hAnsiTheme="minorEastAsia" w:cs="Times New Roman"/>
        </w:rPr>
      </w:pPr>
      <w:r w:rsidRPr="00BA7278">
        <w:rPr>
          <w:rFonts w:asciiTheme="minorEastAsia" w:hAnsiTheme="minorEastAsia" w:cs="Times New Roman"/>
        </w:rPr>
        <w:t>202</w:t>
      </w:r>
      <w:r w:rsidR="00475410">
        <w:rPr>
          <w:rFonts w:asciiTheme="minorEastAsia" w:hAnsiTheme="minorEastAsia" w:cs="Times New Roman"/>
        </w:rPr>
        <w:t>1</w:t>
      </w:r>
      <w:r w:rsidR="006457B8" w:rsidRPr="00BA7278">
        <w:rPr>
          <w:rFonts w:asciiTheme="minorEastAsia" w:hAnsiTheme="minorEastAsia" w:cs="Times New Roman" w:hint="eastAsia"/>
        </w:rPr>
        <w:t>年</w:t>
      </w:r>
      <w:r w:rsidR="00ED74EF">
        <w:rPr>
          <w:rFonts w:asciiTheme="minorEastAsia" w:hAnsiTheme="minorEastAsia" w:cs="Times New Roman"/>
        </w:rPr>
        <w:t>2</w:t>
      </w:r>
      <w:r w:rsidR="00281458" w:rsidRPr="00BA7278">
        <w:rPr>
          <w:rFonts w:asciiTheme="minorEastAsia" w:hAnsiTheme="minorEastAsia" w:cs="Times New Roman" w:hint="eastAsia"/>
        </w:rPr>
        <w:t>月</w:t>
      </w:r>
      <w:r w:rsidR="00ED74EF">
        <w:rPr>
          <w:rFonts w:asciiTheme="minorEastAsia" w:hAnsiTheme="minorEastAsia" w:cs="Times New Roman"/>
        </w:rPr>
        <w:t>5</w:t>
      </w:r>
      <w:r w:rsidR="00281458" w:rsidRPr="00BA7278">
        <w:rPr>
          <w:rFonts w:asciiTheme="minorEastAsia" w:hAnsiTheme="minorEastAsia" w:cs="Times New Roman" w:hint="eastAsia"/>
        </w:rPr>
        <w:t>日</w:t>
      </w:r>
    </w:p>
    <w:sectPr w:rsidR="00EE279B" w:rsidRPr="00767D95" w:rsidSect="00D838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A02" w:rsidRDefault="00643A02" w:rsidP="003100D0">
      <w:r>
        <w:separator/>
      </w:r>
    </w:p>
  </w:endnote>
  <w:endnote w:type="continuationSeparator" w:id="0">
    <w:p w:rsidR="00643A02" w:rsidRDefault="00643A02" w:rsidP="003100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A02" w:rsidRDefault="00643A02" w:rsidP="003100D0">
      <w:r>
        <w:separator/>
      </w:r>
    </w:p>
  </w:footnote>
  <w:footnote w:type="continuationSeparator" w:id="0">
    <w:p w:rsidR="00643A02" w:rsidRDefault="00643A02" w:rsidP="00310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6FB3"/>
    <w:multiLevelType w:val="hybridMultilevel"/>
    <w:tmpl w:val="86168CE6"/>
    <w:lvl w:ilvl="0" w:tplc="04090003">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534460"/>
    <w:multiLevelType w:val="hybridMultilevel"/>
    <w:tmpl w:val="9FA0235C"/>
    <w:lvl w:ilvl="0" w:tplc="A66C2EBC">
      <w:start w:val="1"/>
      <w:numFmt w:val="decimal"/>
      <w:lvlText w:val="%1）"/>
      <w:lvlJc w:val="left"/>
      <w:pPr>
        <w:tabs>
          <w:tab w:val="num" w:pos="624"/>
        </w:tabs>
        <w:ind w:left="624" w:hanging="62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9C1699B"/>
    <w:multiLevelType w:val="hybridMultilevel"/>
    <w:tmpl w:val="4F140B04"/>
    <w:lvl w:ilvl="0" w:tplc="AD44852E">
      <w:start w:val="1"/>
      <w:numFmt w:val="bullet"/>
      <w:lvlText w:val=""/>
      <w:lvlJc w:val="left"/>
      <w:pPr>
        <w:tabs>
          <w:tab w:val="num" w:pos="624"/>
        </w:tabs>
        <w:ind w:left="624" w:hanging="624"/>
      </w:pPr>
      <w:rPr>
        <w:rFonts w:ascii="Wingdings" w:hAnsi="Wingdings" w:hint="default"/>
      </w:rPr>
    </w:lvl>
    <w:lvl w:ilvl="1" w:tplc="04090019">
      <w:start w:val="1"/>
      <w:numFmt w:val="bullet"/>
      <w:lvlText w:val=""/>
      <w:lvlJc w:val="left"/>
      <w:pPr>
        <w:tabs>
          <w:tab w:val="num" w:pos="1124"/>
        </w:tabs>
        <w:ind w:left="1124" w:hanging="420"/>
      </w:pPr>
      <w:rPr>
        <w:rFonts w:ascii="Wingdings" w:hAnsi="Wingdings" w:hint="default"/>
      </w:rPr>
    </w:lvl>
    <w:lvl w:ilvl="2" w:tplc="0409001B" w:tentative="1">
      <w:start w:val="1"/>
      <w:numFmt w:val="bullet"/>
      <w:lvlText w:val=""/>
      <w:lvlJc w:val="left"/>
      <w:pPr>
        <w:tabs>
          <w:tab w:val="num" w:pos="1544"/>
        </w:tabs>
        <w:ind w:left="1544" w:hanging="420"/>
      </w:pPr>
      <w:rPr>
        <w:rFonts w:ascii="Wingdings" w:hAnsi="Wingdings" w:hint="default"/>
      </w:rPr>
    </w:lvl>
    <w:lvl w:ilvl="3" w:tplc="0409000F" w:tentative="1">
      <w:start w:val="1"/>
      <w:numFmt w:val="bullet"/>
      <w:lvlText w:val=""/>
      <w:lvlJc w:val="left"/>
      <w:pPr>
        <w:tabs>
          <w:tab w:val="num" w:pos="1964"/>
        </w:tabs>
        <w:ind w:left="1964" w:hanging="420"/>
      </w:pPr>
      <w:rPr>
        <w:rFonts w:ascii="Wingdings" w:hAnsi="Wingdings" w:hint="default"/>
      </w:rPr>
    </w:lvl>
    <w:lvl w:ilvl="4" w:tplc="04090019" w:tentative="1">
      <w:start w:val="1"/>
      <w:numFmt w:val="bullet"/>
      <w:lvlText w:val=""/>
      <w:lvlJc w:val="left"/>
      <w:pPr>
        <w:tabs>
          <w:tab w:val="num" w:pos="2384"/>
        </w:tabs>
        <w:ind w:left="2384" w:hanging="420"/>
      </w:pPr>
      <w:rPr>
        <w:rFonts w:ascii="Wingdings" w:hAnsi="Wingdings" w:hint="default"/>
      </w:rPr>
    </w:lvl>
    <w:lvl w:ilvl="5" w:tplc="0409001B" w:tentative="1">
      <w:start w:val="1"/>
      <w:numFmt w:val="bullet"/>
      <w:lvlText w:val=""/>
      <w:lvlJc w:val="left"/>
      <w:pPr>
        <w:tabs>
          <w:tab w:val="num" w:pos="2804"/>
        </w:tabs>
        <w:ind w:left="2804" w:hanging="420"/>
      </w:pPr>
      <w:rPr>
        <w:rFonts w:ascii="Wingdings" w:hAnsi="Wingdings" w:hint="default"/>
      </w:rPr>
    </w:lvl>
    <w:lvl w:ilvl="6" w:tplc="0409000F" w:tentative="1">
      <w:start w:val="1"/>
      <w:numFmt w:val="bullet"/>
      <w:lvlText w:val=""/>
      <w:lvlJc w:val="left"/>
      <w:pPr>
        <w:tabs>
          <w:tab w:val="num" w:pos="3224"/>
        </w:tabs>
        <w:ind w:left="3224" w:hanging="420"/>
      </w:pPr>
      <w:rPr>
        <w:rFonts w:ascii="Wingdings" w:hAnsi="Wingdings" w:hint="default"/>
      </w:rPr>
    </w:lvl>
    <w:lvl w:ilvl="7" w:tplc="04090019" w:tentative="1">
      <w:start w:val="1"/>
      <w:numFmt w:val="bullet"/>
      <w:lvlText w:val=""/>
      <w:lvlJc w:val="left"/>
      <w:pPr>
        <w:tabs>
          <w:tab w:val="num" w:pos="3644"/>
        </w:tabs>
        <w:ind w:left="3644" w:hanging="420"/>
      </w:pPr>
      <w:rPr>
        <w:rFonts w:ascii="Wingdings" w:hAnsi="Wingdings" w:hint="default"/>
      </w:rPr>
    </w:lvl>
    <w:lvl w:ilvl="8" w:tplc="0409001B" w:tentative="1">
      <w:start w:val="1"/>
      <w:numFmt w:val="bullet"/>
      <w:lvlText w:val=""/>
      <w:lvlJc w:val="left"/>
      <w:pPr>
        <w:tabs>
          <w:tab w:val="num" w:pos="4064"/>
        </w:tabs>
        <w:ind w:left="4064" w:hanging="420"/>
      </w:pPr>
      <w:rPr>
        <w:rFonts w:ascii="Wingdings" w:hAnsi="Wingdings" w:hint="default"/>
      </w:rPr>
    </w:lvl>
  </w:abstractNum>
  <w:abstractNum w:abstractNumId="3">
    <w:nsid w:val="49576065"/>
    <w:multiLevelType w:val="hybridMultilevel"/>
    <w:tmpl w:val="8F66BD2A"/>
    <w:lvl w:ilvl="0" w:tplc="A66C2EBC">
      <w:start w:val="1"/>
      <w:numFmt w:val="decimal"/>
      <w:lvlText w:val="%1."/>
      <w:lvlJc w:val="left"/>
      <w:pPr>
        <w:tabs>
          <w:tab w:val="num" w:pos="624"/>
        </w:tabs>
        <w:ind w:left="624" w:hanging="62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5CE17F24"/>
    <w:multiLevelType w:val="hybridMultilevel"/>
    <w:tmpl w:val="0A26BAE6"/>
    <w:lvl w:ilvl="0" w:tplc="980A3D30">
      <w:start w:val="1"/>
      <w:numFmt w:val="decimal"/>
      <w:lvlText w:val="%1）"/>
      <w:lvlJc w:val="left"/>
      <w:pPr>
        <w:tabs>
          <w:tab w:val="num" w:pos="624"/>
        </w:tabs>
        <w:ind w:left="624" w:hanging="624"/>
      </w:pPr>
      <w:rPr>
        <w:rFonts w:hint="eastAsia"/>
      </w:rPr>
    </w:lvl>
    <w:lvl w:ilvl="1" w:tplc="A74819BC">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5D2A5E3C"/>
    <w:multiLevelType w:val="hybridMultilevel"/>
    <w:tmpl w:val="0DACFD9E"/>
    <w:lvl w:ilvl="0" w:tplc="6D04C098">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636B3DDD"/>
    <w:multiLevelType w:val="hybridMultilevel"/>
    <w:tmpl w:val="0F4420B0"/>
    <w:lvl w:ilvl="0" w:tplc="89D05846">
      <w:start w:val="1"/>
      <w:numFmt w:val="japaneseCounting"/>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
    <w:nsid w:val="6EAD1F5E"/>
    <w:multiLevelType w:val="hybridMultilevel"/>
    <w:tmpl w:val="5A2CCD18"/>
    <w:lvl w:ilvl="0" w:tplc="8C1ED81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8C34BD"/>
    <w:multiLevelType w:val="hybridMultilevel"/>
    <w:tmpl w:val="43241398"/>
    <w:lvl w:ilvl="0" w:tplc="3F9CC92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72D237EB"/>
    <w:multiLevelType w:val="hybridMultilevel"/>
    <w:tmpl w:val="9FBA27C0"/>
    <w:lvl w:ilvl="0" w:tplc="020280C0">
      <w:start w:val="1"/>
      <w:numFmt w:val="decimal"/>
      <w:lvlText w:val="%1."/>
      <w:lvlJc w:val="left"/>
      <w:pPr>
        <w:tabs>
          <w:tab w:val="num" w:pos="624"/>
        </w:tabs>
        <w:ind w:left="624" w:hanging="624"/>
      </w:pPr>
      <w:rPr>
        <w:rFonts w:hint="eastAsia"/>
      </w:rPr>
    </w:lvl>
    <w:lvl w:ilvl="1" w:tplc="04090019">
      <w:start w:val="1"/>
      <w:numFmt w:val="decimalEnclosedCircle"/>
      <w:lvlText w:val="%2"/>
      <w:lvlJc w:val="left"/>
      <w:pPr>
        <w:tabs>
          <w:tab w:val="num" w:pos="780"/>
        </w:tabs>
        <w:ind w:left="780" w:hanging="360"/>
      </w:pPr>
      <w:rPr>
        <w:rFonts w:ascii="宋体" w:hAnsi="宋体" w:cs="宋体"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734466E6">
      <w:start w:val="1"/>
      <w:numFmt w:val="decimal"/>
      <w:lvlText w:val="(%5)"/>
      <w:lvlJc w:val="left"/>
      <w:pPr>
        <w:tabs>
          <w:tab w:val="num" w:pos="2040"/>
        </w:tabs>
        <w:ind w:left="2040" w:hanging="36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38435B"/>
    <w:multiLevelType w:val="hybridMultilevel"/>
    <w:tmpl w:val="62363A14"/>
    <w:lvl w:ilvl="0" w:tplc="0D0C09A6">
      <w:start w:val="1"/>
      <w:numFmt w:val="decimal"/>
      <w:suff w:val="space"/>
      <w:lvlText w:val="%1."/>
      <w:lvlJc w:val="left"/>
      <w:pPr>
        <w:ind w:left="624" w:hanging="624"/>
      </w:pPr>
      <w:rPr>
        <w:rFonts w:hint="eastAsia"/>
        <w:color w:val="auto"/>
      </w:rPr>
    </w:lvl>
    <w:lvl w:ilvl="1" w:tplc="04090019">
      <w:start w:val="1"/>
      <w:numFmt w:val="chineseCountingThousand"/>
      <w:lvlText w:val="%2"/>
      <w:lvlJc w:val="left"/>
      <w:pPr>
        <w:tabs>
          <w:tab w:val="num" w:pos="624"/>
        </w:tabs>
        <w:ind w:left="624" w:hanging="624"/>
      </w:pPr>
      <w:rPr>
        <w:rFonts w:eastAsia="宋体" w:hint="eastAsia"/>
        <w:b/>
        <w:i w:val="0"/>
        <w:color w:val="auto"/>
        <w:sz w:val="24"/>
        <w:szCs w:val="24"/>
      </w:rPr>
    </w:lvl>
    <w:lvl w:ilvl="2" w:tplc="7A5CC264">
      <w:start w:val="1"/>
      <w:numFmt w:val="chineseCountingThousand"/>
      <w:lvlText w:val="(%3)"/>
      <w:lvlJc w:val="left"/>
      <w:pPr>
        <w:tabs>
          <w:tab w:val="num" w:pos="624"/>
        </w:tabs>
        <w:ind w:left="624" w:hanging="624"/>
      </w:pPr>
      <w:rPr>
        <w:rFonts w:hint="eastAsia"/>
        <w:b/>
        <w:i w:val="0"/>
        <w:sz w:val="21"/>
        <w:szCs w:val="21"/>
      </w:rPr>
    </w:lvl>
    <w:lvl w:ilvl="3" w:tplc="76C26EA6">
      <w:start w:val="1"/>
      <w:numFmt w:val="decimal"/>
      <w:lvlText w:val="%4）"/>
      <w:lvlJc w:val="left"/>
      <w:pPr>
        <w:ind w:left="786" w:hanging="36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0"/>
  </w:num>
  <w:num w:numId="3">
    <w:abstractNumId w:val="3"/>
  </w:num>
  <w:num w:numId="4">
    <w:abstractNumId w:val="1"/>
  </w:num>
  <w:num w:numId="5">
    <w:abstractNumId w:val="9"/>
  </w:num>
  <w:num w:numId="6">
    <w:abstractNumId w:val="4"/>
  </w:num>
  <w:num w:numId="7">
    <w:abstractNumId w:val="2"/>
  </w:num>
  <w:num w:numId="8">
    <w:abstractNumId w:val="8"/>
  </w:num>
  <w:num w:numId="9">
    <w:abstractNumId w:val="6"/>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247C"/>
    <w:rsid w:val="0001142A"/>
    <w:rsid w:val="00017EAE"/>
    <w:rsid w:val="000231B0"/>
    <w:rsid w:val="00026C44"/>
    <w:rsid w:val="0003481A"/>
    <w:rsid w:val="00036954"/>
    <w:rsid w:val="00050BC6"/>
    <w:rsid w:val="00050D18"/>
    <w:rsid w:val="0006374B"/>
    <w:rsid w:val="000721F9"/>
    <w:rsid w:val="000736EF"/>
    <w:rsid w:val="00086382"/>
    <w:rsid w:val="00093330"/>
    <w:rsid w:val="0009403E"/>
    <w:rsid w:val="00097692"/>
    <w:rsid w:val="000A42F6"/>
    <w:rsid w:val="000B0CEF"/>
    <w:rsid w:val="000C740E"/>
    <w:rsid w:val="000D23B0"/>
    <w:rsid w:val="000E1FC5"/>
    <w:rsid w:val="000E3D1C"/>
    <w:rsid w:val="00121523"/>
    <w:rsid w:val="001345C2"/>
    <w:rsid w:val="00137076"/>
    <w:rsid w:val="00144920"/>
    <w:rsid w:val="001463DF"/>
    <w:rsid w:val="00182839"/>
    <w:rsid w:val="001A034E"/>
    <w:rsid w:val="001A4BA7"/>
    <w:rsid w:val="001C1A96"/>
    <w:rsid w:val="001C236B"/>
    <w:rsid w:val="001C63F4"/>
    <w:rsid w:val="001D6055"/>
    <w:rsid w:val="001E0852"/>
    <w:rsid w:val="001E322A"/>
    <w:rsid w:val="001E7DB6"/>
    <w:rsid w:val="001F129E"/>
    <w:rsid w:val="001F26C2"/>
    <w:rsid w:val="001F3DE3"/>
    <w:rsid w:val="002056C4"/>
    <w:rsid w:val="002060E2"/>
    <w:rsid w:val="00216FFB"/>
    <w:rsid w:val="00233F66"/>
    <w:rsid w:val="00234911"/>
    <w:rsid w:val="002527BB"/>
    <w:rsid w:val="00253266"/>
    <w:rsid w:val="00267CB4"/>
    <w:rsid w:val="00272C78"/>
    <w:rsid w:val="00281458"/>
    <w:rsid w:val="00296010"/>
    <w:rsid w:val="002A27BB"/>
    <w:rsid w:val="002B7B59"/>
    <w:rsid w:val="002C25C1"/>
    <w:rsid w:val="002C428E"/>
    <w:rsid w:val="002E1A9E"/>
    <w:rsid w:val="002E1B28"/>
    <w:rsid w:val="002E61C5"/>
    <w:rsid w:val="003039F3"/>
    <w:rsid w:val="003100D0"/>
    <w:rsid w:val="00313DB5"/>
    <w:rsid w:val="00315B23"/>
    <w:rsid w:val="003360AC"/>
    <w:rsid w:val="00337412"/>
    <w:rsid w:val="00347437"/>
    <w:rsid w:val="00350C77"/>
    <w:rsid w:val="00362848"/>
    <w:rsid w:val="003667B0"/>
    <w:rsid w:val="0037333E"/>
    <w:rsid w:val="00380424"/>
    <w:rsid w:val="00381655"/>
    <w:rsid w:val="00385689"/>
    <w:rsid w:val="00385810"/>
    <w:rsid w:val="003A18F6"/>
    <w:rsid w:val="003C2A36"/>
    <w:rsid w:val="003D2960"/>
    <w:rsid w:val="003D32EC"/>
    <w:rsid w:val="003D33B7"/>
    <w:rsid w:val="003D6836"/>
    <w:rsid w:val="003E0EE0"/>
    <w:rsid w:val="004028FE"/>
    <w:rsid w:val="00402A89"/>
    <w:rsid w:val="004030CD"/>
    <w:rsid w:val="00404058"/>
    <w:rsid w:val="00410558"/>
    <w:rsid w:val="00412892"/>
    <w:rsid w:val="004130DE"/>
    <w:rsid w:val="00414E94"/>
    <w:rsid w:val="004524C1"/>
    <w:rsid w:val="00452AC8"/>
    <w:rsid w:val="0047049F"/>
    <w:rsid w:val="00475410"/>
    <w:rsid w:val="00483769"/>
    <w:rsid w:val="00484B17"/>
    <w:rsid w:val="004855C4"/>
    <w:rsid w:val="004878BA"/>
    <w:rsid w:val="004A5AE6"/>
    <w:rsid w:val="004B3910"/>
    <w:rsid w:val="004C0128"/>
    <w:rsid w:val="004D3D72"/>
    <w:rsid w:val="004D6E32"/>
    <w:rsid w:val="004E2CF8"/>
    <w:rsid w:val="0050773B"/>
    <w:rsid w:val="005129BA"/>
    <w:rsid w:val="0052412E"/>
    <w:rsid w:val="00524DD7"/>
    <w:rsid w:val="005416BA"/>
    <w:rsid w:val="00553309"/>
    <w:rsid w:val="00562DC8"/>
    <w:rsid w:val="005633AA"/>
    <w:rsid w:val="00566A50"/>
    <w:rsid w:val="005763E6"/>
    <w:rsid w:val="005825CF"/>
    <w:rsid w:val="00587D46"/>
    <w:rsid w:val="005B07F9"/>
    <w:rsid w:val="005C73A8"/>
    <w:rsid w:val="006037E7"/>
    <w:rsid w:val="00630A55"/>
    <w:rsid w:val="00633037"/>
    <w:rsid w:val="00643A02"/>
    <w:rsid w:val="006457B8"/>
    <w:rsid w:val="0065351A"/>
    <w:rsid w:val="00664F27"/>
    <w:rsid w:val="00670DCC"/>
    <w:rsid w:val="00673F09"/>
    <w:rsid w:val="0067660E"/>
    <w:rsid w:val="00691C47"/>
    <w:rsid w:val="00691DAE"/>
    <w:rsid w:val="00691FBB"/>
    <w:rsid w:val="00694291"/>
    <w:rsid w:val="00697F89"/>
    <w:rsid w:val="006B3C68"/>
    <w:rsid w:val="006C2E6F"/>
    <w:rsid w:val="006D215E"/>
    <w:rsid w:val="006D6097"/>
    <w:rsid w:val="007007D0"/>
    <w:rsid w:val="007014BF"/>
    <w:rsid w:val="00704AA7"/>
    <w:rsid w:val="0072247C"/>
    <w:rsid w:val="00750F06"/>
    <w:rsid w:val="0075545B"/>
    <w:rsid w:val="00756C15"/>
    <w:rsid w:val="0076525A"/>
    <w:rsid w:val="007660D2"/>
    <w:rsid w:val="00766132"/>
    <w:rsid w:val="00766777"/>
    <w:rsid w:val="00767D95"/>
    <w:rsid w:val="0077056C"/>
    <w:rsid w:val="00774CF8"/>
    <w:rsid w:val="0077579A"/>
    <w:rsid w:val="00780646"/>
    <w:rsid w:val="00782ACB"/>
    <w:rsid w:val="00792CE4"/>
    <w:rsid w:val="00794D79"/>
    <w:rsid w:val="00795A4C"/>
    <w:rsid w:val="00797C10"/>
    <w:rsid w:val="007A2A0B"/>
    <w:rsid w:val="007A696D"/>
    <w:rsid w:val="007B701C"/>
    <w:rsid w:val="007D045D"/>
    <w:rsid w:val="007D123C"/>
    <w:rsid w:val="007D5876"/>
    <w:rsid w:val="007D767C"/>
    <w:rsid w:val="007E5E25"/>
    <w:rsid w:val="007E72BD"/>
    <w:rsid w:val="007F53DD"/>
    <w:rsid w:val="00805119"/>
    <w:rsid w:val="00810ABB"/>
    <w:rsid w:val="00812C3B"/>
    <w:rsid w:val="00815B12"/>
    <w:rsid w:val="00823448"/>
    <w:rsid w:val="008263CE"/>
    <w:rsid w:val="00827D9E"/>
    <w:rsid w:val="008565EA"/>
    <w:rsid w:val="0085688E"/>
    <w:rsid w:val="008657EF"/>
    <w:rsid w:val="00875161"/>
    <w:rsid w:val="00876996"/>
    <w:rsid w:val="008B63CF"/>
    <w:rsid w:val="008D6457"/>
    <w:rsid w:val="008E1505"/>
    <w:rsid w:val="0090126D"/>
    <w:rsid w:val="00903D44"/>
    <w:rsid w:val="0094371F"/>
    <w:rsid w:val="00943A1D"/>
    <w:rsid w:val="00950BCA"/>
    <w:rsid w:val="00957004"/>
    <w:rsid w:val="0096541F"/>
    <w:rsid w:val="00977FD0"/>
    <w:rsid w:val="0098083D"/>
    <w:rsid w:val="009A7C18"/>
    <w:rsid w:val="009B012F"/>
    <w:rsid w:val="009B03A5"/>
    <w:rsid w:val="009E2693"/>
    <w:rsid w:val="00A12F04"/>
    <w:rsid w:val="00A34713"/>
    <w:rsid w:val="00A347EF"/>
    <w:rsid w:val="00A450BE"/>
    <w:rsid w:val="00A61EB8"/>
    <w:rsid w:val="00A87544"/>
    <w:rsid w:val="00A93E52"/>
    <w:rsid w:val="00AA298E"/>
    <w:rsid w:val="00AA342E"/>
    <w:rsid w:val="00AA41EF"/>
    <w:rsid w:val="00AB7615"/>
    <w:rsid w:val="00AB7B25"/>
    <w:rsid w:val="00AD3DDA"/>
    <w:rsid w:val="00AD4D9B"/>
    <w:rsid w:val="00AE7DB2"/>
    <w:rsid w:val="00AF4986"/>
    <w:rsid w:val="00AF5765"/>
    <w:rsid w:val="00B12383"/>
    <w:rsid w:val="00B153C5"/>
    <w:rsid w:val="00B22AA3"/>
    <w:rsid w:val="00B317FA"/>
    <w:rsid w:val="00B33587"/>
    <w:rsid w:val="00B41F59"/>
    <w:rsid w:val="00B4428E"/>
    <w:rsid w:val="00B464FF"/>
    <w:rsid w:val="00B61479"/>
    <w:rsid w:val="00B63E8B"/>
    <w:rsid w:val="00B71331"/>
    <w:rsid w:val="00B81208"/>
    <w:rsid w:val="00BA7278"/>
    <w:rsid w:val="00BB136E"/>
    <w:rsid w:val="00BC50C0"/>
    <w:rsid w:val="00BD0DB0"/>
    <w:rsid w:val="00BD5CA6"/>
    <w:rsid w:val="00BF693D"/>
    <w:rsid w:val="00BF73B7"/>
    <w:rsid w:val="00C13A96"/>
    <w:rsid w:val="00C20A91"/>
    <w:rsid w:val="00C2685B"/>
    <w:rsid w:val="00C35312"/>
    <w:rsid w:val="00C61157"/>
    <w:rsid w:val="00CA0D84"/>
    <w:rsid w:val="00CA6AC1"/>
    <w:rsid w:val="00CB13F4"/>
    <w:rsid w:val="00CB58E3"/>
    <w:rsid w:val="00CC5737"/>
    <w:rsid w:val="00CC7B30"/>
    <w:rsid w:val="00CE00D8"/>
    <w:rsid w:val="00CE44BE"/>
    <w:rsid w:val="00CE715E"/>
    <w:rsid w:val="00CF308C"/>
    <w:rsid w:val="00CF4173"/>
    <w:rsid w:val="00D00F10"/>
    <w:rsid w:val="00D027F3"/>
    <w:rsid w:val="00D07247"/>
    <w:rsid w:val="00D07CAF"/>
    <w:rsid w:val="00D14DB4"/>
    <w:rsid w:val="00D24E01"/>
    <w:rsid w:val="00D55CD8"/>
    <w:rsid w:val="00D70453"/>
    <w:rsid w:val="00D7324F"/>
    <w:rsid w:val="00D8138C"/>
    <w:rsid w:val="00D83810"/>
    <w:rsid w:val="00D91D87"/>
    <w:rsid w:val="00D93B9D"/>
    <w:rsid w:val="00DA145B"/>
    <w:rsid w:val="00DA1BCF"/>
    <w:rsid w:val="00DB1FF8"/>
    <w:rsid w:val="00DB456E"/>
    <w:rsid w:val="00DB764A"/>
    <w:rsid w:val="00DD349F"/>
    <w:rsid w:val="00DE4022"/>
    <w:rsid w:val="00DF2D89"/>
    <w:rsid w:val="00DF7E41"/>
    <w:rsid w:val="00E01387"/>
    <w:rsid w:val="00E03B1F"/>
    <w:rsid w:val="00E06CC3"/>
    <w:rsid w:val="00E10637"/>
    <w:rsid w:val="00E213A1"/>
    <w:rsid w:val="00E22846"/>
    <w:rsid w:val="00E23DA5"/>
    <w:rsid w:val="00E426AC"/>
    <w:rsid w:val="00E517CE"/>
    <w:rsid w:val="00E5515B"/>
    <w:rsid w:val="00E61B3C"/>
    <w:rsid w:val="00E642FD"/>
    <w:rsid w:val="00E646E7"/>
    <w:rsid w:val="00E6735D"/>
    <w:rsid w:val="00E70D21"/>
    <w:rsid w:val="00E86004"/>
    <w:rsid w:val="00E94EB6"/>
    <w:rsid w:val="00E9760D"/>
    <w:rsid w:val="00EA7ED4"/>
    <w:rsid w:val="00EB080A"/>
    <w:rsid w:val="00ED74EF"/>
    <w:rsid w:val="00ED7B7D"/>
    <w:rsid w:val="00EE2767"/>
    <w:rsid w:val="00EE279B"/>
    <w:rsid w:val="00F03977"/>
    <w:rsid w:val="00F257A3"/>
    <w:rsid w:val="00F26583"/>
    <w:rsid w:val="00F3357E"/>
    <w:rsid w:val="00F358F6"/>
    <w:rsid w:val="00F46FF3"/>
    <w:rsid w:val="00F739B8"/>
    <w:rsid w:val="00F81BAC"/>
    <w:rsid w:val="00FB483D"/>
    <w:rsid w:val="00FB6D51"/>
    <w:rsid w:val="00FB7728"/>
    <w:rsid w:val="00FD2104"/>
    <w:rsid w:val="00FD2DC0"/>
    <w:rsid w:val="00FD6B4A"/>
    <w:rsid w:val="00FF0714"/>
    <w:rsid w:val="00FF12F9"/>
    <w:rsid w:val="00FF4173"/>
    <w:rsid w:val="00FF5095"/>
    <w:rsid w:val="00FF5C79"/>
    <w:rsid w:val="00FF72C2"/>
    <w:rsid w:val="00FF7DA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10"/>
    <w:pPr>
      <w:widowControl w:val="0"/>
      <w:jc w:val="both"/>
    </w:pPr>
  </w:style>
  <w:style w:type="paragraph" w:styleId="2">
    <w:name w:val="heading 2"/>
    <w:basedOn w:val="a"/>
    <w:next w:val="a"/>
    <w:link w:val="2Char"/>
    <w:qFormat/>
    <w:rsid w:val="00C61157"/>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0D0"/>
    <w:rPr>
      <w:sz w:val="18"/>
      <w:szCs w:val="18"/>
    </w:rPr>
  </w:style>
  <w:style w:type="paragraph" w:styleId="a4">
    <w:name w:val="footer"/>
    <w:basedOn w:val="a"/>
    <w:link w:val="Char0"/>
    <w:uiPriority w:val="99"/>
    <w:unhideWhenUsed/>
    <w:rsid w:val="003100D0"/>
    <w:pPr>
      <w:tabs>
        <w:tab w:val="center" w:pos="4153"/>
        <w:tab w:val="right" w:pos="8306"/>
      </w:tabs>
      <w:snapToGrid w:val="0"/>
      <w:jc w:val="left"/>
    </w:pPr>
    <w:rPr>
      <w:sz w:val="18"/>
      <w:szCs w:val="18"/>
    </w:rPr>
  </w:style>
  <w:style w:type="character" w:customStyle="1" w:styleId="Char0">
    <w:name w:val="页脚 Char"/>
    <w:basedOn w:val="a0"/>
    <w:link w:val="a4"/>
    <w:uiPriority w:val="99"/>
    <w:rsid w:val="003100D0"/>
    <w:rPr>
      <w:sz w:val="18"/>
      <w:szCs w:val="18"/>
    </w:rPr>
  </w:style>
  <w:style w:type="paragraph" w:styleId="a5">
    <w:name w:val="Balloon Text"/>
    <w:basedOn w:val="a"/>
    <w:link w:val="Char1"/>
    <w:uiPriority w:val="99"/>
    <w:semiHidden/>
    <w:unhideWhenUsed/>
    <w:rsid w:val="006B3C68"/>
    <w:rPr>
      <w:sz w:val="18"/>
      <w:szCs w:val="18"/>
    </w:rPr>
  </w:style>
  <w:style w:type="character" w:customStyle="1" w:styleId="Char1">
    <w:name w:val="批注框文本 Char"/>
    <w:basedOn w:val="a0"/>
    <w:link w:val="a5"/>
    <w:uiPriority w:val="99"/>
    <w:semiHidden/>
    <w:rsid w:val="006B3C68"/>
    <w:rPr>
      <w:sz w:val="18"/>
      <w:szCs w:val="18"/>
    </w:rPr>
  </w:style>
  <w:style w:type="paragraph" w:styleId="a6">
    <w:name w:val="List Paragraph"/>
    <w:basedOn w:val="a"/>
    <w:uiPriority w:val="34"/>
    <w:qFormat/>
    <w:rsid w:val="0052412E"/>
    <w:pPr>
      <w:ind w:left="720"/>
      <w:contextualSpacing/>
    </w:pPr>
  </w:style>
  <w:style w:type="paragraph" w:styleId="a7">
    <w:name w:val="Normal (Web)"/>
    <w:basedOn w:val="a"/>
    <w:uiPriority w:val="99"/>
    <w:semiHidden/>
    <w:unhideWhenUsed/>
    <w:rsid w:val="00EE2767"/>
    <w:rPr>
      <w:rFonts w:ascii="Times New Roman" w:hAnsi="Times New Roman" w:cs="Times New Roman"/>
      <w:sz w:val="24"/>
      <w:szCs w:val="24"/>
    </w:rPr>
  </w:style>
  <w:style w:type="character" w:styleId="a8">
    <w:name w:val="annotation reference"/>
    <w:basedOn w:val="a0"/>
    <w:uiPriority w:val="99"/>
    <w:semiHidden/>
    <w:unhideWhenUsed/>
    <w:rsid w:val="000E3D1C"/>
    <w:rPr>
      <w:sz w:val="21"/>
      <w:szCs w:val="21"/>
    </w:rPr>
  </w:style>
  <w:style w:type="paragraph" w:styleId="a9">
    <w:name w:val="annotation text"/>
    <w:basedOn w:val="a"/>
    <w:link w:val="Char2"/>
    <w:uiPriority w:val="99"/>
    <w:semiHidden/>
    <w:unhideWhenUsed/>
    <w:rsid w:val="000E3D1C"/>
    <w:pPr>
      <w:jc w:val="left"/>
    </w:pPr>
  </w:style>
  <w:style w:type="character" w:customStyle="1" w:styleId="Char2">
    <w:name w:val="批注文字 Char"/>
    <w:basedOn w:val="a0"/>
    <w:link w:val="a9"/>
    <w:uiPriority w:val="99"/>
    <w:semiHidden/>
    <w:rsid w:val="000E3D1C"/>
  </w:style>
  <w:style w:type="paragraph" w:styleId="aa">
    <w:name w:val="annotation subject"/>
    <w:basedOn w:val="a9"/>
    <w:next w:val="a9"/>
    <w:link w:val="Char3"/>
    <w:uiPriority w:val="99"/>
    <w:semiHidden/>
    <w:unhideWhenUsed/>
    <w:rsid w:val="000E3D1C"/>
    <w:rPr>
      <w:b/>
      <w:bCs/>
    </w:rPr>
  </w:style>
  <w:style w:type="character" w:customStyle="1" w:styleId="Char3">
    <w:name w:val="批注主题 Char"/>
    <w:basedOn w:val="Char2"/>
    <w:link w:val="aa"/>
    <w:uiPriority w:val="99"/>
    <w:semiHidden/>
    <w:rsid w:val="000E3D1C"/>
    <w:rPr>
      <w:b/>
      <w:bCs/>
    </w:rPr>
  </w:style>
  <w:style w:type="character" w:customStyle="1" w:styleId="2Char">
    <w:name w:val="标题 2 Char"/>
    <w:basedOn w:val="a0"/>
    <w:link w:val="2"/>
    <w:rsid w:val="00C61157"/>
    <w:rPr>
      <w:rFonts w:ascii="Arial" w:eastAsia="黑体" w:hAnsi="Arial" w:cs="Times New Roman"/>
      <w:b/>
      <w:bCs/>
      <w:sz w:val="32"/>
      <w:szCs w:val="32"/>
    </w:rPr>
  </w:style>
  <w:style w:type="character" w:styleId="ab">
    <w:name w:val="Hyperlink"/>
    <w:basedOn w:val="a0"/>
    <w:uiPriority w:val="99"/>
    <w:unhideWhenUsed/>
    <w:rsid w:val="00410558"/>
    <w:rPr>
      <w:color w:val="0000FF" w:themeColor="hyperlink"/>
      <w:u w:val="single"/>
    </w:rPr>
  </w:style>
  <w:style w:type="table" w:styleId="ac">
    <w:name w:val="Table Grid"/>
    <w:basedOn w:val="a1"/>
    <w:uiPriority w:val="59"/>
    <w:rsid w:val="00205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Revision"/>
    <w:hidden/>
    <w:uiPriority w:val="99"/>
    <w:semiHidden/>
    <w:rsid w:val="001F129E"/>
  </w:style>
</w:styles>
</file>

<file path=word/webSettings.xml><?xml version="1.0" encoding="utf-8"?>
<w:webSettings xmlns:r="http://schemas.openxmlformats.org/officeDocument/2006/relationships" xmlns:w="http://schemas.openxmlformats.org/wordprocessingml/2006/main">
  <w:divs>
    <w:div w:id="8141879">
      <w:bodyDiv w:val="1"/>
      <w:marLeft w:val="0"/>
      <w:marRight w:val="0"/>
      <w:marTop w:val="0"/>
      <w:marBottom w:val="0"/>
      <w:divBdr>
        <w:top w:val="none" w:sz="0" w:space="0" w:color="auto"/>
        <w:left w:val="none" w:sz="0" w:space="0" w:color="auto"/>
        <w:bottom w:val="none" w:sz="0" w:space="0" w:color="auto"/>
        <w:right w:val="none" w:sz="0" w:space="0" w:color="auto"/>
      </w:divBdr>
    </w:div>
    <w:div w:id="2269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8280-28C0-4EE0-9E3D-17759DA7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4</DocSecurity>
  <Lines>19</Lines>
  <Paragraphs>5</Paragraphs>
  <ScaleCrop>false</ScaleCrop>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hui.jiang</dc:creator>
  <cp:lastModifiedBy>ZHONGM</cp:lastModifiedBy>
  <cp:revision>2</cp:revision>
  <cp:lastPrinted>2019-09-30T04:13:00Z</cp:lastPrinted>
  <dcterms:created xsi:type="dcterms:W3CDTF">2021-02-04T16:17:00Z</dcterms:created>
  <dcterms:modified xsi:type="dcterms:W3CDTF">2021-02-04T16:17:00Z</dcterms:modified>
</cp:coreProperties>
</file>