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A3713F" w:rsidRDefault="003E5CB0" w:rsidP="00A3713F">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5B3AF0" w:rsidRPr="005B3AF0">
        <w:rPr>
          <w:rFonts w:ascii="Times New Roman" w:eastAsiaTheme="minorEastAsia" w:hAnsiTheme="minorEastAsia" w:cs="Times New Roman" w:hint="eastAsia"/>
          <w:color w:val="auto"/>
          <w:kern w:val="2"/>
        </w:rPr>
        <w:t>中国黄金集团黄金珠宝股份有限公司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5B3AF0" w:rsidRPr="005B3AF0">
        <w:rPr>
          <w:rFonts w:asciiTheme="minorEastAsia" w:eastAsiaTheme="minorEastAsia" w:hAnsiTheme="minorEastAsia" w:hint="eastAsia"/>
        </w:rPr>
        <w:t>中国黄金</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网下申购。本公司控股股东中信证券股份有限公司为</w:t>
      </w:r>
      <w:r w:rsidR="00205588" w:rsidRPr="005B3AF0">
        <w:rPr>
          <w:rFonts w:asciiTheme="minorEastAsia" w:eastAsiaTheme="minorEastAsia" w:hAnsiTheme="minorEastAsia" w:hint="eastAsia"/>
        </w:rPr>
        <w:t>中国黄金</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205588" w:rsidRPr="00205588">
        <w:rPr>
          <w:rFonts w:ascii="Times New Roman" w:eastAsiaTheme="minorEastAsia" w:cs="Times New Roman"/>
        </w:rPr>
        <w:t>4.99</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A3713F" w:rsidRPr="00A3713F">
        <w:rPr>
          <w:rFonts w:ascii="Times New Roman" w:eastAsiaTheme="minorEastAsia" w:hAnsiTheme="minorEastAsia" w:cs="Times New Roman" w:hint="eastAsia"/>
        </w:rPr>
        <w:t>发行人和</w:t>
      </w:r>
      <w:r w:rsidR="00626489" w:rsidRPr="00626489">
        <w:rPr>
          <w:rFonts w:ascii="Times New Roman" w:eastAsiaTheme="minorEastAsia" w:hAnsiTheme="minorEastAsia" w:cs="Times New Roman" w:hint="eastAsia"/>
        </w:rPr>
        <w:t>保荐机构（主承销商）根据初步询价结果，综合考虑发行人基本面、所处行业、可比公司估值水平、市场情况、募集资金需求等因素协商确定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205588" w:rsidRPr="005B3AF0">
        <w:rPr>
          <w:rFonts w:asciiTheme="minorEastAsia" w:eastAsiaTheme="minorEastAsia" w:hAnsiTheme="minorEastAsia" w:hint="eastAsia"/>
        </w:rPr>
        <w:t>中国黄金</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bookmarkStart w:id="0" w:name="_GoBack"/>
      <w:bookmarkEnd w:id="0"/>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33"/>
        <w:gridCol w:w="1135"/>
        <w:gridCol w:w="1135"/>
      </w:tblGrid>
      <w:tr w:rsidR="00205588" w:rsidRPr="00205588" w:rsidTr="00205588">
        <w:trPr>
          <w:trHeight w:val="946"/>
        </w:trPr>
        <w:tc>
          <w:tcPr>
            <w:tcW w:w="3057" w:type="pct"/>
            <w:shd w:val="clear" w:color="auto" w:fill="auto"/>
            <w:noWrap/>
            <w:vAlign w:val="center"/>
            <w:hideMark/>
          </w:tcPr>
          <w:p w:rsidR="00205588" w:rsidRPr="00205588" w:rsidRDefault="00205588" w:rsidP="00205588">
            <w:pPr>
              <w:widowControl/>
              <w:jc w:val="center"/>
              <w:rPr>
                <w:color w:val="000000" w:themeColor="text1"/>
                <w:kern w:val="0"/>
                <w:szCs w:val="21"/>
              </w:rPr>
            </w:pPr>
            <w:r w:rsidRPr="00205588">
              <w:rPr>
                <w:rFonts w:hAnsi="宋体"/>
                <w:color w:val="000000" w:themeColor="text1"/>
                <w:kern w:val="0"/>
                <w:szCs w:val="21"/>
              </w:rPr>
              <w:t>基金名称</w:t>
            </w:r>
          </w:p>
        </w:tc>
        <w:tc>
          <w:tcPr>
            <w:tcW w:w="647" w:type="pct"/>
            <w:shd w:val="clear" w:color="auto" w:fill="auto"/>
            <w:noWrap/>
            <w:vAlign w:val="center"/>
            <w:hideMark/>
          </w:tcPr>
          <w:p w:rsidR="00205588" w:rsidRPr="00205588" w:rsidRDefault="00205588" w:rsidP="00205588">
            <w:pPr>
              <w:widowControl/>
              <w:jc w:val="center"/>
              <w:rPr>
                <w:color w:val="000000" w:themeColor="text1"/>
                <w:kern w:val="0"/>
                <w:szCs w:val="21"/>
              </w:rPr>
            </w:pPr>
            <w:r w:rsidRPr="00205588">
              <w:rPr>
                <w:rFonts w:hAnsi="宋体"/>
                <w:color w:val="000000" w:themeColor="text1"/>
                <w:kern w:val="0"/>
                <w:szCs w:val="21"/>
              </w:rPr>
              <w:t>获配证券</w:t>
            </w:r>
          </w:p>
          <w:p w:rsidR="00205588" w:rsidRPr="00205588" w:rsidRDefault="00205588" w:rsidP="00205588">
            <w:pPr>
              <w:jc w:val="center"/>
              <w:rPr>
                <w:color w:val="000000" w:themeColor="text1"/>
                <w:kern w:val="0"/>
                <w:szCs w:val="21"/>
              </w:rPr>
            </w:pPr>
            <w:r w:rsidRPr="00205588">
              <w:rPr>
                <w:rFonts w:hAnsi="宋体"/>
                <w:color w:val="000000" w:themeColor="text1"/>
                <w:kern w:val="0"/>
                <w:szCs w:val="21"/>
              </w:rPr>
              <w:t>名称</w:t>
            </w:r>
          </w:p>
        </w:tc>
        <w:tc>
          <w:tcPr>
            <w:tcW w:w="648" w:type="pct"/>
            <w:shd w:val="clear" w:color="auto" w:fill="auto"/>
            <w:vAlign w:val="center"/>
            <w:hideMark/>
          </w:tcPr>
          <w:p w:rsidR="00205588" w:rsidRPr="00205588" w:rsidRDefault="00205588" w:rsidP="00205588">
            <w:pPr>
              <w:widowControl/>
              <w:jc w:val="center"/>
              <w:rPr>
                <w:color w:val="000000" w:themeColor="text1"/>
                <w:kern w:val="0"/>
                <w:szCs w:val="21"/>
              </w:rPr>
            </w:pPr>
            <w:r w:rsidRPr="00205588">
              <w:rPr>
                <w:rFonts w:hAnsi="宋体"/>
                <w:color w:val="000000" w:themeColor="text1"/>
                <w:kern w:val="0"/>
                <w:szCs w:val="21"/>
              </w:rPr>
              <w:t>配售数量</w:t>
            </w:r>
          </w:p>
          <w:p w:rsidR="00205588" w:rsidRPr="00205588" w:rsidRDefault="00205588" w:rsidP="00205588">
            <w:pPr>
              <w:jc w:val="center"/>
              <w:rPr>
                <w:color w:val="000000" w:themeColor="text1"/>
                <w:kern w:val="0"/>
                <w:szCs w:val="21"/>
              </w:rPr>
            </w:pPr>
            <w:r w:rsidRPr="00205588">
              <w:rPr>
                <w:rFonts w:hAnsi="宋体"/>
                <w:color w:val="000000" w:themeColor="text1"/>
                <w:kern w:val="0"/>
                <w:szCs w:val="21"/>
              </w:rPr>
              <w:t>（股）</w:t>
            </w:r>
          </w:p>
        </w:tc>
        <w:tc>
          <w:tcPr>
            <w:tcW w:w="648" w:type="pct"/>
            <w:shd w:val="clear" w:color="auto" w:fill="auto"/>
            <w:vAlign w:val="center"/>
            <w:hideMark/>
          </w:tcPr>
          <w:p w:rsidR="00205588" w:rsidRPr="00205588" w:rsidRDefault="00205588" w:rsidP="00205588">
            <w:pPr>
              <w:widowControl/>
              <w:jc w:val="center"/>
              <w:rPr>
                <w:color w:val="000000" w:themeColor="text1"/>
                <w:kern w:val="0"/>
                <w:szCs w:val="21"/>
              </w:rPr>
            </w:pPr>
            <w:r w:rsidRPr="00205588">
              <w:rPr>
                <w:rFonts w:hAnsi="宋体"/>
                <w:color w:val="000000" w:themeColor="text1"/>
                <w:kern w:val="0"/>
                <w:szCs w:val="21"/>
              </w:rPr>
              <w:t>获配金额</w:t>
            </w:r>
          </w:p>
          <w:p w:rsidR="00205588" w:rsidRPr="00205588" w:rsidRDefault="00205588" w:rsidP="00205588">
            <w:pPr>
              <w:jc w:val="center"/>
              <w:rPr>
                <w:color w:val="000000" w:themeColor="text1"/>
                <w:kern w:val="0"/>
                <w:szCs w:val="21"/>
              </w:rPr>
            </w:pPr>
            <w:r w:rsidRPr="00205588">
              <w:rPr>
                <w:rFonts w:hAnsi="宋体"/>
                <w:color w:val="000000" w:themeColor="text1"/>
                <w:kern w:val="0"/>
                <w:szCs w:val="21"/>
              </w:rPr>
              <w:t>（元）</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w:t>
            </w:r>
            <w:r w:rsidRPr="00205588">
              <w:rPr>
                <w:color w:val="000000" w:themeColor="text1"/>
                <w:kern w:val="0"/>
                <w:szCs w:val="21"/>
              </w:rPr>
              <w:t>5G</w:t>
            </w:r>
            <w:r w:rsidRPr="00205588">
              <w:rPr>
                <w:rFonts w:hAnsi="宋体"/>
                <w:color w:val="000000" w:themeColor="text1"/>
                <w:kern w:val="0"/>
                <w:szCs w:val="21"/>
              </w:rPr>
              <w:t>通信主题交易型开放式指数证券投资基金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华夏睿阳一年持有期混合型证券投资基金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华夏常阳三年定期开放混合型证券投资基金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华夏睿磐泰荣混合型证券投资基金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华夏永福混合型证券投资基金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华夏稳盛灵活配置混合型证券投资基金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华夏线上经济主题精选混合型证券投资基金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华夏永康添福混合型证券投资基金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华夏行业龙头混合型证券投资基金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华夏中证人工智能主题交易型开放式指数证券投资基金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华夏沪深</w:t>
            </w:r>
            <w:r w:rsidRPr="00205588">
              <w:rPr>
                <w:color w:val="000000" w:themeColor="text1"/>
                <w:kern w:val="0"/>
                <w:szCs w:val="21"/>
              </w:rPr>
              <w:t>300</w:t>
            </w:r>
            <w:r w:rsidRPr="00205588">
              <w:rPr>
                <w:rFonts w:hAnsi="宋体"/>
                <w:color w:val="000000" w:themeColor="text1"/>
                <w:kern w:val="0"/>
                <w:szCs w:val="21"/>
              </w:rPr>
              <w:t>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华夏翔阳两年定期开放混合型证券投资基金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w:t>
            </w:r>
            <w:r w:rsidRPr="00205588">
              <w:rPr>
                <w:color w:val="000000" w:themeColor="text1"/>
                <w:kern w:val="0"/>
                <w:szCs w:val="21"/>
              </w:rPr>
              <w:t>500</w:t>
            </w:r>
            <w:r w:rsidRPr="00205588">
              <w:rPr>
                <w:rFonts w:hAnsi="宋体"/>
                <w:color w:val="000000" w:themeColor="text1"/>
                <w:kern w:val="0"/>
                <w:szCs w:val="21"/>
              </w:rPr>
              <w:t>指数增强型证券投资基金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华夏兴阳一年持有期混合型证券投资基金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华夏睿磐泰茂混合型证券投资基金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上证主要消费交易型开放式指数发起式证券投资基金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华夏睿磐泰利混合型证券投资基金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华夏沪深</w:t>
            </w:r>
            <w:r w:rsidRPr="00205588">
              <w:rPr>
                <w:color w:val="000000" w:themeColor="text1"/>
                <w:kern w:val="0"/>
                <w:szCs w:val="21"/>
              </w:rPr>
              <w:t>300</w:t>
            </w:r>
            <w:r w:rsidRPr="00205588">
              <w:rPr>
                <w:rFonts w:hAnsi="宋体"/>
                <w:color w:val="000000" w:themeColor="text1"/>
                <w:kern w:val="0"/>
                <w:szCs w:val="21"/>
              </w:rPr>
              <w:t>交易型开放式指数证券投资基金联接基金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华夏中证新能源汽车交易型开放式指数证券投资基金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华夏能源革新股票型证券投资基金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华夏盛世精选混合型证券投资基金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华夏新锦升灵活配置混合型证券投资基金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华夏磐晟灵活配置混合型证券投资基金（</w:t>
            </w:r>
            <w:r w:rsidRPr="00205588">
              <w:rPr>
                <w:color w:val="000000" w:themeColor="text1"/>
                <w:kern w:val="0"/>
                <w:szCs w:val="21"/>
              </w:rPr>
              <w:t>LOF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lastRenderedPageBreak/>
              <w:t>华夏睿磐泰兴混合型证券投资基金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华夏节能环保股票型证券投资基金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华夏研究精选股票型证券投资基金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华夏中证细分食品饮料产业主题交易型开放式指数证券投资基金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华夏科技前沿</w:t>
            </w:r>
            <w:r w:rsidRPr="00205588">
              <w:rPr>
                <w:color w:val="000000" w:themeColor="text1"/>
                <w:kern w:val="0"/>
                <w:szCs w:val="21"/>
              </w:rPr>
              <w:t>6</w:t>
            </w:r>
            <w:r w:rsidRPr="00205588">
              <w:rPr>
                <w:rFonts w:hAnsi="宋体"/>
                <w:color w:val="000000" w:themeColor="text1"/>
                <w:kern w:val="0"/>
                <w:szCs w:val="21"/>
              </w:rPr>
              <w:t>个月定期开放混合型证券投资基金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华夏策略精选灵活配置混合型证券投资基金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华夏上证科创板</w:t>
            </w:r>
            <w:r w:rsidRPr="00205588">
              <w:rPr>
                <w:color w:val="000000" w:themeColor="text1"/>
                <w:kern w:val="0"/>
                <w:szCs w:val="21"/>
              </w:rPr>
              <w:t>50</w:t>
            </w:r>
            <w:r w:rsidRPr="00205588">
              <w:rPr>
                <w:rFonts w:hAnsi="宋体"/>
                <w:color w:val="000000" w:themeColor="text1"/>
                <w:kern w:val="0"/>
                <w:szCs w:val="21"/>
              </w:rPr>
              <w:t>成份交易型开放式指数证券投资基金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华夏新锦汇灵活配置混合型证券投资基金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华夏逸享健康灵活配置混合型证券投资基金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华夏核心科技</w:t>
            </w:r>
            <w:r w:rsidRPr="00205588">
              <w:rPr>
                <w:color w:val="000000" w:themeColor="text1"/>
                <w:kern w:val="0"/>
                <w:szCs w:val="21"/>
              </w:rPr>
              <w:t>6</w:t>
            </w:r>
            <w:r w:rsidRPr="00205588">
              <w:rPr>
                <w:rFonts w:hAnsi="宋体"/>
                <w:color w:val="000000" w:themeColor="text1"/>
                <w:kern w:val="0"/>
                <w:szCs w:val="21"/>
              </w:rPr>
              <w:t>个月定期开放混合型证券投资基金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华夏中证全指房地产交易型开放式指数证券投资基金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华夏乐享健康灵活配置混合型证券投资基金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华夏新锦程灵活配置混合型证券投资基金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华夏智胜价值成长股票型发起式证券投资基金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华夏创新前沿股票型证券投资基金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华夏新活力灵活配置混合型证券投资基金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华夏经济转型股票型证券投资基金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华夏军工安全灵活配置混合型证券投资基金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华夏新兴消费混合型证券投资基金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华夏新机遇灵活配置混合型证券投资基金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华夏高端制造灵活配置混合型证券投资基金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华夏中证全指证券公司交易型开放式指数证券投资基金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华夏中证浙江国资创新发展交易型开放式指数证券投资基金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华夏优势精选股票型证券投资基金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华夏领先股票型证券投资基金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华夏产业升级混合型证券投资基金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华夏国企改革灵活配置混合型证券投资基金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华夏养老目标日期</w:t>
            </w:r>
            <w:r w:rsidRPr="00205588">
              <w:rPr>
                <w:color w:val="000000" w:themeColor="text1"/>
                <w:kern w:val="0"/>
                <w:szCs w:val="21"/>
              </w:rPr>
              <w:t>2040</w:t>
            </w:r>
            <w:r w:rsidRPr="00205588">
              <w:rPr>
                <w:rFonts w:hAnsi="宋体"/>
                <w:color w:val="000000" w:themeColor="text1"/>
                <w:kern w:val="0"/>
                <w:szCs w:val="21"/>
              </w:rPr>
              <w:t>三年持有期混合型基金中基金（</w:t>
            </w:r>
            <w:r w:rsidRPr="00205588">
              <w:rPr>
                <w:color w:val="000000" w:themeColor="text1"/>
                <w:kern w:val="0"/>
                <w:szCs w:val="21"/>
              </w:rPr>
              <w:t>FOF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华夏新趋势灵活配置混合型证券投资基金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华夏潜龙精选股票型证券投资基金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华夏中证央企结构调整交易型开放式指数证券投资基金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华夏消费升级灵活配置混合型证券投资基金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华夏医疗健康混合型发起式证券投资基金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战略新兴成指交易型开放式指数证券投资基金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华夏沪深</w:t>
            </w:r>
            <w:r w:rsidRPr="00205588">
              <w:rPr>
                <w:color w:val="000000" w:themeColor="text1"/>
                <w:kern w:val="0"/>
                <w:szCs w:val="21"/>
              </w:rPr>
              <w:t>300</w:t>
            </w:r>
            <w:r w:rsidRPr="00205588">
              <w:rPr>
                <w:rFonts w:hAnsi="宋体"/>
                <w:color w:val="000000" w:themeColor="text1"/>
                <w:kern w:val="0"/>
                <w:szCs w:val="21"/>
              </w:rPr>
              <w:t>指数增强型证券投资基金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华夏新时代灵活配置混合型证券投资基金（</w:t>
            </w:r>
            <w:r w:rsidRPr="00205588">
              <w:rPr>
                <w:color w:val="000000" w:themeColor="text1"/>
                <w:kern w:val="0"/>
                <w:szCs w:val="21"/>
              </w:rPr>
              <w:t>QDII</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w:t>
            </w:r>
            <w:r w:rsidRPr="00205588">
              <w:rPr>
                <w:color w:val="000000" w:themeColor="text1"/>
                <w:kern w:val="0"/>
                <w:szCs w:val="21"/>
              </w:rPr>
              <w:t>MSCI</w:t>
            </w:r>
            <w:r w:rsidRPr="00205588">
              <w:rPr>
                <w:rFonts w:hAnsi="宋体"/>
                <w:color w:val="000000" w:themeColor="text1"/>
                <w:kern w:val="0"/>
                <w:szCs w:val="21"/>
              </w:rPr>
              <w:t>中国</w:t>
            </w:r>
            <w:r w:rsidRPr="00205588">
              <w:rPr>
                <w:color w:val="000000" w:themeColor="text1"/>
                <w:kern w:val="0"/>
                <w:szCs w:val="21"/>
              </w:rPr>
              <w:t>A</w:t>
            </w:r>
            <w:r w:rsidRPr="00205588">
              <w:rPr>
                <w:rFonts w:hAnsi="宋体"/>
                <w:color w:val="000000" w:themeColor="text1"/>
                <w:kern w:val="0"/>
                <w:szCs w:val="21"/>
              </w:rPr>
              <w:t>股国际通交易型开放式指数证券投资基金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华夏中证银行交易型开放式指数证券投资基金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w:t>
            </w:r>
            <w:r w:rsidRPr="00205588">
              <w:rPr>
                <w:color w:val="000000" w:themeColor="text1"/>
                <w:kern w:val="0"/>
                <w:szCs w:val="21"/>
              </w:rPr>
              <w:t>500</w:t>
            </w:r>
            <w:r w:rsidRPr="00205588">
              <w:rPr>
                <w:rFonts w:hAnsi="宋体"/>
                <w:color w:val="000000" w:themeColor="text1"/>
                <w:kern w:val="0"/>
                <w:szCs w:val="21"/>
              </w:rPr>
              <w:t>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lastRenderedPageBreak/>
              <w:t>华夏圆和灵活配置混合型证券投资基金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华夏移动互联灵活配置混合型证券投资基金（</w:t>
            </w:r>
            <w:r w:rsidRPr="00205588">
              <w:rPr>
                <w:color w:val="000000" w:themeColor="text1"/>
                <w:kern w:val="0"/>
                <w:szCs w:val="21"/>
              </w:rPr>
              <w:t>QDII</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华夏磐泰混合型证券投资基金（</w:t>
            </w:r>
            <w:r w:rsidRPr="00205588">
              <w:rPr>
                <w:color w:val="000000" w:themeColor="text1"/>
                <w:kern w:val="0"/>
                <w:szCs w:val="21"/>
              </w:rPr>
              <w:t>LOF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华夏安泰对冲策略</w:t>
            </w:r>
            <w:r w:rsidRPr="00205588">
              <w:rPr>
                <w:color w:val="000000" w:themeColor="text1"/>
                <w:kern w:val="0"/>
                <w:szCs w:val="21"/>
              </w:rPr>
              <w:t>3</w:t>
            </w:r>
            <w:r w:rsidRPr="00205588">
              <w:rPr>
                <w:rFonts w:hAnsi="宋体"/>
                <w:color w:val="000000" w:themeColor="text1"/>
                <w:kern w:val="0"/>
                <w:szCs w:val="21"/>
              </w:rPr>
              <w:t>个月定期开放灵活配置混合型发起式证券投资基金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华夏新锦绣灵活配置混合型证券投资基金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华夏见龙精选混合型证券投资基金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华夏国证半导体芯片交易型开放式指数证券投资基金发起式联接基金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华夏沪港通上证</w:t>
            </w:r>
            <w:r w:rsidRPr="00205588">
              <w:rPr>
                <w:color w:val="000000" w:themeColor="text1"/>
                <w:kern w:val="0"/>
                <w:szCs w:val="21"/>
              </w:rPr>
              <w:t>50AH</w:t>
            </w:r>
            <w:r w:rsidRPr="00205588">
              <w:rPr>
                <w:rFonts w:hAnsi="宋体"/>
                <w:color w:val="000000" w:themeColor="text1"/>
                <w:kern w:val="0"/>
                <w:szCs w:val="21"/>
              </w:rPr>
              <w:t>优选指数证券投资基金（</w:t>
            </w:r>
            <w:r w:rsidRPr="00205588">
              <w:rPr>
                <w:color w:val="000000" w:themeColor="text1"/>
                <w:kern w:val="0"/>
                <w:szCs w:val="21"/>
              </w:rPr>
              <w:t>LOF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华夏中证四川国企改革交易型开放式指数证券投资基金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华夏网购精选灵活配置混合型证券投资基金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华夏科技成长股票型证券投资基金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华夏回报二号证券投资基金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华夏优势增长混合型证券投资基金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华夏价值精选混合型证券投资基金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华夏科技龙头两年定期开放混合型证券投资基金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华夏国证半导体芯片交易型开放式指数证券投资基金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华夏复兴混合型证券投资基金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华夏创新驱动混合型证券投资基金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华夏新锦顺灵活配置混合型证券投资基金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华夏创新未来</w:t>
            </w:r>
            <w:r w:rsidRPr="00205588">
              <w:rPr>
                <w:color w:val="000000" w:themeColor="text1"/>
                <w:kern w:val="0"/>
                <w:szCs w:val="21"/>
              </w:rPr>
              <w:t>18</w:t>
            </w:r>
            <w:r w:rsidRPr="00205588">
              <w:rPr>
                <w:rFonts w:hAnsi="宋体"/>
                <w:color w:val="000000" w:themeColor="text1"/>
                <w:kern w:val="0"/>
                <w:szCs w:val="21"/>
              </w:rPr>
              <w:t>个月封闭运作混合型证券投资基金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华夏成长精选</w:t>
            </w:r>
            <w:r w:rsidRPr="00205588">
              <w:rPr>
                <w:color w:val="000000" w:themeColor="text1"/>
                <w:kern w:val="0"/>
                <w:szCs w:val="21"/>
              </w:rPr>
              <w:t>6</w:t>
            </w:r>
            <w:r w:rsidRPr="00205588">
              <w:rPr>
                <w:rFonts w:hAnsi="宋体"/>
                <w:color w:val="000000" w:themeColor="text1"/>
                <w:kern w:val="0"/>
                <w:szCs w:val="21"/>
              </w:rPr>
              <w:t>个月定期开放混合型发起式证券投资基金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华夏科技创新混合型证券投资基金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华夏回报证券投资基金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华夏大盘精选证券投资基金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上证</w:t>
            </w:r>
            <w:r w:rsidRPr="00205588">
              <w:rPr>
                <w:color w:val="000000" w:themeColor="text1"/>
                <w:kern w:val="0"/>
                <w:szCs w:val="21"/>
              </w:rPr>
              <w:t>50</w:t>
            </w:r>
            <w:r w:rsidRPr="00205588">
              <w:rPr>
                <w:rFonts w:hAnsi="宋体"/>
                <w:color w:val="000000" w:themeColor="text1"/>
                <w:kern w:val="0"/>
                <w:szCs w:val="21"/>
              </w:rPr>
              <w:t>交易型开放式指数证券投资基金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华夏兴华混合型证券投资基金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华夏中证</w:t>
            </w:r>
            <w:r w:rsidRPr="00205588">
              <w:rPr>
                <w:color w:val="000000" w:themeColor="text1"/>
                <w:kern w:val="0"/>
                <w:szCs w:val="21"/>
              </w:rPr>
              <w:t>5G</w:t>
            </w:r>
            <w:r w:rsidRPr="00205588">
              <w:rPr>
                <w:rFonts w:hAnsi="宋体"/>
                <w:color w:val="000000" w:themeColor="text1"/>
                <w:kern w:val="0"/>
                <w:szCs w:val="21"/>
              </w:rPr>
              <w:t>通信主题交易型开放式指数证券投资基金发起式联接基金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华夏兴和混合型证券投资基金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华夏蓝筹核心混合型证券投资基金（</w:t>
            </w:r>
            <w:r w:rsidRPr="00205588">
              <w:rPr>
                <w:color w:val="000000" w:themeColor="text1"/>
                <w:kern w:val="0"/>
                <w:szCs w:val="21"/>
              </w:rPr>
              <w:t>LOF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华夏行业精选混合型证券投资基金（</w:t>
            </w:r>
            <w:r w:rsidRPr="00205588">
              <w:rPr>
                <w:color w:val="000000" w:themeColor="text1"/>
                <w:kern w:val="0"/>
                <w:szCs w:val="21"/>
              </w:rPr>
              <w:t>LOF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华夏平稳增长混合型证券投资基金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华夏成长证券投资基金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华夏养老目标日期</w:t>
            </w:r>
            <w:r w:rsidRPr="00205588">
              <w:rPr>
                <w:color w:val="000000" w:themeColor="text1"/>
                <w:kern w:val="0"/>
                <w:szCs w:val="21"/>
              </w:rPr>
              <w:t>2045</w:t>
            </w:r>
            <w:r w:rsidRPr="00205588">
              <w:rPr>
                <w:rFonts w:hAnsi="宋体"/>
                <w:color w:val="000000" w:themeColor="text1"/>
                <w:kern w:val="0"/>
                <w:szCs w:val="21"/>
              </w:rPr>
              <w:t>三年持有期混合型基金中基金（</w:t>
            </w:r>
            <w:r w:rsidRPr="00205588">
              <w:rPr>
                <w:color w:val="000000" w:themeColor="text1"/>
                <w:kern w:val="0"/>
                <w:szCs w:val="21"/>
              </w:rPr>
              <w:t>FOF</w:t>
            </w:r>
            <w:r w:rsidRPr="00205588">
              <w:rPr>
                <w:rFonts w:hAnsi="宋体"/>
                <w:color w:val="000000" w:themeColor="text1"/>
                <w:kern w:val="0"/>
                <w:szCs w:val="21"/>
              </w:rPr>
              <w:t>）</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r w:rsidR="00205588" w:rsidRPr="00205588" w:rsidTr="00205588">
        <w:trPr>
          <w:trHeight w:val="20"/>
        </w:trPr>
        <w:tc>
          <w:tcPr>
            <w:tcW w:w="305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华夏创业板两年定期开放混合型证券投资基金</w:t>
            </w:r>
          </w:p>
        </w:tc>
        <w:tc>
          <w:tcPr>
            <w:tcW w:w="647" w:type="pct"/>
            <w:shd w:val="clear" w:color="auto" w:fill="auto"/>
            <w:noWrap/>
            <w:vAlign w:val="bottom"/>
            <w:hideMark/>
          </w:tcPr>
          <w:p w:rsidR="00205588" w:rsidRPr="00205588" w:rsidRDefault="00205588" w:rsidP="00205588">
            <w:pPr>
              <w:widowControl/>
              <w:jc w:val="left"/>
              <w:rPr>
                <w:color w:val="000000" w:themeColor="text1"/>
                <w:kern w:val="0"/>
                <w:szCs w:val="21"/>
              </w:rPr>
            </w:pPr>
            <w:r w:rsidRPr="00205588">
              <w:rPr>
                <w:rFonts w:hAnsi="宋体"/>
                <w:color w:val="000000" w:themeColor="text1"/>
                <w:kern w:val="0"/>
                <w:szCs w:val="21"/>
              </w:rPr>
              <w:t>中国黄金</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3,371</w:t>
            </w:r>
          </w:p>
        </w:tc>
        <w:tc>
          <w:tcPr>
            <w:tcW w:w="648" w:type="pct"/>
            <w:shd w:val="clear" w:color="auto" w:fill="auto"/>
            <w:vAlign w:val="center"/>
            <w:hideMark/>
          </w:tcPr>
          <w:p w:rsidR="00205588" w:rsidRPr="00205588" w:rsidRDefault="00205588" w:rsidP="00205588">
            <w:pPr>
              <w:widowControl/>
              <w:jc w:val="right"/>
              <w:rPr>
                <w:color w:val="000000" w:themeColor="text1"/>
                <w:kern w:val="0"/>
                <w:szCs w:val="21"/>
              </w:rPr>
            </w:pPr>
            <w:r w:rsidRPr="00205588">
              <w:rPr>
                <w:color w:val="000000" w:themeColor="text1"/>
                <w:kern w:val="0"/>
                <w:szCs w:val="21"/>
              </w:rPr>
              <w:t>16,821.29</w:t>
            </w:r>
          </w:p>
        </w:tc>
      </w:tr>
    </w:tbl>
    <w:p w:rsidR="00624130" w:rsidRPr="004C5F76" w:rsidRDefault="00624130" w:rsidP="00A3713F">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624130" w:rsidRPr="00B52BD6" w:rsidRDefault="00624130" w:rsidP="00590E64">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205588">
        <w:rPr>
          <w:rFonts w:ascii="宋体" w:hAnsi="宋体" w:hint="eastAsia"/>
          <w:color w:val="000000"/>
          <w:sz w:val="24"/>
        </w:rPr>
        <w:t>二</w:t>
      </w:r>
      <w:r w:rsidR="009E2BFC">
        <w:rPr>
          <w:rFonts w:hAnsi="宋体" w:hint="eastAsia"/>
          <w:color w:val="000000"/>
          <w:sz w:val="24"/>
        </w:rPr>
        <w:t>月</w:t>
      </w:r>
      <w:r w:rsidR="00205588">
        <w:rPr>
          <w:rFonts w:hAnsi="宋体" w:hint="eastAsia"/>
          <w:color w:val="000000"/>
          <w:sz w:val="24"/>
        </w:rPr>
        <w:t>一</w:t>
      </w:r>
      <w:r w:rsidR="00C07768" w:rsidRPr="00B52BD6">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CA" w:rsidRDefault="007739CA">
      <w:r>
        <w:separator/>
      </w:r>
    </w:p>
  </w:endnote>
  <w:endnote w:type="continuationSeparator" w:id="0">
    <w:p w:rsidR="007739CA" w:rsidRDefault="0077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787AC1" w:rsidP="005B461D">
    <w:pPr>
      <w:pStyle w:val="a4"/>
      <w:framePr w:wrap="around" w:vAnchor="text" w:hAnchor="margin" w:xAlign="center" w:y="1"/>
      <w:rPr>
        <w:rStyle w:val="a5"/>
      </w:rPr>
    </w:pPr>
    <w:r>
      <w:rPr>
        <w:rStyle w:val="a5"/>
      </w:rPr>
      <w:fldChar w:fldCharType="begin"/>
    </w:r>
    <w:r w:rsidR="007739CA">
      <w:rPr>
        <w:rStyle w:val="a5"/>
      </w:rPr>
      <w:instrText xml:space="preserve">PAGE  </w:instrText>
    </w:r>
    <w:r>
      <w:rPr>
        <w:rStyle w:val="a5"/>
      </w:rPr>
      <w:fldChar w:fldCharType="end"/>
    </w:r>
  </w:p>
  <w:p w:rsidR="007739CA" w:rsidRDefault="007739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CA" w:rsidRDefault="007739CA">
      <w:r>
        <w:separator/>
      </w:r>
    </w:p>
  </w:footnote>
  <w:footnote w:type="continuationSeparator" w:id="0">
    <w:p w:rsidR="007739CA" w:rsidRDefault="00773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7739CA" w:rsidP="008E0599">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11094"/>
    <w:rsid w:val="00313B88"/>
    <w:rsid w:val="00314115"/>
    <w:rsid w:val="003152F0"/>
    <w:rsid w:val="00317E75"/>
    <w:rsid w:val="00320143"/>
    <w:rsid w:val="00327944"/>
    <w:rsid w:val="003329E5"/>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0D7A"/>
    <w:rsid w:val="00371013"/>
    <w:rsid w:val="0037460D"/>
    <w:rsid w:val="003765C0"/>
    <w:rsid w:val="003778F6"/>
    <w:rsid w:val="00381B26"/>
    <w:rsid w:val="00381B67"/>
    <w:rsid w:val="00386A74"/>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F76"/>
    <w:rsid w:val="004C62F8"/>
    <w:rsid w:val="004D29FF"/>
    <w:rsid w:val="004D4D07"/>
    <w:rsid w:val="004D55F1"/>
    <w:rsid w:val="004D7714"/>
    <w:rsid w:val="004E13F2"/>
    <w:rsid w:val="004E4E21"/>
    <w:rsid w:val="004F0077"/>
    <w:rsid w:val="004F217A"/>
    <w:rsid w:val="004F50E8"/>
    <w:rsid w:val="004F6EA5"/>
    <w:rsid w:val="004F7597"/>
    <w:rsid w:val="00500892"/>
    <w:rsid w:val="00503077"/>
    <w:rsid w:val="00504847"/>
    <w:rsid w:val="00505AD1"/>
    <w:rsid w:val="005071DA"/>
    <w:rsid w:val="00507EF2"/>
    <w:rsid w:val="00510645"/>
    <w:rsid w:val="00510BF2"/>
    <w:rsid w:val="005117F6"/>
    <w:rsid w:val="00520B19"/>
    <w:rsid w:val="00526D6F"/>
    <w:rsid w:val="005318B1"/>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1B78"/>
    <w:rsid w:val="005A4092"/>
    <w:rsid w:val="005A5D9A"/>
    <w:rsid w:val="005A70C4"/>
    <w:rsid w:val="005B346E"/>
    <w:rsid w:val="005B3AF0"/>
    <w:rsid w:val="005B461D"/>
    <w:rsid w:val="005B6551"/>
    <w:rsid w:val="005B6CA2"/>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66085"/>
    <w:rsid w:val="00772775"/>
    <w:rsid w:val="007739CA"/>
    <w:rsid w:val="007779FC"/>
    <w:rsid w:val="007817D2"/>
    <w:rsid w:val="0078300A"/>
    <w:rsid w:val="0078532C"/>
    <w:rsid w:val="0078717C"/>
    <w:rsid w:val="00787AC1"/>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5EB8"/>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6FAE"/>
    <w:rsid w:val="00A92CB1"/>
    <w:rsid w:val="00A9622F"/>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232D"/>
    <w:rsid w:val="00EC3617"/>
    <w:rsid w:val="00ED1C28"/>
    <w:rsid w:val="00ED2832"/>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B3F69-79C3-4006-8449-1A119788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4</DocSecurity>
  <Lines>31</Lines>
  <Paragraphs>8</Paragraphs>
  <ScaleCrop>false</ScaleCrop>
  <Company>CHINAAMC</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2021-01-31T16:02:00Z</dcterms:created>
  <dcterms:modified xsi:type="dcterms:W3CDTF">2021-01-31T16:02:00Z</dcterms:modified>
</cp:coreProperties>
</file>