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19" w:rsidRDefault="00E03419" w:rsidP="00FD63C1">
      <w:pPr>
        <w:spacing w:line="360" w:lineRule="auto"/>
        <w:jc w:val="center"/>
        <w:rPr>
          <w:rFonts w:hAnsi="宋体"/>
          <w:b/>
          <w:bCs/>
          <w:color w:val="000000"/>
          <w:sz w:val="24"/>
        </w:rPr>
      </w:pPr>
      <w:r>
        <w:rPr>
          <w:rFonts w:hAnsi="宋体" w:hint="eastAsia"/>
          <w:b/>
          <w:bCs/>
          <w:color w:val="000000"/>
          <w:sz w:val="24"/>
        </w:rPr>
        <w:t>华夏基金管理有限公司关于旗下部分开放式基金新增代销机构的公告</w:t>
      </w:r>
    </w:p>
    <w:p w:rsidR="00E03419" w:rsidRDefault="00E03419" w:rsidP="00FD63C1">
      <w:pPr>
        <w:spacing w:line="360" w:lineRule="auto"/>
        <w:jc w:val="center"/>
        <w:rPr>
          <w:b/>
          <w:bCs/>
          <w:color w:val="000000"/>
          <w:sz w:val="24"/>
        </w:rPr>
      </w:pPr>
    </w:p>
    <w:p w:rsidR="00E03419" w:rsidRPr="00C27F96" w:rsidRDefault="00FC7B1B" w:rsidP="00D02E13">
      <w:pPr>
        <w:spacing w:line="360" w:lineRule="auto"/>
        <w:ind w:firstLineChars="200" w:firstLine="480"/>
        <w:rPr>
          <w:rFonts w:hAnsi="宋体"/>
          <w:sz w:val="24"/>
        </w:rPr>
      </w:pPr>
      <w:r>
        <w:rPr>
          <w:rFonts w:hint="eastAsia"/>
          <w:sz w:val="24"/>
        </w:rPr>
        <w:t>自</w:t>
      </w:r>
      <w:r>
        <w:rPr>
          <w:sz w:val="24"/>
        </w:rPr>
        <w:t>2021</w:t>
      </w:r>
      <w:r>
        <w:rPr>
          <w:rFonts w:hint="eastAsia"/>
          <w:sz w:val="24"/>
        </w:rPr>
        <w:t>年</w:t>
      </w:r>
      <w:r w:rsidR="00744326">
        <w:rPr>
          <w:sz w:val="24"/>
        </w:rPr>
        <w:t>12</w:t>
      </w:r>
      <w:r>
        <w:rPr>
          <w:rFonts w:hint="eastAsia"/>
          <w:sz w:val="24"/>
        </w:rPr>
        <w:t>月</w:t>
      </w:r>
      <w:r w:rsidR="00B31DDC">
        <w:rPr>
          <w:rFonts w:hint="eastAsia"/>
          <w:sz w:val="24"/>
        </w:rPr>
        <w:t>3</w:t>
      </w:r>
      <w:r w:rsidR="00B31DDC">
        <w:rPr>
          <w:sz w:val="24"/>
        </w:rPr>
        <w:t>1</w:t>
      </w:r>
      <w:r>
        <w:rPr>
          <w:rFonts w:hint="eastAsia"/>
          <w:sz w:val="24"/>
        </w:rPr>
        <w:t>日起，投资者可在</w:t>
      </w:r>
      <w:r w:rsidR="00B31DDC" w:rsidRPr="00B31DDC">
        <w:rPr>
          <w:rFonts w:hint="eastAsia"/>
          <w:sz w:val="24"/>
        </w:rPr>
        <w:t>上海攀赢基金销售有限公司</w:t>
      </w:r>
      <w:r w:rsidR="00744326">
        <w:rPr>
          <w:rFonts w:hint="eastAsia"/>
          <w:sz w:val="24"/>
        </w:rPr>
        <w:t>等</w:t>
      </w:r>
      <w:r w:rsidR="00B31DDC">
        <w:rPr>
          <w:rFonts w:hint="eastAsia"/>
          <w:sz w:val="24"/>
        </w:rPr>
        <w:t>6</w:t>
      </w:r>
      <w:r w:rsidR="00744326">
        <w:rPr>
          <w:rFonts w:hint="eastAsia"/>
          <w:sz w:val="24"/>
        </w:rPr>
        <w:t>家销售机构</w:t>
      </w:r>
      <w:r w:rsidR="00E03419">
        <w:rPr>
          <w:rFonts w:hint="eastAsia"/>
          <w:sz w:val="24"/>
        </w:rPr>
        <w:t>办理</w:t>
      </w:r>
      <w:r w:rsidR="00E03419">
        <w:rPr>
          <w:rFonts w:hAnsi="宋体" w:hint="eastAsia"/>
          <w:color w:val="000000"/>
          <w:sz w:val="24"/>
        </w:rPr>
        <w:t>本公司旗下</w:t>
      </w:r>
      <w:r w:rsidR="00E03419">
        <w:rPr>
          <w:rFonts w:hint="eastAsia"/>
          <w:sz w:val="24"/>
        </w:rPr>
        <w:t>部分开放式基金的</w:t>
      </w:r>
      <w:r w:rsidR="006C0AB1" w:rsidRPr="006C0AB1">
        <w:rPr>
          <w:rFonts w:hint="eastAsia"/>
          <w:sz w:val="24"/>
        </w:rPr>
        <w:t>申购、赎回、转换</w:t>
      </w:r>
      <w:r w:rsidR="006C0AB1">
        <w:rPr>
          <w:rFonts w:hint="eastAsia"/>
          <w:sz w:val="24"/>
        </w:rPr>
        <w:t>、</w:t>
      </w:r>
      <w:r w:rsidR="006C0AB1" w:rsidRPr="006C0AB1">
        <w:rPr>
          <w:rFonts w:hint="eastAsia"/>
          <w:sz w:val="24"/>
        </w:rPr>
        <w:t>定期定额申购业务</w:t>
      </w:r>
      <w:r w:rsidR="00896280">
        <w:rPr>
          <w:rFonts w:hint="eastAsia"/>
          <w:sz w:val="24"/>
        </w:rPr>
        <w:t>，</w:t>
      </w:r>
      <w:r w:rsidR="00830C4C">
        <w:rPr>
          <w:rFonts w:hint="eastAsia"/>
          <w:sz w:val="24"/>
        </w:rPr>
        <w:t>各基金业务开放情况及业务办理状态遵循其</w:t>
      </w:r>
      <w:r w:rsidR="0007718E">
        <w:rPr>
          <w:rFonts w:hint="eastAsia"/>
          <w:sz w:val="24"/>
        </w:rPr>
        <w:t>各自</w:t>
      </w:r>
      <w:r w:rsidR="00830C4C">
        <w:rPr>
          <w:rFonts w:hint="eastAsia"/>
          <w:sz w:val="24"/>
        </w:rPr>
        <w:t>具体规定</w:t>
      </w:r>
      <w:r w:rsidR="00E03419">
        <w:rPr>
          <w:rFonts w:hAnsi="宋体" w:hint="eastAsia"/>
          <w:color w:val="000000"/>
          <w:sz w:val="24"/>
        </w:rPr>
        <w:t>。</w:t>
      </w:r>
      <w:r w:rsidR="00527860">
        <w:rPr>
          <w:rFonts w:hAnsi="宋体" w:hint="eastAsia"/>
          <w:color w:val="000000"/>
          <w:sz w:val="24"/>
        </w:rPr>
        <w:t>具体情况如下：</w:t>
      </w:r>
    </w:p>
    <w:p w:rsidR="00651647" w:rsidRDefault="0051089B" w:rsidP="00FD63C1">
      <w:pPr>
        <w:pStyle w:val="ac"/>
        <w:numPr>
          <w:ilvl w:val="0"/>
          <w:numId w:val="1"/>
        </w:numPr>
        <w:spacing w:line="360" w:lineRule="auto"/>
        <w:ind w:firstLineChars="0"/>
        <w:outlineLvl w:val="0"/>
        <w:rPr>
          <w:rFonts w:hAnsi="宋体"/>
          <w:color w:val="000000"/>
          <w:sz w:val="24"/>
        </w:rPr>
      </w:pPr>
      <w:r>
        <w:rPr>
          <w:rFonts w:hAnsi="宋体" w:hint="eastAsia"/>
          <w:color w:val="000000"/>
          <w:sz w:val="24"/>
        </w:rPr>
        <w:t>新增</w:t>
      </w:r>
      <w:r w:rsidR="00F52317">
        <w:rPr>
          <w:rFonts w:hAnsi="宋体" w:hint="eastAsia"/>
          <w:color w:val="000000"/>
          <w:sz w:val="24"/>
        </w:rPr>
        <w:t>上线</w:t>
      </w:r>
      <w:r w:rsidR="003F49AE">
        <w:rPr>
          <w:rFonts w:hAnsi="宋体" w:hint="eastAsia"/>
          <w:color w:val="000000"/>
          <w:sz w:val="24"/>
        </w:rPr>
        <w:t>代销机构</w:t>
      </w:r>
      <w:r w:rsidR="004B387F">
        <w:rPr>
          <w:rFonts w:hAnsi="宋体" w:hint="eastAsia"/>
          <w:color w:val="000000"/>
          <w:sz w:val="24"/>
        </w:rPr>
        <w:t>及对应基金</w:t>
      </w:r>
      <w:r w:rsidR="003F49AE">
        <w:rPr>
          <w:rFonts w:hAnsi="宋体" w:hint="eastAsia"/>
          <w:color w:val="000000"/>
          <w:sz w:val="24"/>
        </w:rPr>
        <w:t>明细</w:t>
      </w:r>
    </w:p>
    <w:tbl>
      <w:tblPr>
        <w:tblStyle w:val="ad"/>
        <w:tblW w:w="5000" w:type="pct"/>
        <w:tblLook w:val="04A0"/>
      </w:tblPr>
      <w:tblGrid>
        <w:gridCol w:w="1526"/>
        <w:gridCol w:w="4155"/>
        <w:gridCol w:w="2841"/>
      </w:tblGrid>
      <w:tr w:rsidR="00B31DDC" w:rsidRPr="00FF409F" w:rsidTr="00B31DDC">
        <w:tc>
          <w:tcPr>
            <w:tcW w:w="895" w:type="pct"/>
            <w:vAlign w:val="center"/>
          </w:tcPr>
          <w:p w:rsidR="00B31DDC" w:rsidRPr="00FF409F" w:rsidRDefault="00B31DDC" w:rsidP="00B31DDC">
            <w:pPr>
              <w:jc w:val="center"/>
              <w:rPr>
                <w:b/>
                <w:szCs w:val="21"/>
              </w:rPr>
            </w:pPr>
            <w:r w:rsidRPr="00FF409F">
              <w:rPr>
                <w:b/>
                <w:szCs w:val="21"/>
              </w:rPr>
              <w:t>基金代码</w:t>
            </w:r>
          </w:p>
        </w:tc>
        <w:tc>
          <w:tcPr>
            <w:tcW w:w="2438" w:type="pct"/>
            <w:vAlign w:val="center"/>
          </w:tcPr>
          <w:p w:rsidR="00B31DDC" w:rsidRPr="00FF409F" w:rsidRDefault="00B31DDC" w:rsidP="00B31DDC">
            <w:pPr>
              <w:jc w:val="center"/>
              <w:rPr>
                <w:b/>
                <w:szCs w:val="21"/>
              </w:rPr>
            </w:pPr>
            <w:r w:rsidRPr="00FF409F">
              <w:rPr>
                <w:b/>
                <w:szCs w:val="21"/>
              </w:rPr>
              <w:t>基金简称</w:t>
            </w:r>
          </w:p>
        </w:tc>
        <w:tc>
          <w:tcPr>
            <w:tcW w:w="1667" w:type="pct"/>
            <w:vAlign w:val="center"/>
          </w:tcPr>
          <w:p w:rsidR="00B31DDC" w:rsidRPr="00FF409F" w:rsidRDefault="00B31DDC" w:rsidP="00B31DDC">
            <w:pPr>
              <w:pStyle w:val="ac"/>
              <w:spacing w:line="360" w:lineRule="auto"/>
              <w:ind w:firstLineChars="0" w:firstLine="0"/>
              <w:jc w:val="center"/>
              <w:outlineLvl w:val="0"/>
              <w:rPr>
                <w:b/>
                <w:szCs w:val="21"/>
              </w:rPr>
            </w:pPr>
            <w:r w:rsidRPr="00FF409F">
              <w:rPr>
                <w:rFonts w:hint="eastAsia"/>
                <w:b/>
                <w:szCs w:val="21"/>
              </w:rPr>
              <w:t>销售机构</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000001</w:t>
            </w:r>
          </w:p>
        </w:tc>
        <w:tc>
          <w:tcPr>
            <w:tcW w:w="2438" w:type="pct"/>
            <w:vAlign w:val="center"/>
          </w:tcPr>
          <w:p w:rsidR="00B31DDC" w:rsidRPr="00FF409F" w:rsidRDefault="00B31DDC" w:rsidP="00B31DDC">
            <w:pPr>
              <w:jc w:val="left"/>
              <w:rPr>
                <w:szCs w:val="21"/>
              </w:rPr>
            </w:pPr>
            <w:r w:rsidRPr="00FF409F">
              <w:rPr>
                <w:szCs w:val="21"/>
              </w:rPr>
              <w:t>华夏成长混合</w:t>
            </w:r>
          </w:p>
        </w:tc>
        <w:tc>
          <w:tcPr>
            <w:tcW w:w="1667" w:type="pct"/>
            <w:vMerge w:val="restart"/>
            <w:vAlign w:val="center"/>
          </w:tcPr>
          <w:p w:rsidR="00B31DDC" w:rsidRPr="00FF409F" w:rsidRDefault="00B31DDC" w:rsidP="00B31DDC">
            <w:pPr>
              <w:rPr>
                <w:rFonts w:ascii="Arial" w:hAnsi="Arial" w:cs="Arial"/>
                <w:szCs w:val="21"/>
              </w:rPr>
            </w:pPr>
            <w:r w:rsidRPr="00FF409F">
              <w:rPr>
                <w:rFonts w:hint="eastAsia"/>
                <w:szCs w:val="21"/>
              </w:rPr>
              <w:t>攀赢基金</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000011</w:t>
            </w:r>
          </w:p>
        </w:tc>
        <w:tc>
          <w:tcPr>
            <w:tcW w:w="2438" w:type="pct"/>
            <w:vAlign w:val="center"/>
          </w:tcPr>
          <w:p w:rsidR="00B31DDC" w:rsidRPr="00FF409F" w:rsidRDefault="00B31DDC" w:rsidP="00B31DDC">
            <w:pPr>
              <w:jc w:val="left"/>
              <w:rPr>
                <w:szCs w:val="21"/>
              </w:rPr>
            </w:pPr>
            <w:r w:rsidRPr="00FF409F">
              <w:rPr>
                <w:szCs w:val="21"/>
              </w:rPr>
              <w:t>华夏大盘精选混合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012628</w:t>
            </w:r>
          </w:p>
        </w:tc>
        <w:tc>
          <w:tcPr>
            <w:tcW w:w="2438" w:type="pct"/>
            <w:vAlign w:val="center"/>
          </w:tcPr>
          <w:p w:rsidR="00B31DDC" w:rsidRPr="00FF409F" w:rsidRDefault="00B31DDC" w:rsidP="00B31DDC">
            <w:pPr>
              <w:jc w:val="left"/>
              <w:rPr>
                <w:szCs w:val="21"/>
              </w:rPr>
            </w:pPr>
            <w:r w:rsidRPr="00FF409F">
              <w:rPr>
                <w:szCs w:val="21"/>
              </w:rPr>
              <w:t>华夏大盘精选混合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000021</w:t>
            </w:r>
          </w:p>
        </w:tc>
        <w:tc>
          <w:tcPr>
            <w:tcW w:w="2438" w:type="pct"/>
            <w:vAlign w:val="center"/>
          </w:tcPr>
          <w:p w:rsidR="00B31DDC" w:rsidRPr="00FF409F" w:rsidRDefault="00B31DDC" w:rsidP="00B31DDC">
            <w:pPr>
              <w:jc w:val="left"/>
              <w:rPr>
                <w:szCs w:val="21"/>
              </w:rPr>
            </w:pPr>
            <w:r w:rsidRPr="00FF409F">
              <w:rPr>
                <w:szCs w:val="21"/>
              </w:rPr>
              <w:t>华夏优势增长混合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000031</w:t>
            </w:r>
          </w:p>
        </w:tc>
        <w:tc>
          <w:tcPr>
            <w:tcW w:w="2438" w:type="pct"/>
            <w:vAlign w:val="center"/>
          </w:tcPr>
          <w:p w:rsidR="00B31DDC" w:rsidRPr="00FF409F" w:rsidRDefault="00B31DDC" w:rsidP="00B31DDC">
            <w:pPr>
              <w:jc w:val="left"/>
              <w:rPr>
                <w:szCs w:val="21"/>
              </w:rPr>
            </w:pPr>
            <w:r w:rsidRPr="00FF409F">
              <w:rPr>
                <w:szCs w:val="21"/>
              </w:rPr>
              <w:t>华夏复兴混合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000041</w:t>
            </w:r>
          </w:p>
        </w:tc>
        <w:tc>
          <w:tcPr>
            <w:tcW w:w="2438" w:type="pct"/>
            <w:vAlign w:val="center"/>
          </w:tcPr>
          <w:p w:rsidR="00B31DDC" w:rsidRPr="00FF409F" w:rsidRDefault="00B31DDC" w:rsidP="00B31DDC">
            <w:pPr>
              <w:jc w:val="left"/>
              <w:rPr>
                <w:szCs w:val="21"/>
              </w:rPr>
            </w:pPr>
            <w:r w:rsidRPr="00FF409F">
              <w:rPr>
                <w:szCs w:val="21"/>
              </w:rPr>
              <w:t>华夏全球股票（</w:t>
            </w:r>
            <w:r w:rsidRPr="00FF409F">
              <w:rPr>
                <w:szCs w:val="21"/>
              </w:rPr>
              <w:t>QDII</w:t>
            </w:r>
            <w:r w:rsidRPr="00FF409F">
              <w:rPr>
                <w:szCs w:val="21"/>
              </w:rPr>
              <w:t>）</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000051</w:t>
            </w:r>
          </w:p>
        </w:tc>
        <w:tc>
          <w:tcPr>
            <w:tcW w:w="2438" w:type="pct"/>
            <w:vAlign w:val="center"/>
          </w:tcPr>
          <w:p w:rsidR="00B31DDC" w:rsidRPr="00FF409F" w:rsidRDefault="00B31DDC" w:rsidP="00B31DDC">
            <w:pPr>
              <w:jc w:val="left"/>
              <w:rPr>
                <w:szCs w:val="21"/>
              </w:rPr>
            </w:pPr>
            <w:r w:rsidRPr="00FF409F">
              <w:rPr>
                <w:szCs w:val="21"/>
              </w:rPr>
              <w:t>华夏沪深</w:t>
            </w:r>
            <w:r w:rsidRPr="00FF409F">
              <w:rPr>
                <w:szCs w:val="21"/>
              </w:rPr>
              <w:t>300ETF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000061</w:t>
            </w:r>
          </w:p>
        </w:tc>
        <w:tc>
          <w:tcPr>
            <w:tcW w:w="2438" w:type="pct"/>
            <w:vAlign w:val="center"/>
          </w:tcPr>
          <w:p w:rsidR="00B31DDC" w:rsidRPr="00FF409F" w:rsidRDefault="00B31DDC" w:rsidP="00B31DDC">
            <w:pPr>
              <w:jc w:val="left"/>
              <w:rPr>
                <w:szCs w:val="21"/>
              </w:rPr>
            </w:pPr>
            <w:r w:rsidRPr="00FF409F">
              <w:rPr>
                <w:szCs w:val="21"/>
              </w:rPr>
              <w:t>华夏盛世混合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000071</w:t>
            </w:r>
          </w:p>
        </w:tc>
        <w:tc>
          <w:tcPr>
            <w:tcW w:w="2438" w:type="pct"/>
            <w:vAlign w:val="center"/>
          </w:tcPr>
          <w:p w:rsidR="00B31DDC" w:rsidRPr="00FF409F" w:rsidRDefault="00B31DDC" w:rsidP="00B31DDC">
            <w:pPr>
              <w:jc w:val="left"/>
              <w:rPr>
                <w:szCs w:val="21"/>
              </w:rPr>
            </w:pPr>
            <w:r w:rsidRPr="00FF409F">
              <w:rPr>
                <w:szCs w:val="21"/>
              </w:rPr>
              <w:t>华夏恒生</w:t>
            </w:r>
            <w:r w:rsidRPr="00FF409F">
              <w:rPr>
                <w:szCs w:val="21"/>
              </w:rPr>
              <w:t>ETF</w:t>
            </w:r>
            <w:r w:rsidRPr="00FF409F">
              <w:rPr>
                <w:szCs w:val="21"/>
              </w:rPr>
              <w:t>联接</w:t>
            </w:r>
            <w:r w:rsidRPr="00FF409F">
              <w:rPr>
                <w:szCs w:val="21"/>
              </w:rPr>
              <w:t>A</w:t>
            </w:r>
            <w:r w:rsidRPr="00FF409F">
              <w:rPr>
                <w:szCs w:val="21"/>
              </w:rPr>
              <w:t>（人民币）</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000121</w:t>
            </w:r>
          </w:p>
        </w:tc>
        <w:tc>
          <w:tcPr>
            <w:tcW w:w="2438" w:type="pct"/>
            <w:vAlign w:val="center"/>
          </w:tcPr>
          <w:p w:rsidR="00B31DDC" w:rsidRPr="00FF409F" w:rsidRDefault="00B31DDC" w:rsidP="00B31DDC">
            <w:pPr>
              <w:jc w:val="left"/>
              <w:rPr>
                <w:szCs w:val="21"/>
              </w:rPr>
            </w:pPr>
            <w:r w:rsidRPr="00FF409F">
              <w:rPr>
                <w:szCs w:val="21"/>
              </w:rPr>
              <w:t>华夏永福混合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002166</w:t>
            </w:r>
          </w:p>
        </w:tc>
        <w:tc>
          <w:tcPr>
            <w:tcW w:w="2438" w:type="pct"/>
            <w:vAlign w:val="center"/>
          </w:tcPr>
          <w:p w:rsidR="00B31DDC" w:rsidRPr="00FF409F" w:rsidRDefault="00B31DDC" w:rsidP="00B31DDC">
            <w:pPr>
              <w:jc w:val="left"/>
              <w:rPr>
                <w:szCs w:val="21"/>
              </w:rPr>
            </w:pPr>
            <w:r w:rsidRPr="00FF409F">
              <w:rPr>
                <w:szCs w:val="21"/>
              </w:rPr>
              <w:t>华夏永福混合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000945</w:t>
            </w:r>
          </w:p>
        </w:tc>
        <w:tc>
          <w:tcPr>
            <w:tcW w:w="2438" w:type="pct"/>
            <w:vAlign w:val="center"/>
          </w:tcPr>
          <w:p w:rsidR="00B31DDC" w:rsidRPr="00FF409F" w:rsidRDefault="00B31DDC" w:rsidP="00B31DDC">
            <w:pPr>
              <w:jc w:val="left"/>
              <w:rPr>
                <w:szCs w:val="21"/>
              </w:rPr>
            </w:pPr>
            <w:r w:rsidRPr="00FF409F">
              <w:rPr>
                <w:szCs w:val="21"/>
              </w:rPr>
              <w:t>华夏医疗健康混合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000946</w:t>
            </w:r>
          </w:p>
        </w:tc>
        <w:tc>
          <w:tcPr>
            <w:tcW w:w="2438" w:type="pct"/>
            <w:vAlign w:val="center"/>
          </w:tcPr>
          <w:p w:rsidR="00B31DDC" w:rsidRPr="00FF409F" w:rsidRDefault="00B31DDC" w:rsidP="00B31DDC">
            <w:pPr>
              <w:jc w:val="left"/>
              <w:rPr>
                <w:szCs w:val="21"/>
              </w:rPr>
            </w:pPr>
            <w:r w:rsidRPr="00FF409F">
              <w:rPr>
                <w:szCs w:val="21"/>
              </w:rPr>
              <w:t>华夏医疗健康混合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000948</w:t>
            </w:r>
          </w:p>
        </w:tc>
        <w:tc>
          <w:tcPr>
            <w:tcW w:w="2438" w:type="pct"/>
            <w:vAlign w:val="center"/>
          </w:tcPr>
          <w:p w:rsidR="00B31DDC" w:rsidRPr="00FF409F" w:rsidRDefault="00B31DDC" w:rsidP="00B31DDC">
            <w:pPr>
              <w:jc w:val="left"/>
              <w:rPr>
                <w:szCs w:val="21"/>
              </w:rPr>
            </w:pPr>
            <w:r w:rsidRPr="00FF409F">
              <w:rPr>
                <w:szCs w:val="21"/>
              </w:rPr>
              <w:t>华夏沪港通恒生</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000975</w:t>
            </w:r>
          </w:p>
        </w:tc>
        <w:tc>
          <w:tcPr>
            <w:tcW w:w="2438" w:type="pct"/>
            <w:vAlign w:val="center"/>
          </w:tcPr>
          <w:p w:rsidR="00B31DDC" w:rsidRPr="00FF409F" w:rsidRDefault="00B31DDC" w:rsidP="00B31DDC">
            <w:pPr>
              <w:jc w:val="left"/>
              <w:rPr>
                <w:szCs w:val="21"/>
              </w:rPr>
            </w:pPr>
            <w:r w:rsidRPr="00FF409F">
              <w:rPr>
                <w:szCs w:val="21"/>
              </w:rPr>
              <w:t>华夏</w:t>
            </w:r>
            <w:r w:rsidRPr="00FF409F">
              <w:rPr>
                <w:szCs w:val="21"/>
              </w:rPr>
              <w:t>MSCI</w:t>
            </w:r>
            <w:r w:rsidRPr="00FF409F">
              <w:rPr>
                <w:szCs w:val="21"/>
              </w:rPr>
              <w:t>中国</w:t>
            </w:r>
            <w:r w:rsidRPr="00FF409F">
              <w:rPr>
                <w:szCs w:val="21"/>
              </w:rPr>
              <w:t>A</w:t>
            </w:r>
            <w:r w:rsidRPr="00FF409F">
              <w:rPr>
                <w:szCs w:val="21"/>
              </w:rPr>
              <w:t>股国际通</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001015</w:t>
            </w:r>
          </w:p>
        </w:tc>
        <w:tc>
          <w:tcPr>
            <w:tcW w:w="2438" w:type="pct"/>
            <w:vAlign w:val="center"/>
          </w:tcPr>
          <w:p w:rsidR="00B31DDC" w:rsidRPr="00FF409F" w:rsidRDefault="00B31DDC" w:rsidP="00B31DDC">
            <w:pPr>
              <w:jc w:val="left"/>
              <w:rPr>
                <w:szCs w:val="21"/>
              </w:rPr>
            </w:pPr>
            <w:r w:rsidRPr="00FF409F">
              <w:rPr>
                <w:szCs w:val="21"/>
              </w:rPr>
              <w:t>华夏沪深</w:t>
            </w:r>
            <w:r w:rsidRPr="00FF409F">
              <w:rPr>
                <w:szCs w:val="21"/>
              </w:rPr>
              <w:t>300</w:t>
            </w:r>
            <w:r w:rsidRPr="00FF409F">
              <w:rPr>
                <w:szCs w:val="21"/>
              </w:rPr>
              <w:t>指数增强</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001016</w:t>
            </w:r>
          </w:p>
        </w:tc>
        <w:tc>
          <w:tcPr>
            <w:tcW w:w="2438" w:type="pct"/>
            <w:vAlign w:val="center"/>
          </w:tcPr>
          <w:p w:rsidR="00B31DDC" w:rsidRPr="00FF409F" w:rsidRDefault="00B31DDC" w:rsidP="00B31DDC">
            <w:pPr>
              <w:jc w:val="left"/>
              <w:rPr>
                <w:szCs w:val="21"/>
              </w:rPr>
            </w:pPr>
            <w:r w:rsidRPr="00FF409F">
              <w:rPr>
                <w:szCs w:val="21"/>
              </w:rPr>
              <w:t>华夏沪深</w:t>
            </w:r>
            <w:r w:rsidRPr="00FF409F">
              <w:rPr>
                <w:szCs w:val="21"/>
              </w:rPr>
              <w:t>300</w:t>
            </w:r>
            <w:r w:rsidRPr="00FF409F">
              <w:rPr>
                <w:szCs w:val="21"/>
              </w:rPr>
              <w:t>指数增强</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001031</w:t>
            </w:r>
          </w:p>
        </w:tc>
        <w:tc>
          <w:tcPr>
            <w:tcW w:w="2438" w:type="pct"/>
            <w:vAlign w:val="center"/>
          </w:tcPr>
          <w:p w:rsidR="00B31DDC" w:rsidRPr="00FF409F" w:rsidRDefault="00B31DDC" w:rsidP="00B31DDC">
            <w:pPr>
              <w:jc w:val="left"/>
              <w:rPr>
                <w:szCs w:val="21"/>
              </w:rPr>
            </w:pPr>
            <w:r w:rsidRPr="00FF409F">
              <w:rPr>
                <w:szCs w:val="21"/>
              </w:rPr>
              <w:t>华夏安康债券</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001033</w:t>
            </w:r>
          </w:p>
        </w:tc>
        <w:tc>
          <w:tcPr>
            <w:tcW w:w="2438" w:type="pct"/>
            <w:vAlign w:val="center"/>
          </w:tcPr>
          <w:p w:rsidR="00B31DDC" w:rsidRPr="00FF409F" w:rsidRDefault="00B31DDC" w:rsidP="00B31DDC">
            <w:pPr>
              <w:jc w:val="left"/>
              <w:rPr>
                <w:szCs w:val="21"/>
              </w:rPr>
            </w:pPr>
            <w:r w:rsidRPr="00FF409F">
              <w:rPr>
                <w:szCs w:val="21"/>
              </w:rPr>
              <w:t>华夏安康债券</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001042</w:t>
            </w:r>
          </w:p>
        </w:tc>
        <w:tc>
          <w:tcPr>
            <w:tcW w:w="2438" w:type="pct"/>
            <w:vAlign w:val="center"/>
          </w:tcPr>
          <w:p w:rsidR="00B31DDC" w:rsidRPr="00FF409F" w:rsidRDefault="00B31DDC" w:rsidP="00B31DDC">
            <w:pPr>
              <w:jc w:val="left"/>
              <w:rPr>
                <w:szCs w:val="21"/>
              </w:rPr>
            </w:pPr>
            <w:r w:rsidRPr="00FF409F">
              <w:rPr>
                <w:szCs w:val="21"/>
              </w:rPr>
              <w:t>华夏领先股票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001051</w:t>
            </w:r>
          </w:p>
        </w:tc>
        <w:tc>
          <w:tcPr>
            <w:tcW w:w="2438" w:type="pct"/>
            <w:vAlign w:val="center"/>
          </w:tcPr>
          <w:p w:rsidR="00B31DDC" w:rsidRPr="00FF409F" w:rsidRDefault="00B31DDC" w:rsidP="00B31DDC">
            <w:pPr>
              <w:jc w:val="left"/>
              <w:rPr>
                <w:szCs w:val="21"/>
              </w:rPr>
            </w:pPr>
            <w:r w:rsidRPr="00FF409F">
              <w:rPr>
                <w:szCs w:val="21"/>
              </w:rPr>
              <w:t>华夏上证</w:t>
            </w:r>
            <w:r w:rsidRPr="00FF409F">
              <w:rPr>
                <w:szCs w:val="21"/>
              </w:rPr>
              <w:t>50ETF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001052</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500ETF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006382</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500ETF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001924</w:t>
            </w:r>
          </w:p>
        </w:tc>
        <w:tc>
          <w:tcPr>
            <w:tcW w:w="2438" w:type="pct"/>
            <w:vAlign w:val="center"/>
          </w:tcPr>
          <w:p w:rsidR="00B31DDC" w:rsidRPr="00FF409F" w:rsidRDefault="00B31DDC" w:rsidP="00B31DDC">
            <w:pPr>
              <w:jc w:val="left"/>
              <w:rPr>
                <w:szCs w:val="21"/>
              </w:rPr>
            </w:pPr>
            <w:r w:rsidRPr="00FF409F">
              <w:rPr>
                <w:szCs w:val="21"/>
              </w:rPr>
              <w:t>华夏国企改革混合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001927</w:t>
            </w:r>
          </w:p>
        </w:tc>
        <w:tc>
          <w:tcPr>
            <w:tcW w:w="2438" w:type="pct"/>
            <w:vAlign w:val="center"/>
          </w:tcPr>
          <w:p w:rsidR="00B31DDC" w:rsidRPr="00FF409F" w:rsidRDefault="00B31DDC" w:rsidP="00B31DDC">
            <w:pPr>
              <w:jc w:val="left"/>
              <w:rPr>
                <w:szCs w:val="21"/>
              </w:rPr>
            </w:pPr>
            <w:r w:rsidRPr="00FF409F">
              <w:rPr>
                <w:szCs w:val="21"/>
              </w:rPr>
              <w:t>华夏消费升级混合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001928</w:t>
            </w:r>
          </w:p>
        </w:tc>
        <w:tc>
          <w:tcPr>
            <w:tcW w:w="2438" w:type="pct"/>
            <w:vAlign w:val="center"/>
          </w:tcPr>
          <w:p w:rsidR="00B31DDC" w:rsidRPr="00FF409F" w:rsidRDefault="00B31DDC" w:rsidP="00B31DDC">
            <w:pPr>
              <w:jc w:val="left"/>
              <w:rPr>
                <w:szCs w:val="21"/>
              </w:rPr>
            </w:pPr>
            <w:r w:rsidRPr="00FF409F">
              <w:rPr>
                <w:szCs w:val="21"/>
              </w:rPr>
              <w:t>华夏消费升级混合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002001</w:t>
            </w:r>
          </w:p>
        </w:tc>
        <w:tc>
          <w:tcPr>
            <w:tcW w:w="2438" w:type="pct"/>
            <w:vAlign w:val="center"/>
          </w:tcPr>
          <w:p w:rsidR="00B31DDC" w:rsidRPr="00FF409F" w:rsidRDefault="00B31DDC" w:rsidP="00B31DDC">
            <w:pPr>
              <w:jc w:val="left"/>
              <w:rPr>
                <w:szCs w:val="21"/>
              </w:rPr>
            </w:pPr>
            <w:r w:rsidRPr="00FF409F">
              <w:rPr>
                <w:szCs w:val="21"/>
              </w:rPr>
              <w:t>华夏回报混合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002021</w:t>
            </w:r>
          </w:p>
        </w:tc>
        <w:tc>
          <w:tcPr>
            <w:tcW w:w="2438" w:type="pct"/>
            <w:vAlign w:val="center"/>
          </w:tcPr>
          <w:p w:rsidR="00B31DDC" w:rsidRPr="00FF409F" w:rsidRDefault="00B31DDC" w:rsidP="00B31DDC">
            <w:pPr>
              <w:jc w:val="left"/>
              <w:rPr>
                <w:szCs w:val="21"/>
              </w:rPr>
            </w:pPr>
            <w:r w:rsidRPr="00FF409F">
              <w:rPr>
                <w:szCs w:val="21"/>
              </w:rPr>
              <w:t>华夏回报二号混合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002011</w:t>
            </w:r>
          </w:p>
        </w:tc>
        <w:tc>
          <w:tcPr>
            <w:tcW w:w="2438" w:type="pct"/>
            <w:vAlign w:val="center"/>
          </w:tcPr>
          <w:p w:rsidR="00B31DDC" w:rsidRPr="00FF409F" w:rsidRDefault="00B31DDC" w:rsidP="00B31DDC">
            <w:pPr>
              <w:jc w:val="left"/>
              <w:rPr>
                <w:szCs w:val="21"/>
              </w:rPr>
            </w:pPr>
            <w:r w:rsidRPr="00FF409F">
              <w:rPr>
                <w:szCs w:val="21"/>
              </w:rPr>
              <w:t>华夏红利混合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002031</w:t>
            </w:r>
          </w:p>
        </w:tc>
        <w:tc>
          <w:tcPr>
            <w:tcW w:w="2438" w:type="pct"/>
            <w:vAlign w:val="center"/>
          </w:tcPr>
          <w:p w:rsidR="00B31DDC" w:rsidRPr="00FF409F" w:rsidRDefault="00B31DDC" w:rsidP="00B31DDC">
            <w:pPr>
              <w:jc w:val="left"/>
              <w:rPr>
                <w:szCs w:val="21"/>
              </w:rPr>
            </w:pPr>
            <w:r w:rsidRPr="00FF409F">
              <w:rPr>
                <w:szCs w:val="21"/>
              </w:rPr>
              <w:t>华夏策略混合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002229</w:t>
            </w:r>
          </w:p>
        </w:tc>
        <w:tc>
          <w:tcPr>
            <w:tcW w:w="2438" w:type="pct"/>
            <w:vAlign w:val="center"/>
          </w:tcPr>
          <w:p w:rsidR="00B31DDC" w:rsidRPr="00FF409F" w:rsidRDefault="00B31DDC" w:rsidP="00B31DDC">
            <w:pPr>
              <w:jc w:val="left"/>
              <w:rPr>
                <w:szCs w:val="21"/>
              </w:rPr>
            </w:pPr>
            <w:r w:rsidRPr="00FF409F">
              <w:rPr>
                <w:szCs w:val="21"/>
              </w:rPr>
              <w:t>华夏经济转型股票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002230</w:t>
            </w:r>
          </w:p>
        </w:tc>
        <w:tc>
          <w:tcPr>
            <w:tcW w:w="2438" w:type="pct"/>
            <w:vAlign w:val="center"/>
          </w:tcPr>
          <w:p w:rsidR="00B31DDC" w:rsidRPr="00FF409F" w:rsidRDefault="00B31DDC" w:rsidP="00B31DDC">
            <w:pPr>
              <w:jc w:val="left"/>
              <w:rPr>
                <w:szCs w:val="21"/>
              </w:rPr>
            </w:pPr>
            <w:r w:rsidRPr="00FF409F">
              <w:rPr>
                <w:szCs w:val="21"/>
              </w:rPr>
              <w:t>华夏大中华混合（</w:t>
            </w:r>
            <w:r w:rsidRPr="00FF409F">
              <w:rPr>
                <w:szCs w:val="21"/>
              </w:rPr>
              <w:t>QDII</w:t>
            </w:r>
            <w:r w:rsidRPr="00FF409F">
              <w:rPr>
                <w:szCs w:val="21"/>
              </w:rPr>
              <w:t>）</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lastRenderedPageBreak/>
              <w:t>002231</w:t>
            </w:r>
          </w:p>
        </w:tc>
        <w:tc>
          <w:tcPr>
            <w:tcW w:w="2438" w:type="pct"/>
            <w:vAlign w:val="center"/>
          </w:tcPr>
          <w:p w:rsidR="00B31DDC" w:rsidRPr="00FF409F" w:rsidRDefault="00B31DDC" w:rsidP="00B31DDC">
            <w:pPr>
              <w:jc w:val="left"/>
              <w:rPr>
                <w:szCs w:val="21"/>
              </w:rPr>
            </w:pPr>
            <w:r w:rsidRPr="00FF409F">
              <w:rPr>
                <w:szCs w:val="21"/>
              </w:rPr>
              <w:t>华夏新趋势混合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002232</w:t>
            </w:r>
          </w:p>
        </w:tc>
        <w:tc>
          <w:tcPr>
            <w:tcW w:w="2438" w:type="pct"/>
            <w:vAlign w:val="center"/>
          </w:tcPr>
          <w:p w:rsidR="00B31DDC" w:rsidRPr="00FF409F" w:rsidRDefault="00B31DDC" w:rsidP="00B31DDC">
            <w:pPr>
              <w:jc w:val="left"/>
              <w:rPr>
                <w:szCs w:val="21"/>
              </w:rPr>
            </w:pPr>
            <w:r w:rsidRPr="00FF409F">
              <w:rPr>
                <w:szCs w:val="21"/>
              </w:rPr>
              <w:t>华夏新趋势混合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002251</w:t>
            </w:r>
          </w:p>
        </w:tc>
        <w:tc>
          <w:tcPr>
            <w:tcW w:w="2438" w:type="pct"/>
            <w:vAlign w:val="center"/>
          </w:tcPr>
          <w:p w:rsidR="00B31DDC" w:rsidRPr="00FF409F" w:rsidRDefault="00B31DDC" w:rsidP="00B31DDC">
            <w:pPr>
              <w:jc w:val="left"/>
              <w:rPr>
                <w:szCs w:val="21"/>
              </w:rPr>
            </w:pPr>
            <w:r w:rsidRPr="00FF409F">
              <w:rPr>
                <w:szCs w:val="21"/>
              </w:rPr>
              <w:t>华夏军工安全混合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002264</w:t>
            </w:r>
          </w:p>
        </w:tc>
        <w:tc>
          <w:tcPr>
            <w:tcW w:w="2438" w:type="pct"/>
            <w:vAlign w:val="center"/>
          </w:tcPr>
          <w:p w:rsidR="00B31DDC" w:rsidRPr="00FF409F" w:rsidRDefault="00B31DDC" w:rsidP="00B31DDC">
            <w:pPr>
              <w:jc w:val="left"/>
              <w:rPr>
                <w:szCs w:val="21"/>
              </w:rPr>
            </w:pPr>
            <w:r w:rsidRPr="00FF409F">
              <w:rPr>
                <w:szCs w:val="21"/>
              </w:rPr>
              <w:t>华夏乐享健康混合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002345</w:t>
            </w:r>
          </w:p>
        </w:tc>
        <w:tc>
          <w:tcPr>
            <w:tcW w:w="2438" w:type="pct"/>
            <w:vAlign w:val="center"/>
          </w:tcPr>
          <w:p w:rsidR="00B31DDC" w:rsidRPr="00FF409F" w:rsidRDefault="00B31DDC" w:rsidP="00B31DDC">
            <w:pPr>
              <w:jc w:val="left"/>
              <w:rPr>
                <w:szCs w:val="21"/>
              </w:rPr>
            </w:pPr>
            <w:r w:rsidRPr="00FF409F">
              <w:rPr>
                <w:szCs w:val="21"/>
              </w:rPr>
              <w:t>华夏高端制造混合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002411</w:t>
            </w:r>
          </w:p>
        </w:tc>
        <w:tc>
          <w:tcPr>
            <w:tcW w:w="2438" w:type="pct"/>
            <w:vAlign w:val="center"/>
          </w:tcPr>
          <w:p w:rsidR="00B31DDC" w:rsidRPr="00FF409F" w:rsidRDefault="00B31DDC" w:rsidP="00B31DDC">
            <w:pPr>
              <w:jc w:val="left"/>
              <w:rPr>
                <w:szCs w:val="21"/>
              </w:rPr>
            </w:pPr>
            <w:r w:rsidRPr="00FF409F">
              <w:rPr>
                <w:szCs w:val="21"/>
              </w:rPr>
              <w:t>华夏新机遇混合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008212</w:t>
            </w:r>
          </w:p>
        </w:tc>
        <w:tc>
          <w:tcPr>
            <w:tcW w:w="2438" w:type="pct"/>
            <w:vAlign w:val="center"/>
          </w:tcPr>
          <w:p w:rsidR="00B31DDC" w:rsidRPr="00FF409F" w:rsidRDefault="00B31DDC" w:rsidP="00B31DDC">
            <w:pPr>
              <w:jc w:val="left"/>
              <w:rPr>
                <w:szCs w:val="21"/>
              </w:rPr>
            </w:pPr>
            <w:r w:rsidRPr="00FF409F">
              <w:rPr>
                <w:szCs w:val="21"/>
              </w:rPr>
              <w:t>华夏新机遇混合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002604</w:t>
            </w:r>
          </w:p>
        </w:tc>
        <w:tc>
          <w:tcPr>
            <w:tcW w:w="2438" w:type="pct"/>
            <w:vAlign w:val="center"/>
          </w:tcPr>
          <w:p w:rsidR="00B31DDC" w:rsidRPr="00FF409F" w:rsidRDefault="00B31DDC" w:rsidP="00B31DDC">
            <w:pPr>
              <w:jc w:val="left"/>
              <w:rPr>
                <w:szCs w:val="21"/>
              </w:rPr>
            </w:pPr>
            <w:r w:rsidRPr="00FF409F">
              <w:rPr>
                <w:szCs w:val="21"/>
              </w:rPr>
              <w:t>华夏新起点混合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008213</w:t>
            </w:r>
          </w:p>
        </w:tc>
        <w:tc>
          <w:tcPr>
            <w:tcW w:w="2438" w:type="pct"/>
            <w:vAlign w:val="center"/>
          </w:tcPr>
          <w:p w:rsidR="00B31DDC" w:rsidRPr="00FF409F" w:rsidRDefault="00B31DDC" w:rsidP="00B31DDC">
            <w:pPr>
              <w:jc w:val="left"/>
              <w:rPr>
                <w:szCs w:val="21"/>
              </w:rPr>
            </w:pPr>
            <w:r w:rsidRPr="00FF409F">
              <w:rPr>
                <w:szCs w:val="21"/>
              </w:rPr>
              <w:t>华夏新起点混合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002837</w:t>
            </w:r>
          </w:p>
        </w:tc>
        <w:tc>
          <w:tcPr>
            <w:tcW w:w="2438" w:type="pct"/>
            <w:vAlign w:val="center"/>
          </w:tcPr>
          <w:p w:rsidR="00B31DDC" w:rsidRPr="00FF409F" w:rsidRDefault="00B31DDC" w:rsidP="00B31DDC">
            <w:pPr>
              <w:jc w:val="left"/>
              <w:rPr>
                <w:szCs w:val="21"/>
              </w:rPr>
            </w:pPr>
            <w:r w:rsidRPr="00FF409F">
              <w:rPr>
                <w:szCs w:val="21"/>
              </w:rPr>
              <w:t>华夏网购精选混合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007939</w:t>
            </w:r>
          </w:p>
        </w:tc>
        <w:tc>
          <w:tcPr>
            <w:tcW w:w="2438" w:type="pct"/>
            <w:vAlign w:val="center"/>
          </w:tcPr>
          <w:p w:rsidR="00B31DDC" w:rsidRPr="00FF409F" w:rsidRDefault="00B31DDC" w:rsidP="00B31DDC">
            <w:pPr>
              <w:jc w:val="left"/>
              <w:rPr>
                <w:szCs w:val="21"/>
              </w:rPr>
            </w:pPr>
            <w:r w:rsidRPr="00FF409F">
              <w:rPr>
                <w:szCs w:val="21"/>
              </w:rPr>
              <w:t>华夏网购精选混合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002871</w:t>
            </w:r>
          </w:p>
        </w:tc>
        <w:tc>
          <w:tcPr>
            <w:tcW w:w="2438" w:type="pct"/>
            <w:vAlign w:val="center"/>
          </w:tcPr>
          <w:p w:rsidR="00B31DDC" w:rsidRPr="00FF409F" w:rsidRDefault="00B31DDC" w:rsidP="00B31DDC">
            <w:pPr>
              <w:jc w:val="left"/>
              <w:rPr>
                <w:szCs w:val="21"/>
              </w:rPr>
            </w:pPr>
            <w:r w:rsidRPr="00FF409F">
              <w:rPr>
                <w:szCs w:val="21"/>
              </w:rPr>
              <w:t>华夏智胜价值成长股票</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002872</w:t>
            </w:r>
          </w:p>
        </w:tc>
        <w:tc>
          <w:tcPr>
            <w:tcW w:w="2438" w:type="pct"/>
            <w:vAlign w:val="center"/>
          </w:tcPr>
          <w:p w:rsidR="00B31DDC" w:rsidRPr="00FF409F" w:rsidRDefault="00B31DDC" w:rsidP="00B31DDC">
            <w:pPr>
              <w:jc w:val="left"/>
              <w:rPr>
                <w:szCs w:val="21"/>
              </w:rPr>
            </w:pPr>
            <w:r w:rsidRPr="00FF409F">
              <w:rPr>
                <w:szCs w:val="21"/>
              </w:rPr>
              <w:t>华夏智胜价值成长股票</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002891</w:t>
            </w:r>
          </w:p>
        </w:tc>
        <w:tc>
          <w:tcPr>
            <w:tcW w:w="2438" w:type="pct"/>
            <w:vAlign w:val="center"/>
          </w:tcPr>
          <w:p w:rsidR="00B31DDC" w:rsidRPr="00FF409F" w:rsidRDefault="00B31DDC" w:rsidP="00B31DDC">
            <w:pPr>
              <w:jc w:val="left"/>
              <w:rPr>
                <w:szCs w:val="21"/>
              </w:rPr>
            </w:pPr>
            <w:r w:rsidRPr="00FF409F">
              <w:rPr>
                <w:szCs w:val="21"/>
              </w:rPr>
              <w:t>华夏移动互联混合（</w:t>
            </w:r>
            <w:r w:rsidRPr="00FF409F">
              <w:rPr>
                <w:szCs w:val="21"/>
              </w:rPr>
              <w:t>QDII</w:t>
            </w:r>
            <w:r w:rsidRPr="00FF409F">
              <w:rPr>
                <w:szCs w:val="21"/>
              </w:rPr>
              <w:t>）（人民币）</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002980</w:t>
            </w:r>
          </w:p>
        </w:tc>
        <w:tc>
          <w:tcPr>
            <w:tcW w:w="2438" w:type="pct"/>
            <w:vAlign w:val="center"/>
          </w:tcPr>
          <w:p w:rsidR="00B31DDC" w:rsidRPr="00FF409F" w:rsidRDefault="00B31DDC" w:rsidP="00B31DDC">
            <w:pPr>
              <w:jc w:val="left"/>
              <w:rPr>
                <w:szCs w:val="21"/>
              </w:rPr>
            </w:pPr>
            <w:r w:rsidRPr="00FF409F">
              <w:rPr>
                <w:szCs w:val="21"/>
              </w:rPr>
              <w:t>华夏创新前沿股票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001374</w:t>
            </w:r>
          </w:p>
        </w:tc>
        <w:tc>
          <w:tcPr>
            <w:tcW w:w="2438" w:type="pct"/>
            <w:vAlign w:val="center"/>
          </w:tcPr>
          <w:p w:rsidR="00B31DDC" w:rsidRPr="00FF409F" w:rsidRDefault="00B31DDC" w:rsidP="00B31DDC">
            <w:pPr>
              <w:jc w:val="left"/>
              <w:rPr>
                <w:szCs w:val="21"/>
              </w:rPr>
            </w:pPr>
            <w:r w:rsidRPr="00FF409F">
              <w:rPr>
                <w:szCs w:val="21"/>
              </w:rPr>
              <w:t>华夏现金增利货币</w:t>
            </w:r>
            <w:r w:rsidRPr="00FF409F">
              <w:rPr>
                <w:szCs w:val="21"/>
              </w:rPr>
              <w:t>B</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003567</w:t>
            </w:r>
          </w:p>
        </w:tc>
        <w:tc>
          <w:tcPr>
            <w:tcW w:w="2438" w:type="pct"/>
            <w:vAlign w:val="center"/>
          </w:tcPr>
          <w:p w:rsidR="00B31DDC" w:rsidRPr="00FF409F" w:rsidRDefault="00B31DDC" w:rsidP="00B31DDC">
            <w:pPr>
              <w:jc w:val="left"/>
              <w:rPr>
                <w:szCs w:val="21"/>
              </w:rPr>
            </w:pPr>
            <w:r w:rsidRPr="00FF409F">
              <w:rPr>
                <w:szCs w:val="21"/>
              </w:rPr>
              <w:t>华夏行业景气混合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003834</w:t>
            </w:r>
          </w:p>
        </w:tc>
        <w:tc>
          <w:tcPr>
            <w:tcW w:w="2438" w:type="pct"/>
            <w:vAlign w:val="center"/>
          </w:tcPr>
          <w:p w:rsidR="00B31DDC" w:rsidRPr="00FF409F" w:rsidRDefault="00B31DDC" w:rsidP="00B31DDC">
            <w:pPr>
              <w:jc w:val="left"/>
              <w:rPr>
                <w:szCs w:val="21"/>
              </w:rPr>
            </w:pPr>
            <w:r w:rsidRPr="00FF409F">
              <w:rPr>
                <w:szCs w:val="21"/>
              </w:rPr>
              <w:t>华夏能源革新股票</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013188</w:t>
            </w:r>
          </w:p>
        </w:tc>
        <w:tc>
          <w:tcPr>
            <w:tcW w:w="2438" w:type="pct"/>
            <w:vAlign w:val="center"/>
          </w:tcPr>
          <w:p w:rsidR="00B31DDC" w:rsidRPr="00FF409F" w:rsidRDefault="00B31DDC" w:rsidP="00B31DDC">
            <w:pPr>
              <w:jc w:val="left"/>
              <w:rPr>
                <w:szCs w:val="21"/>
              </w:rPr>
            </w:pPr>
            <w:r w:rsidRPr="00FF409F">
              <w:rPr>
                <w:szCs w:val="21"/>
              </w:rPr>
              <w:t>华夏能源革新股票</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004251</w:t>
            </w:r>
          </w:p>
        </w:tc>
        <w:tc>
          <w:tcPr>
            <w:tcW w:w="2438" w:type="pct"/>
            <w:vAlign w:val="center"/>
          </w:tcPr>
          <w:p w:rsidR="00B31DDC" w:rsidRPr="00FF409F" w:rsidRDefault="00B31DDC" w:rsidP="00B31DDC">
            <w:pPr>
              <w:jc w:val="left"/>
              <w:rPr>
                <w:szCs w:val="21"/>
              </w:rPr>
            </w:pPr>
            <w:r w:rsidRPr="00FF409F">
              <w:rPr>
                <w:szCs w:val="21"/>
              </w:rPr>
              <w:t>华夏惠利货币</w:t>
            </w:r>
            <w:r w:rsidRPr="00FF409F">
              <w:rPr>
                <w:szCs w:val="21"/>
              </w:rPr>
              <w:t>B</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011547</w:t>
            </w:r>
          </w:p>
        </w:tc>
        <w:tc>
          <w:tcPr>
            <w:tcW w:w="2438" w:type="pct"/>
            <w:vAlign w:val="center"/>
          </w:tcPr>
          <w:p w:rsidR="00B31DDC" w:rsidRPr="00FF409F" w:rsidRDefault="00B31DDC" w:rsidP="00B31DDC">
            <w:pPr>
              <w:jc w:val="left"/>
              <w:rPr>
                <w:szCs w:val="21"/>
              </w:rPr>
            </w:pPr>
            <w:r w:rsidRPr="00FF409F">
              <w:rPr>
                <w:szCs w:val="21"/>
              </w:rPr>
              <w:t>华夏惠利货币</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004202</w:t>
            </w:r>
          </w:p>
        </w:tc>
        <w:tc>
          <w:tcPr>
            <w:tcW w:w="2438" w:type="pct"/>
            <w:vAlign w:val="center"/>
          </w:tcPr>
          <w:p w:rsidR="00B31DDC" w:rsidRPr="00FF409F" w:rsidRDefault="00B31DDC" w:rsidP="00B31DDC">
            <w:pPr>
              <w:jc w:val="left"/>
              <w:rPr>
                <w:szCs w:val="21"/>
              </w:rPr>
            </w:pPr>
            <w:r w:rsidRPr="00FF409F">
              <w:rPr>
                <w:szCs w:val="21"/>
              </w:rPr>
              <w:t>华夏睿磐泰兴混合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004720</w:t>
            </w:r>
          </w:p>
        </w:tc>
        <w:tc>
          <w:tcPr>
            <w:tcW w:w="2438" w:type="pct"/>
            <w:vAlign w:val="center"/>
          </w:tcPr>
          <w:p w:rsidR="00B31DDC" w:rsidRPr="00FF409F" w:rsidRDefault="00B31DDC" w:rsidP="00B31DDC">
            <w:pPr>
              <w:jc w:val="left"/>
              <w:rPr>
                <w:szCs w:val="21"/>
              </w:rPr>
            </w:pPr>
            <w:r w:rsidRPr="00FF409F">
              <w:rPr>
                <w:szCs w:val="21"/>
              </w:rPr>
              <w:t>华夏睿磐泰茂混合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004721</w:t>
            </w:r>
          </w:p>
        </w:tc>
        <w:tc>
          <w:tcPr>
            <w:tcW w:w="2438" w:type="pct"/>
            <w:vAlign w:val="center"/>
          </w:tcPr>
          <w:p w:rsidR="00B31DDC" w:rsidRPr="00FF409F" w:rsidRDefault="00B31DDC" w:rsidP="00B31DDC">
            <w:pPr>
              <w:jc w:val="left"/>
              <w:rPr>
                <w:szCs w:val="21"/>
              </w:rPr>
            </w:pPr>
            <w:r w:rsidRPr="00FF409F">
              <w:rPr>
                <w:szCs w:val="21"/>
              </w:rPr>
              <w:t>华夏睿磐泰茂混合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005177</w:t>
            </w:r>
          </w:p>
        </w:tc>
        <w:tc>
          <w:tcPr>
            <w:tcW w:w="2438" w:type="pct"/>
            <w:vAlign w:val="center"/>
          </w:tcPr>
          <w:p w:rsidR="00B31DDC" w:rsidRPr="00FF409F" w:rsidRDefault="00B31DDC" w:rsidP="00B31DDC">
            <w:pPr>
              <w:jc w:val="left"/>
              <w:rPr>
                <w:szCs w:val="21"/>
              </w:rPr>
            </w:pPr>
            <w:r w:rsidRPr="00FF409F">
              <w:rPr>
                <w:szCs w:val="21"/>
              </w:rPr>
              <w:t>华夏睿磐泰利混合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005178</w:t>
            </w:r>
          </w:p>
        </w:tc>
        <w:tc>
          <w:tcPr>
            <w:tcW w:w="2438" w:type="pct"/>
            <w:vAlign w:val="center"/>
          </w:tcPr>
          <w:p w:rsidR="00B31DDC" w:rsidRPr="00FF409F" w:rsidRDefault="00B31DDC" w:rsidP="00B31DDC">
            <w:pPr>
              <w:jc w:val="left"/>
              <w:rPr>
                <w:szCs w:val="21"/>
              </w:rPr>
            </w:pPr>
            <w:r w:rsidRPr="00FF409F">
              <w:rPr>
                <w:szCs w:val="21"/>
              </w:rPr>
              <w:t>华夏睿磐泰利混合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005140</w:t>
            </w:r>
          </w:p>
        </w:tc>
        <w:tc>
          <w:tcPr>
            <w:tcW w:w="2438" w:type="pct"/>
            <w:vAlign w:val="center"/>
          </w:tcPr>
          <w:p w:rsidR="00B31DDC" w:rsidRPr="00FF409F" w:rsidRDefault="00B31DDC" w:rsidP="00B31DDC">
            <w:pPr>
              <w:jc w:val="left"/>
              <w:rPr>
                <w:szCs w:val="21"/>
              </w:rPr>
            </w:pPr>
            <w:r w:rsidRPr="00FF409F">
              <w:rPr>
                <w:szCs w:val="21"/>
              </w:rPr>
              <w:t>华夏睿磐泰荣混合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005141</w:t>
            </w:r>
          </w:p>
        </w:tc>
        <w:tc>
          <w:tcPr>
            <w:tcW w:w="2438" w:type="pct"/>
            <w:vAlign w:val="center"/>
          </w:tcPr>
          <w:p w:rsidR="00B31DDC" w:rsidRPr="00FF409F" w:rsidRDefault="00B31DDC" w:rsidP="00B31DDC">
            <w:pPr>
              <w:jc w:val="left"/>
              <w:rPr>
                <w:szCs w:val="21"/>
              </w:rPr>
            </w:pPr>
            <w:r w:rsidRPr="00FF409F">
              <w:rPr>
                <w:szCs w:val="21"/>
              </w:rPr>
              <w:t>华夏睿磐泰荣混合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004640</w:t>
            </w:r>
          </w:p>
        </w:tc>
        <w:tc>
          <w:tcPr>
            <w:tcW w:w="2438" w:type="pct"/>
            <w:vAlign w:val="center"/>
          </w:tcPr>
          <w:p w:rsidR="00B31DDC" w:rsidRPr="00FF409F" w:rsidRDefault="00B31DDC" w:rsidP="00B31DDC">
            <w:pPr>
              <w:jc w:val="left"/>
              <w:rPr>
                <w:szCs w:val="21"/>
              </w:rPr>
            </w:pPr>
            <w:r w:rsidRPr="00FF409F">
              <w:rPr>
                <w:szCs w:val="21"/>
              </w:rPr>
              <w:t>华夏节能环保股票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004686</w:t>
            </w:r>
          </w:p>
        </w:tc>
        <w:tc>
          <w:tcPr>
            <w:tcW w:w="2438" w:type="pct"/>
            <w:vAlign w:val="center"/>
          </w:tcPr>
          <w:p w:rsidR="00B31DDC" w:rsidRPr="00FF409F" w:rsidRDefault="00B31DDC" w:rsidP="00B31DDC">
            <w:pPr>
              <w:jc w:val="left"/>
              <w:rPr>
                <w:szCs w:val="21"/>
              </w:rPr>
            </w:pPr>
            <w:r w:rsidRPr="00FF409F">
              <w:rPr>
                <w:szCs w:val="21"/>
              </w:rPr>
              <w:t>华夏研究精选股票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005128</w:t>
            </w:r>
          </w:p>
        </w:tc>
        <w:tc>
          <w:tcPr>
            <w:tcW w:w="2438" w:type="pct"/>
            <w:vAlign w:val="center"/>
          </w:tcPr>
          <w:p w:rsidR="00B31DDC" w:rsidRPr="00FF409F" w:rsidRDefault="00B31DDC" w:rsidP="00B31DDC">
            <w:pPr>
              <w:jc w:val="left"/>
              <w:rPr>
                <w:szCs w:val="21"/>
              </w:rPr>
            </w:pPr>
            <w:r w:rsidRPr="00FF409F">
              <w:rPr>
                <w:szCs w:val="21"/>
              </w:rPr>
              <w:t>华夏永康添福混合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005218</w:t>
            </w:r>
          </w:p>
        </w:tc>
        <w:tc>
          <w:tcPr>
            <w:tcW w:w="2438" w:type="pct"/>
            <w:vAlign w:val="center"/>
          </w:tcPr>
          <w:p w:rsidR="00B31DDC" w:rsidRPr="00FF409F" w:rsidRDefault="00B31DDC" w:rsidP="00B31DDC">
            <w:pPr>
              <w:jc w:val="left"/>
              <w:rPr>
                <w:szCs w:val="21"/>
              </w:rPr>
            </w:pPr>
            <w:r w:rsidRPr="00FF409F">
              <w:rPr>
                <w:rFonts w:hint="eastAsia"/>
                <w:szCs w:val="21"/>
              </w:rPr>
              <w:t>华夏聚惠</w:t>
            </w:r>
            <w:r w:rsidR="00616F56" w:rsidRPr="00FF409F">
              <w:rPr>
                <w:szCs w:val="21"/>
              </w:rPr>
              <w:t>FOF(A)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005219</w:t>
            </w:r>
          </w:p>
        </w:tc>
        <w:tc>
          <w:tcPr>
            <w:tcW w:w="2438" w:type="pct"/>
            <w:vAlign w:val="center"/>
          </w:tcPr>
          <w:p w:rsidR="00616F56" w:rsidRPr="00FF409F" w:rsidRDefault="00B31DDC" w:rsidP="00B31DDC">
            <w:pPr>
              <w:jc w:val="left"/>
              <w:rPr>
                <w:szCs w:val="21"/>
              </w:rPr>
            </w:pPr>
            <w:r w:rsidRPr="00FF409F">
              <w:rPr>
                <w:rFonts w:hint="eastAsia"/>
                <w:szCs w:val="21"/>
              </w:rPr>
              <w:t>华夏聚惠</w:t>
            </w:r>
            <w:r w:rsidR="00616F56" w:rsidRPr="00FF409F">
              <w:rPr>
                <w:szCs w:val="21"/>
              </w:rPr>
              <w:t>FOF</w:t>
            </w:r>
            <w:r w:rsidR="00616F56" w:rsidRPr="00FF409F">
              <w:rPr>
                <w:rFonts w:hint="eastAsia"/>
                <w:szCs w:val="21"/>
              </w:rPr>
              <w:t>(</w:t>
            </w:r>
            <w:r w:rsidR="00616F56"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005449</w:t>
            </w:r>
          </w:p>
        </w:tc>
        <w:tc>
          <w:tcPr>
            <w:tcW w:w="2438" w:type="pct"/>
            <w:vAlign w:val="center"/>
          </w:tcPr>
          <w:p w:rsidR="00B31DDC" w:rsidRPr="00FF409F" w:rsidRDefault="00B31DDC" w:rsidP="00B31DDC">
            <w:pPr>
              <w:jc w:val="left"/>
              <w:rPr>
                <w:szCs w:val="21"/>
              </w:rPr>
            </w:pPr>
            <w:r w:rsidRPr="00FF409F">
              <w:rPr>
                <w:szCs w:val="21"/>
              </w:rPr>
              <w:t>华夏行业龙头混合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005534</w:t>
            </w:r>
          </w:p>
        </w:tc>
        <w:tc>
          <w:tcPr>
            <w:tcW w:w="2438" w:type="pct"/>
            <w:vAlign w:val="center"/>
          </w:tcPr>
          <w:p w:rsidR="00B31DDC" w:rsidRPr="00FF409F" w:rsidRDefault="00B31DDC" w:rsidP="00B31DDC">
            <w:pPr>
              <w:jc w:val="left"/>
              <w:rPr>
                <w:szCs w:val="21"/>
              </w:rPr>
            </w:pPr>
            <w:r w:rsidRPr="00FF409F">
              <w:rPr>
                <w:szCs w:val="21"/>
              </w:rPr>
              <w:t>华夏新时代混合（</w:t>
            </w:r>
            <w:r w:rsidRPr="00FF409F">
              <w:rPr>
                <w:szCs w:val="21"/>
              </w:rPr>
              <w:t>QDII</w:t>
            </w:r>
            <w:r w:rsidRPr="00FF409F">
              <w:rPr>
                <w:szCs w:val="21"/>
              </w:rPr>
              <w:t>）（人民币）</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005698</w:t>
            </w:r>
          </w:p>
        </w:tc>
        <w:tc>
          <w:tcPr>
            <w:tcW w:w="2438" w:type="pct"/>
            <w:vAlign w:val="center"/>
          </w:tcPr>
          <w:p w:rsidR="00B31DDC" w:rsidRPr="00FF409F" w:rsidRDefault="00B31DDC" w:rsidP="00B31DDC">
            <w:pPr>
              <w:jc w:val="left"/>
              <w:rPr>
                <w:szCs w:val="21"/>
              </w:rPr>
            </w:pPr>
            <w:r w:rsidRPr="00FF409F">
              <w:rPr>
                <w:szCs w:val="21"/>
              </w:rPr>
              <w:t>华夏全球科技先锋混合（</w:t>
            </w:r>
            <w:r w:rsidRPr="00FF409F">
              <w:rPr>
                <w:szCs w:val="21"/>
              </w:rPr>
              <w:t>QDII</w:t>
            </w:r>
            <w:r w:rsidRPr="00FF409F">
              <w:rPr>
                <w:szCs w:val="21"/>
              </w:rPr>
              <w:t>）</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005774</w:t>
            </w:r>
          </w:p>
        </w:tc>
        <w:tc>
          <w:tcPr>
            <w:tcW w:w="2438" w:type="pct"/>
            <w:vAlign w:val="center"/>
          </w:tcPr>
          <w:p w:rsidR="00B31DDC" w:rsidRPr="00FF409F" w:rsidRDefault="00B31DDC" w:rsidP="00B31DDC">
            <w:pPr>
              <w:jc w:val="left"/>
              <w:rPr>
                <w:szCs w:val="21"/>
              </w:rPr>
            </w:pPr>
            <w:r w:rsidRPr="00FF409F">
              <w:rPr>
                <w:szCs w:val="21"/>
              </w:rPr>
              <w:t>华夏产业升级混合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005826</w:t>
            </w:r>
          </w:p>
        </w:tc>
        <w:tc>
          <w:tcPr>
            <w:tcW w:w="2438" w:type="pct"/>
            <w:vAlign w:val="center"/>
          </w:tcPr>
          <w:p w:rsidR="00B31DDC" w:rsidRPr="00FF409F" w:rsidRDefault="00B31DDC" w:rsidP="00B31DDC">
            <w:pPr>
              <w:jc w:val="left"/>
              <w:rPr>
                <w:szCs w:val="21"/>
              </w:rPr>
            </w:pPr>
            <w:r w:rsidRPr="00FF409F">
              <w:rPr>
                <w:szCs w:val="21"/>
              </w:rPr>
              <w:t>华夏潜龙精选股票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005888</w:t>
            </w:r>
          </w:p>
        </w:tc>
        <w:tc>
          <w:tcPr>
            <w:tcW w:w="2438" w:type="pct"/>
            <w:vAlign w:val="center"/>
          </w:tcPr>
          <w:p w:rsidR="00B31DDC" w:rsidRPr="00FF409F" w:rsidRDefault="00B31DDC" w:rsidP="00B31DDC">
            <w:pPr>
              <w:jc w:val="left"/>
              <w:rPr>
                <w:szCs w:val="21"/>
              </w:rPr>
            </w:pPr>
            <w:r w:rsidRPr="00FF409F">
              <w:rPr>
                <w:szCs w:val="21"/>
              </w:rPr>
              <w:t>华夏新兴消费混合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005889</w:t>
            </w:r>
          </w:p>
        </w:tc>
        <w:tc>
          <w:tcPr>
            <w:tcW w:w="2438" w:type="pct"/>
            <w:vAlign w:val="center"/>
          </w:tcPr>
          <w:p w:rsidR="00B31DDC" w:rsidRPr="00FF409F" w:rsidRDefault="00B31DDC" w:rsidP="00B31DDC">
            <w:pPr>
              <w:jc w:val="left"/>
              <w:rPr>
                <w:szCs w:val="21"/>
              </w:rPr>
            </w:pPr>
            <w:r w:rsidRPr="00FF409F">
              <w:rPr>
                <w:szCs w:val="21"/>
              </w:rPr>
              <w:t>华夏新兴消费混合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005894</w:t>
            </w:r>
          </w:p>
        </w:tc>
        <w:tc>
          <w:tcPr>
            <w:tcW w:w="2438" w:type="pct"/>
            <w:vAlign w:val="center"/>
          </w:tcPr>
          <w:p w:rsidR="00B31DDC" w:rsidRPr="00FF409F" w:rsidRDefault="00B31DDC" w:rsidP="00B31DDC">
            <w:pPr>
              <w:jc w:val="left"/>
              <w:rPr>
                <w:szCs w:val="21"/>
              </w:rPr>
            </w:pPr>
            <w:r w:rsidRPr="00FF409F">
              <w:rPr>
                <w:szCs w:val="21"/>
              </w:rPr>
              <w:t>华夏优势精选股票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005957</w:t>
            </w:r>
          </w:p>
        </w:tc>
        <w:tc>
          <w:tcPr>
            <w:tcW w:w="2438" w:type="pct"/>
            <w:vAlign w:val="center"/>
          </w:tcPr>
          <w:p w:rsidR="00B31DDC" w:rsidRPr="00FF409F" w:rsidRDefault="00B31DDC" w:rsidP="00B31DDC">
            <w:pPr>
              <w:jc w:val="left"/>
              <w:rPr>
                <w:szCs w:val="21"/>
              </w:rPr>
            </w:pPr>
            <w:r w:rsidRPr="00FF409F">
              <w:rPr>
                <w:szCs w:val="21"/>
              </w:rPr>
              <w:t>华夏聚丰混合（</w:t>
            </w:r>
            <w:r w:rsidRPr="00FF409F">
              <w:rPr>
                <w:szCs w:val="21"/>
              </w:rPr>
              <w:t>FOF</w:t>
            </w:r>
            <w:r w:rsidRPr="00FF409F">
              <w:rPr>
                <w:szCs w:val="21"/>
              </w:rPr>
              <w:t>）</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lastRenderedPageBreak/>
              <w:t>005958</w:t>
            </w:r>
          </w:p>
        </w:tc>
        <w:tc>
          <w:tcPr>
            <w:tcW w:w="2438" w:type="pct"/>
            <w:vAlign w:val="center"/>
          </w:tcPr>
          <w:p w:rsidR="00B31DDC" w:rsidRPr="00FF409F" w:rsidRDefault="00B31DDC" w:rsidP="00B31DDC">
            <w:pPr>
              <w:jc w:val="left"/>
              <w:rPr>
                <w:szCs w:val="21"/>
              </w:rPr>
            </w:pPr>
            <w:r w:rsidRPr="00FF409F">
              <w:rPr>
                <w:szCs w:val="21"/>
              </w:rPr>
              <w:t>华夏聚丰混合（</w:t>
            </w:r>
            <w:r w:rsidRPr="00FF409F">
              <w:rPr>
                <w:szCs w:val="21"/>
              </w:rPr>
              <w:t>FOF</w:t>
            </w:r>
            <w:r w:rsidRPr="00FF409F">
              <w:rPr>
                <w:szCs w:val="21"/>
              </w:rPr>
              <w:t>）</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006196</w:t>
            </w:r>
          </w:p>
        </w:tc>
        <w:tc>
          <w:tcPr>
            <w:tcW w:w="2438" w:type="pct"/>
            <w:vAlign w:val="center"/>
          </w:tcPr>
          <w:p w:rsidR="00B31DDC" w:rsidRPr="00FF409F" w:rsidRDefault="00B31DDC" w:rsidP="00B31DDC">
            <w:pPr>
              <w:jc w:val="left"/>
              <w:rPr>
                <w:szCs w:val="21"/>
              </w:rPr>
            </w:pPr>
            <w:r w:rsidRPr="00FF409F">
              <w:rPr>
                <w:szCs w:val="21"/>
              </w:rPr>
              <w:t>华夏中证央企</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006197</w:t>
            </w:r>
          </w:p>
        </w:tc>
        <w:tc>
          <w:tcPr>
            <w:tcW w:w="2438" w:type="pct"/>
            <w:vAlign w:val="center"/>
          </w:tcPr>
          <w:p w:rsidR="00B31DDC" w:rsidRPr="00FF409F" w:rsidRDefault="00B31DDC" w:rsidP="00B31DDC">
            <w:pPr>
              <w:jc w:val="left"/>
              <w:rPr>
                <w:szCs w:val="21"/>
              </w:rPr>
            </w:pPr>
            <w:r w:rsidRPr="00FF409F">
              <w:rPr>
                <w:szCs w:val="21"/>
              </w:rPr>
              <w:t>华夏中证央企</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006248</w:t>
            </w:r>
          </w:p>
        </w:tc>
        <w:tc>
          <w:tcPr>
            <w:tcW w:w="2438" w:type="pct"/>
            <w:vAlign w:val="center"/>
          </w:tcPr>
          <w:p w:rsidR="00B31DDC" w:rsidRPr="00FF409F" w:rsidRDefault="00B31DDC" w:rsidP="00B31DDC">
            <w:pPr>
              <w:jc w:val="left"/>
              <w:rPr>
                <w:szCs w:val="21"/>
              </w:rPr>
            </w:pPr>
            <w:r w:rsidRPr="00FF409F">
              <w:rPr>
                <w:szCs w:val="21"/>
              </w:rPr>
              <w:t>华夏创业板</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006249</w:t>
            </w:r>
          </w:p>
        </w:tc>
        <w:tc>
          <w:tcPr>
            <w:tcW w:w="2438" w:type="pct"/>
            <w:vAlign w:val="center"/>
          </w:tcPr>
          <w:p w:rsidR="00B31DDC" w:rsidRPr="00FF409F" w:rsidRDefault="00B31DDC" w:rsidP="00B31DDC">
            <w:pPr>
              <w:jc w:val="left"/>
              <w:rPr>
                <w:szCs w:val="21"/>
              </w:rPr>
            </w:pPr>
            <w:r w:rsidRPr="00FF409F">
              <w:rPr>
                <w:szCs w:val="21"/>
              </w:rPr>
              <w:t>华夏创业板</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006445</w:t>
            </w:r>
          </w:p>
        </w:tc>
        <w:tc>
          <w:tcPr>
            <w:tcW w:w="2438" w:type="pct"/>
            <w:vAlign w:val="center"/>
          </w:tcPr>
          <w:p w:rsidR="00B31DDC" w:rsidRPr="00FF409F" w:rsidRDefault="00B31DDC" w:rsidP="00B31DDC">
            <w:pPr>
              <w:jc w:val="left"/>
              <w:rPr>
                <w:szCs w:val="21"/>
              </w:rPr>
            </w:pPr>
            <w:r w:rsidRPr="00FF409F">
              <w:rPr>
                <w:szCs w:val="21"/>
              </w:rPr>
              <w:t>华夏全球聚享（</w:t>
            </w:r>
            <w:r w:rsidRPr="00FF409F">
              <w:rPr>
                <w:szCs w:val="21"/>
              </w:rPr>
              <w:t>QDII</w:t>
            </w:r>
            <w:r w:rsidRPr="00FF409F">
              <w:rPr>
                <w:szCs w:val="21"/>
              </w:rPr>
              <w:t>）</w:t>
            </w:r>
            <w:r w:rsidRPr="00FF409F">
              <w:rPr>
                <w:szCs w:val="21"/>
              </w:rPr>
              <w:t>A</w:t>
            </w:r>
            <w:r w:rsidRPr="00FF409F">
              <w:rPr>
                <w:szCs w:val="21"/>
              </w:rPr>
              <w:t>（人民币）</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006448</w:t>
            </w:r>
          </w:p>
        </w:tc>
        <w:tc>
          <w:tcPr>
            <w:tcW w:w="2438" w:type="pct"/>
            <w:vAlign w:val="center"/>
          </w:tcPr>
          <w:p w:rsidR="00B31DDC" w:rsidRPr="00FF409F" w:rsidRDefault="00B31DDC" w:rsidP="00B31DDC">
            <w:pPr>
              <w:jc w:val="left"/>
              <w:rPr>
                <w:szCs w:val="21"/>
              </w:rPr>
            </w:pPr>
            <w:r w:rsidRPr="00FF409F">
              <w:rPr>
                <w:szCs w:val="21"/>
              </w:rPr>
              <w:t>华夏全球聚享（</w:t>
            </w:r>
            <w:r w:rsidRPr="00FF409F">
              <w:rPr>
                <w:szCs w:val="21"/>
              </w:rPr>
              <w:t>QDII</w:t>
            </w:r>
            <w:r w:rsidRPr="00FF409F">
              <w:rPr>
                <w:szCs w:val="21"/>
              </w:rPr>
              <w:t>）</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006560</w:t>
            </w:r>
          </w:p>
        </w:tc>
        <w:tc>
          <w:tcPr>
            <w:tcW w:w="2438" w:type="pct"/>
            <w:vAlign w:val="center"/>
          </w:tcPr>
          <w:p w:rsidR="00B31DDC" w:rsidRPr="00FF409F" w:rsidRDefault="00B31DDC" w:rsidP="00B31DDC">
            <w:pPr>
              <w:jc w:val="left"/>
              <w:rPr>
                <w:szCs w:val="21"/>
              </w:rPr>
            </w:pPr>
            <w:r w:rsidRPr="00FF409F">
              <w:rPr>
                <w:szCs w:val="21"/>
              </w:rPr>
              <w:t>华夏中证四川国改</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006561</w:t>
            </w:r>
          </w:p>
        </w:tc>
        <w:tc>
          <w:tcPr>
            <w:tcW w:w="2438" w:type="pct"/>
            <w:vAlign w:val="center"/>
          </w:tcPr>
          <w:p w:rsidR="00B31DDC" w:rsidRPr="00FF409F" w:rsidRDefault="00B31DDC" w:rsidP="00B31DDC">
            <w:pPr>
              <w:jc w:val="left"/>
              <w:rPr>
                <w:szCs w:val="21"/>
              </w:rPr>
            </w:pPr>
            <w:r w:rsidRPr="00FF409F">
              <w:rPr>
                <w:szCs w:val="21"/>
              </w:rPr>
              <w:t>华夏中证四川国改</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006868</w:t>
            </w:r>
          </w:p>
        </w:tc>
        <w:tc>
          <w:tcPr>
            <w:tcW w:w="2438" w:type="pct"/>
            <w:vAlign w:val="center"/>
          </w:tcPr>
          <w:p w:rsidR="00B31DDC" w:rsidRPr="00FF409F" w:rsidRDefault="00B31DDC" w:rsidP="00B31DDC">
            <w:pPr>
              <w:jc w:val="left"/>
              <w:rPr>
                <w:szCs w:val="21"/>
              </w:rPr>
            </w:pPr>
            <w:r w:rsidRPr="00FF409F">
              <w:rPr>
                <w:szCs w:val="21"/>
              </w:rPr>
              <w:t>华夏科技成长股票</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006909</w:t>
            </w:r>
          </w:p>
        </w:tc>
        <w:tc>
          <w:tcPr>
            <w:tcW w:w="2438" w:type="pct"/>
            <w:vAlign w:val="center"/>
          </w:tcPr>
          <w:p w:rsidR="00B31DDC" w:rsidRPr="00FF409F" w:rsidRDefault="00B31DDC" w:rsidP="00B31DDC">
            <w:pPr>
              <w:jc w:val="left"/>
              <w:rPr>
                <w:szCs w:val="21"/>
              </w:rPr>
            </w:pPr>
            <w:r w:rsidRPr="00FF409F">
              <w:rPr>
                <w:szCs w:val="21"/>
              </w:rPr>
              <w:t>华夏战略新兴成指</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006910</w:t>
            </w:r>
          </w:p>
        </w:tc>
        <w:tc>
          <w:tcPr>
            <w:tcW w:w="2438" w:type="pct"/>
            <w:vAlign w:val="center"/>
          </w:tcPr>
          <w:p w:rsidR="00B31DDC" w:rsidRPr="00FF409F" w:rsidRDefault="00B31DDC" w:rsidP="00B31DDC">
            <w:pPr>
              <w:jc w:val="left"/>
              <w:rPr>
                <w:szCs w:val="21"/>
              </w:rPr>
            </w:pPr>
            <w:r w:rsidRPr="00FF409F">
              <w:rPr>
                <w:szCs w:val="21"/>
              </w:rPr>
              <w:t>华夏战略新兴成指</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007165</w:t>
            </w:r>
          </w:p>
        </w:tc>
        <w:tc>
          <w:tcPr>
            <w:tcW w:w="2438" w:type="pct"/>
            <w:vAlign w:val="center"/>
          </w:tcPr>
          <w:p w:rsidR="00B31DDC" w:rsidRPr="00FF409F" w:rsidRDefault="00B31DDC" w:rsidP="00B31DDC">
            <w:pPr>
              <w:jc w:val="left"/>
              <w:rPr>
                <w:szCs w:val="21"/>
              </w:rPr>
            </w:pPr>
            <w:r w:rsidRPr="00FF409F">
              <w:rPr>
                <w:szCs w:val="21"/>
              </w:rPr>
              <w:t>华夏中债</w:t>
            </w:r>
            <w:r w:rsidRPr="00FF409F">
              <w:rPr>
                <w:szCs w:val="21"/>
              </w:rPr>
              <w:t>1-3</w:t>
            </w:r>
            <w:r w:rsidRPr="00FF409F">
              <w:rPr>
                <w:szCs w:val="21"/>
              </w:rPr>
              <w:t>年政金债指数</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007166</w:t>
            </w:r>
          </w:p>
        </w:tc>
        <w:tc>
          <w:tcPr>
            <w:tcW w:w="2438" w:type="pct"/>
            <w:vAlign w:val="center"/>
          </w:tcPr>
          <w:p w:rsidR="00B31DDC" w:rsidRPr="00FF409F" w:rsidRDefault="00B31DDC" w:rsidP="00B31DDC">
            <w:pPr>
              <w:jc w:val="left"/>
              <w:rPr>
                <w:szCs w:val="21"/>
              </w:rPr>
            </w:pPr>
            <w:r w:rsidRPr="00FF409F">
              <w:rPr>
                <w:szCs w:val="21"/>
              </w:rPr>
              <w:t>华夏中债</w:t>
            </w:r>
            <w:r w:rsidRPr="00FF409F">
              <w:rPr>
                <w:szCs w:val="21"/>
              </w:rPr>
              <w:t>1-3</w:t>
            </w:r>
            <w:r w:rsidRPr="00FF409F">
              <w:rPr>
                <w:szCs w:val="21"/>
              </w:rPr>
              <w:t>年政金债指数</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007186</w:t>
            </w:r>
          </w:p>
        </w:tc>
        <w:tc>
          <w:tcPr>
            <w:tcW w:w="2438" w:type="pct"/>
            <w:vAlign w:val="center"/>
          </w:tcPr>
          <w:p w:rsidR="00B31DDC" w:rsidRPr="00FF409F" w:rsidRDefault="00B31DDC" w:rsidP="00B31DDC">
            <w:pPr>
              <w:jc w:val="left"/>
              <w:rPr>
                <w:szCs w:val="21"/>
              </w:rPr>
            </w:pPr>
            <w:r w:rsidRPr="00FF409F">
              <w:rPr>
                <w:szCs w:val="21"/>
              </w:rPr>
              <w:t>华夏中债</w:t>
            </w:r>
            <w:r w:rsidRPr="00FF409F">
              <w:rPr>
                <w:szCs w:val="21"/>
              </w:rPr>
              <w:t>3-5</w:t>
            </w:r>
            <w:r w:rsidRPr="00FF409F">
              <w:rPr>
                <w:szCs w:val="21"/>
              </w:rPr>
              <w:t>年政金债指数</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007187</w:t>
            </w:r>
          </w:p>
        </w:tc>
        <w:tc>
          <w:tcPr>
            <w:tcW w:w="2438" w:type="pct"/>
            <w:vAlign w:val="center"/>
          </w:tcPr>
          <w:p w:rsidR="00B31DDC" w:rsidRPr="00FF409F" w:rsidRDefault="00B31DDC" w:rsidP="00B31DDC">
            <w:pPr>
              <w:jc w:val="left"/>
              <w:rPr>
                <w:szCs w:val="21"/>
              </w:rPr>
            </w:pPr>
            <w:r w:rsidRPr="00FF409F">
              <w:rPr>
                <w:szCs w:val="21"/>
              </w:rPr>
              <w:t>华夏中债</w:t>
            </w:r>
            <w:r w:rsidRPr="00FF409F">
              <w:rPr>
                <w:szCs w:val="21"/>
              </w:rPr>
              <w:t>3-5</w:t>
            </w:r>
            <w:r w:rsidRPr="00FF409F">
              <w:rPr>
                <w:szCs w:val="21"/>
              </w:rPr>
              <w:t>年政金债指数</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007349</w:t>
            </w:r>
          </w:p>
        </w:tc>
        <w:tc>
          <w:tcPr>
            <w:tcW w:w="2438" w:type="pct"/>
            <w:vAlign w:val="center"/>
          </w:tcPr>
          <w:p w:rsidR="00B31DDC" w:rsidRPr="00FF409F" w:rsidRDefault="00B31DDC" w:rsidP="00B31DDC">
            <w:pPr>
              <w:jc w:val="left"/>
              <w:rPr>
                <w:szCs w:val="21"/>
              </w:rPr>
            </w:pPr>
            <w:r w:rsidRPr="00FF409F">
              <w:rPr>
                <w:szCs w:val="21"/>
              </w:rPr>
              <w:t>华夏科技创新混合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007350</w:t>
            </w:r>
          </w:p>
        </w:tc>
        <w:tc>
          <w:tcPr>
            <w:tcW w:w="2438" w:type="pct"/>
            <w:vAlign w:val="center"/>
          </w:tcPr>
          <w:p w:rsidR="00B31DDC" w:rsidRPr="00FF409F" w:rsidRDefault="00B31DDC" w:rsidP="00B31DDC">
            <w:pPr>
              <w:jc w:val="left"/>
              <w:rPr>
                <w:szCs w:val="21"/>
              </w:rPr>
            </w:pPr>
            <w:r w:rsidRPr="00FF409F">
              <w:rPr>
                <w:szCs w:val="21"/>
              </w:rPr>
              <w:t>华夏科技创新混合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007472</w:t>
            </w:r>
          </w:p>
        </w:tc>
        <w:tc>
          <w:tcPr>
            <w:tcW w:w="2438" w:type="pct"/>
            <w:vAlign w:val="center"/>
          </w:tcPr>
          <w:p w:rsidR="00B31DDC" w:rsidRPr="00FF409F" w:rsidRDefault="00B31DDC" w:rsidP="00B31DDC">
            <w:pPr>
              <w:jc w:val="left"/>
              <w:rPr>
                <w:szCs w:val="21"/>
              </w:rPr>
            </w:pPr>
            <w:r w:rsidRPr="00FF409F">
              <w:rPr>
                <w:szCs w:val="21"/>
              </w:rPr>
              <w:t>华夏创蓝筹</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007473</w:t>
            </w:r>
          </w:p>
        </w:tc>
        <w:tc>
          <w:tcPr>
            <w:tcW w:w="2438" w:type="pct"/>
            <w:vAlign w:val="center"/>
          </w:tcPr>
          <w:p w:rsidR="00B31DDC" w:rsidRPr="00FF409F" w:rsidRDefault="00B31DDC" w:rsidP="00B31DDC">
            <w:pPr>
              <w:jc w:val="left"/>
              <w:rPr>
                <w:szCs w:val="21"/>
              </w:rPr>
            </w:pPr>
            <w:r w:rsidRPr="00FF409F">
              <w:rPr>
                <w:szCs w:val="21"/>
              </w:rPr>
              <w:t>华夏创蓝筹</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007474</w:t>
            </w:r>
          </w:p>
        </w:tc>
        <w:tc>
          <w:tcPr>
            <w:tcW w:w="2438" w:type="pct"/>
            <w:vAlign w:val="center"/>
          </w:tcPr>
          <w:p w:rsidR="00B31DDC" w:rsidRPr="00FF409F" w:rsidRDefault="00B31DDC" w:rsidP="00B31DDC">
            <w:pPr>
              <w:jc w:val="left"/>
              <w:rPr>
                <w:szCs w:val="21"/>
              </w:rPr>
            </w:pPr>
            <w:r w:rsidRPr="00FF409F">
              <w:rPr>
                <w:szCs w:val="21"/>
              </w:rPr>
              <w:t>华夏创成长</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007475</w:t>
            </w:r>
          </w:p>
        </w:tc>
        <w:tc>
          <w:tcPr>
            <w:tcW w:w="2438" w:type="pct"/>
            <w:vAlign w:val="center"/>
          </w:tcPr>
          <w:p w:rsidR="00B31DDC" w:rsidRPr="00FF409F" w:rsidRDefault="00B31DDC" w:rsidP="00B31DDC">
            <w:pPr>
              <w:jc w:val="left"/>
              <w:rPr>
                <w:szCs w:val="21"/>
              </w:rPr>
            </w:pPr>
            <w:r w:rsidRPr="00FF409F">
              <w:rPr>
                <w:szCs w:val="21"/>
              </w:rPr>
              <w:t>华夏创成长</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007481</w:t>
            </w:r>
          </w:p>
        </w:tc>
        <w:tc>
          <w:tcPr>
            <w:tcW w:w="2438" w:type="pct"/>
            <w:vAlign w:val="center"/>
          </w:tcPr>
          <w:p w:rsidR="00B31DDC" w:rsidRPr="00FF409F" w:rsidRDefault="00B31DDC" w:rsidP="00B31DDC">
            <w:pPr>
              <w:jc w:val="left"/>
              <w:rPr>
                <w:szCs w:val="21"/>
              </w:rPr>
            </w:pPr>
            <w:r w:rsidRPr="00FF409F">
              <w:rPr>
                <w:szCs w:val="21"/>
              </w:rPr>
              <w:t>华夏逸享健康混合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007505</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AH</w:t>
            </w:r>
            <w:r w:rsidRPr="00FF409F">
              <w:rPr>
                <w:szCs w:val="21"/>
              </w:rPr>
              <w:t>经济蓝筹股票指数</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007506</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AH</w:t>
            </w:r>
            <w:r w:rsidRPr="00FF409F">
              <w:rPr>
                <w:szCs w:val="21"/>
              </w:rPr>
              <w:t>经济蓝筹股票指数</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007591</w:t>
            </w:r>
          </w:p>
        </w:tc>
        <w:tc>
          <w:tcPr>
            <w:tcW w:w="2438" w:type="pct"/>
            <w:vAlign w:val="center"/>
          </w:tcPr>
          <w:p w:rsidR="00B31DDC" w:rsidRPr="00FF409F" w:rsidRDefault="00B31DDC" w:rsidP="00B31DDC">
            <w:pPr>
              <w:jc w:val="left"/>
              <w:rPr>
                <w:szCs w:val="21"/>
              </w:rPr>
            </w:pPr>
            <w:r w:rsidRPr="00FF409F">
              <w:rPr>
                <w:szCs w:val="21"/>
              </w:rPr>
              <w:t>华夏恒益</w:t>
            </w:r>
            <w:r w:rsidRPr="00FF409F">
              <w:rPr>
                <w:szCs w:val="21"/>
              </w:rPr>
              <w:t>18</w:t>
            </w:r>
            <w:r w:rsidRPr="00FF409F">
              <w:rPr>
                <w:szCs w:val="21"/>
              </w:rPr>
              <w:t>个月定开债券</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007592</w:t>
            </w:r>
          </w:p>
        </w:tc>
        <w:tc>
          <w:tcPr>
            <w:tcW w:w="2438" w:type="pct"/>
            <w:vAlign w:val="center"/>
          </w:tcPr>
          <w:p w:rsidR="00B31DDC" w:rsidRPr="00FF409F" w:rsidRDefault="00B31DDC" w:rsidP="00B31DDC">
            <w:pPr>
              <w:jc w:val="left"/>
              <w:rPr>
                <w:szCs w:val="21"/>
              </w:rPr>
            </w:pPr>
            <w:r w:rsidRPr="00FF409F">
              <w:rPr>
                <w:szCs w:val="21"/>
              </w:rPr>
              <w:t>华夏价值精选混合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007666</w:t>
            </w:r>
          </w:p>
        </w:tc>
        <w:tc>
          <w:tcPr>
            <w:tcW w:w="2438" w:type="pct"/>
            <w:vAlign w:val="center"/>
          </w:tcPr>
          <w:p w:rsidR="00B31DDC" w:rsidRPr="00FF409F" w:rsidRDefault="00B31DDC" w:rsidP="00B31DDC">
            <w:pPr>
              <w:jc w:val="left"/>
              <w:rPr>
                <w:szCs w:val="21"/>
              </w:rPr>
            </w:pPr>
            <w:r w:rsidRPr="00FF409F">
              <w:rPr>
                <w:szCs w:val="21"/>
              </w:rPr>
              <w:t>华夏鼎泓债券</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007667</w:t>
            </w:r>
          </w:p>
        </w:tc>
        <w:tc>
          <w:tcPr>
            <w:tcW w:w="2438" w:type="pct"/>
            <w:vAlign w:val="center"/>
          </w:tcPr>
          <w:p w:rsidR="00B31DDC" w:rsidRPr="00FF409F" w:rsidRDefault="00B31DDC" w:rsidP="00B31DDC">
            <w:pPr>
              <w:jc w:val="left"/>
              <w:rPr>
                <w:szCs w:val="21"/>
              </w:rPr>
            </w:pPr>
            <w:r w:rsidRPr="00FF409F">
              <w:rPr>
                <w:szCs w:val="21"/>
              </w:rPr>
              <w:t>华夏鼎泓债券</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007937</w:t>
            </w:r>
          </w:p>
        </w:tc>
        <w:tc>
          <w:tcPr>
            <w:tcW w:w="2438" w:type="pct"/>
            <w:vAlign w:val="center"/>
          </w:tcPr>
          <w:p w:rsidR="00B31DDC" w:rsidRPr="00FF409F" w:rsidRDefault="00B31DDC" w:rsidP="00B31DDC">
            <w:pPr>
              <w:jc w:val="left"/>
              <w:rPr>
                <w:szCs w:val="21"/>
              </w:rPr>
            </w:pPr>
            <w:r w:rsidRPr="00FF409F">
              <w:rPr>
                <w:szCs w:val="21"/>
              </w:rPr>
              <w:t>华夏饲料豆粕期货</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007938</w:t>
            </w:r>
          </w:p>
        </w:tc>
        <w:tc>
          <w:tcPr>
            <w:tcW w:w="2438" w:type="pct"/>
            <w:vAlign w:val="center"/>
          </w:tcPr>
          <w:p w:rsidR="00B31DDC" w:rsidRPr="00FF409F" w:rsidRDefault="00B31DDC" w:rsidP="00B31DDC">
            <w:pPr>
              <w:jc w:val="left"/>
              <w:rPr>
                <w:szCs w:val="21"/>
              </w:rPr>
            </w:pPr>
            <w:r w:rsidRPr="00FF409F">
              <w:rPr>
                <w:szCs w:val="21"/>
              </w:rPr>
              <w:t>华夏饲料豆粕期货</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007992</w:t>
            </w:r>
          </w:p>
        </w:tc>
        <w:tc>
          <w:tcPr>
            <w:tcW w:w="2438" w:type="pct"/>
            <w:vAlign w:val="center"/>
          </w:tcPr>
          <w:p w:rsidR="00B31DDC" w:rsidRPr="00FF409F" w:rsidRDefault="00B31DDC" w:rsidP="00B31DDC">
            <w:pPr>
              <w:jc w:val="left"/>
              <w:rPr>
                <w:szCs w:val="21"/>
              </w:rPr>
            </w:pPr>
            <w:r w:rsidRPr="00FF409F">
              <w:rPr>
                <w:szCs w:val="21"/>
              </w:rPr>
              <w:t>华夏中证全指证券公司</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007993</w:t>
            </w:r>
          </w:p>
        </w:tc>
        <w:tc>
          <w:tcPr>
            <w:tcW w:w="2438" w:type="pct"/>
            <w:vAlign w:val="center"/>
          </w:tcPr>
          <w:p w:rsidR="00B31DDC" w:rsidRPr="00FF409F" w:rsidRDefault="00B31DDC" w:rsidP="00B31DDC">
            <w:pPr>
              <w:jc w:val="left"/>
              <w:rPr>
                <w:szCs w:val="21"/>
              </w:rPr>
            </w:pPr>
            <w:r w:rsidRPr="00FF409F">
              <w:rPr>
                <w:szCs w:val="21"/>
              </w:rPr>
              <w:t>华夏中证全指证券公司</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008086</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5G</w:t>
            </w:r>
            <w:r w:rsidRPr="00FF409F">
              <w:rPr>
                <w:szCs w:val="21"/>
              </w:rPr>
              <w:t>通信主题</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008087</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5G</w:t>
            </w:r>
            <w:r w:rsidRPr="00FF409F">
              <w:rPr>
                <w:szCs w:val="21"/>
              </w:rPr>
              <w:t>通信主题</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008088</w:t>
            </w:r>
          </w:p>
        </w:tc>
        <w:tc>
          <w:tcPr>
            <w:tcW w:w="2438" w:type="pct"/>
            <w:vAlign w:val="center"/>
          </w:tcPr>
          <w:p w:rsidR="00B31DDC" w:rsidRPr="00FF409F" w:rsidRDefault="00B31DDC" w:rsidP="00B31DDC">
            <w:pPr>
              <w:jc w:val="left"/>
              <w:rPr>
                <w:szCs w:val="21"/>
              </w:rPr>
            </w:pPr>
            <w:r w:rsidRPr="00FF409F">
              <w:rPr>
                <w:szCs w:val="21"/>
              </w:rPr>
              <w:t>华夏中证全指房地产</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008089</w:t>
            </w:r>
          </w:p>
        </w:tc>
        <w:tc>
          <w:tcPr>
            <w:tcW w:w="2438" w:type="pct"/>
            <w:vAlign w:val="center"/>
          </w:tcPr>
          <w:p w:rsidR="00B31DDC" w:rsidRPr="00FF409F" w:rsidRDefault="00B31DDC" w:rsidP="00B31DDC">
            <w:pPr>
              <w:jc w:val="left"/>
              <w:rPr>
                <w:szCs w:val="21"/>
              </w:rPr>
            </w:pPr>
            <w:r w:rsidRPr="00FF409F">
              <w:rPr>
                <w:szCs w:val="21"/>
              </w:rPr>
              <w:t>华夏中证全指房地产</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008199</w:t>
            </w:r>
          </w:p>
        </w:tc>
        <w:tc>
          <w:tcPr>
            <w:tcW w:w="2438" w:type="pct"/>
            <w:vAlign w:val="center"/>
          </w:tcPr>
          <w:p w:rsidR="00B31DDC" w:rsidRPr="00FF409F" w:rsidRDefault="00B31DDC" w:rsidP="00B31DDC">
            <w:pPr>
              <w:jc w:val="left"/>
              <w:rPr>
                <w:szCs w:val="21"/>
              </w:rPr>
            </w:pPr>
            <w:r w:rsidRPr="00FF409F">
              <w:rPr>
                <w:szCs w:val="21"/>
              </w:rPr>
              <w:t>华夏粤港澳大湾区创新</w:t>
            </w:r>
            <w:r w:rsidRPr="00FF409F">
              <w:rPr>
                <w:szCs w:val="21"/>
              </w:rPr>
              <w:t>100ETF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008200</w:t>
            </w:r>
          </w:p>
        </w:tc>
        <w:tc>
          <w:tcPr>
            <w:tcW w:w="2438" w:type="pct"/>
            <w:vAlign w:val="center"/>
          </w:tcPr>
          <w:p w:rsidR="00B31DDC" w:rsidRPr="00FF409F" w:rsidRDefault="00B31DDC" w:rsidP="00B31DDC">
            <w:pPr>
              <w:jc w:val="left"/>
              <w:rPr>
                <w:szCs w:val="21"/>
              </w:rPr>
            </w:pPr>
            <w:r w:rsidRPr="00FF409F">
              <w:rPr>
                <w:szCs w:val="21"/>
              </w:rPr>
              <w:t>华夏粤港澳大湾区创新</w:t>
            </w:r>
            <w:r w:rsidRPr="00FF409F">
              <w:rPr>
                <w:szCs w:val="21"/>
              </w:rPr>
              <w:t>100ETF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008298</w:t>
            </w:r>
          </w:p>
        </w:tc>
        <w:tc>
          <w:tcPr>
            <w:tcW w:w="2438" w:type="pct"/>
            <w:vAlign w:val="center"/>
          </w:tcPr>
          <w:p w:rsidR="00B31DDC" w:rsidRPr="00FF409F" w:rsidRDefault="00B31DDC" w:rsidP="00B31DDC">
            <w:pPr>
              <w:jc w:val="left"/>
              <w:rPr>
                <w:szCs w:val="21"/>
              </w:rPr>
            </w:pPr>
            <w:r w:rsidRPr="00FF409F">
              <w:rPr>
                <w:szCs w:val="21"/>
              </w:rPr>
              <w:t>华夏中证银行</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008299</w:t>
            </w:r>
          </w:p>
        </w:tc>
        <w:tc>
          <w:tcPr>
            <w:tcW w:w="2438" w:type="pct"/>
            <w:vAlign w:val="center"/>
          </w:tcPr>
          <w:p w:rsidR="00B31DDC" w:rsidRPr="00FF409F" w:rsidRDefault="00B31DDC" w:rsidP="00B31DDC">
            <w:pPr>
              <w:jc w:val="left"/>
              <w:rPr>
                <w:szCs w:val="21"/>
              </w:rPr>
            </w:pPr>
            <w:r w:rsidRPr="00FF409F">
              <w:rPr>
                <w:szCs w:val="21"/>
              </w:rPr>
              <w:t>华夏中证银行</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008308</w:t>
            </w:r>
          </w:p>
        </w:tc>
        <w:tc>
          <w:tcPr>
            <w:tcW w:w="2438" w:type="pct"/>
            <w:vAlign w:val="center"/>
          </w:tcPr>
          <w:p w:rsidR="00B31DDC" w:rsidRPr="00FF409F" w:rsidRDefault="00B31DDC" w:rsidP="00B31DDC">
            <w:pPr>
              <w:jc w:val="left"/>
              <w:rPr>
                <w:szCs w:val="21"/>
              </w:rPr>
            </w:pPr>
            <w:r w:rsidRPr="00FF409F">
              <w:rPr>
                <w:szCs w:val="21"/>
              </w:rPr>
              <w:t>华夏见龙精选混合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008585</w:t>
            </w:r>
          </w:p>
        </w:tc>
        <w:tc>
          <w:tcPr>
            <w:tcW w:w="2438" w:type="pct"/>
            <w:vAlign w:val="center"/>
          </w:tcPr>
          <w:p w:rsidR="00B31DDC" w:rsidRPr="00FF409F" w:rsidRDefault="00B31DDC" w:rsidP="00B31DDC">
            <w:pPr>
              <w:jc w:val="left"/>
              <w:rPr>
                <w:szCs w:val="21"/>
              </w:rPr>
            </w:pPr>
            <w:r w:rsidRPr="00FF409F">
              <w:rPr>
                <w:szCs w:val="21"/>
              </w:rPr>
              <w:t>华夏中证人工智能主题</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008586</w:t>
            </w:r>
          </w:p>
        </w:tc>
        <w:tc>
          <w:tcPr>
            <w:tcW w:w="2438" w:type="pct"/>
            <w:vAlign w:val="center"/>
          </w:tcPr>
          <w:p w:rsidR="00B31DDC" w:rsidRPr="00FF409F" w:rsidRDefault="00B31DDC" w:rsidP="00B31DDC">
            <w:pPr>
              <w:jc w:val="left"/>
              <w:rPr>
                <w:szCs w:val="21"/>
              </w:rPr>
            </w:pPr>
            <w:r w:rsidRPr="00FF409F">
              <w:rPr>
                <w:szCs w:val="21"/>
              </w:rPr>
              <w:t>华夏中证人工智能主题</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008701</w:t>
            </w:r>
          </w:p>
        </w:tc>
        <w:tc>
          <w:tcPr>
            <w:tcW w:w="2438" w:type="pct"/>
            <w:vAlign w:val="center"/>
          </w:tcPr>
          <w:p w:rsidR="00B31DDC" w:rsidRPr="00FF409F" w:rsidRDefault="00B31DDC" w:rsidP="00B31DDC">
            <w:pPr>
              <w:jc w:val="left"/>
              <w:rPr>
                <w:szCs w:val="21"/>
              </w:rPr>
            </w:pPr>
            <w:r w:rsidRPr="00FF409F">
              <w:rPr>
                <w:szCs w:val="21"/>
              </w:rPr>
              <w:t>华夏黄金</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008702</w:t>
            </w:r>
          </w:p>
        </w:tc>
        <w:tc>
          <w:tcPr>
            <w:tcW w:w="2438" w:type="pct"/>
            <w:vAlign w:val="center"/>
          </w:tcPr>
          <w:p w:rsidR="00B31DDC" w:rsidRPr="00FF409F" w:rsidRDefault="00B31DDC" w:rsidP="00B31DDC">
            <w:pPr>
              <w:jc w:val="left"/>
              <w:rPr>
                <w:szCs w:val="21"/>
              </w:rPr>
            </w:pPr>
            <w:r w:rsidRPr="00FF409F">
              <w:rPr>
                <w:szCs w:val="21"/>
              </w:rPr>
              <w:t>华夏黄金</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008856</w:t>
            </w:r>
          </w:p>
        </w:tc>
        <w:tc>
          <w:tcPr>
            <w:tcW w:w="2438" w:type="pct"/>
            <w:vAlign w:val="center"/>
          </w:tcPr>
          <w:p w:rsidR="00B31DDC" w:rsidRPr="00FF409F" w:rsidRDefault="00B31DDC" w:rsidP="00B31DDC">
            <w:pPr>
              <w:jc w:val="left"/>
              <w:rPr>
                <w:szCs w:val="21"/>
              </w:rPr>
            </w:pPr>
            <w:r w:rsidRPr="00FF409F">
              <w:rPr>
                <w:szCs w:val="21"/>
              </w:rPr>
              <w:t>华夏安泰对冲策略</w:t>
            </w:r>
            <w:r w:rsidRPr="00FF409F">
              <w:rPr>
                <w:szCs w:val="21"/>
              </w:rPr>
              <w:t>3</w:t>
            </w:r>
            <w:r w:rsidRPr="00FF409F">
              <w:rPr>
                <w:szCs w:val="21"/>
              </w:rPr>
              <w:t>个月定开混合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008887</w:t>
            </w:r>
          </w:p>
        </w:tc>
        <w:tc>
          <w:tcPr>
            <w:tcW w:w="2438" w:type="pct"/>
            <w:vAlign w:val="center"/>
          </w:tcPr>
          <w:p w:rsidR="00B31DDC" w:rsidRPr="00FF409F" w:rsidRDefault="00B31DDC" w:rsidP="00B31DDC">
            <w:pPr>
              <w:jc w:val="left"/>
              <w:rPr>
                <w:szCs w:val="21"/>
              </w:rPr>
            </w:pPr>
            <w:r w:rsidRPr="00FF409F">
              <w:rPr>
                <w:szCs w:val="21"/>
              </w:rPr>
              <w:t>华夏国证半导体芯片</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008888</w:t>
            </w:r>
          </w:p>
        </w:tc>
        <w:tc>
          <w:tcPr>
            <w:tcW w:w="2438" w:type="pct"/>
            <w:vAlign w:val="center"/>
          </w:tcPr>
          <w:p w:rsidR="00B31DDC" w:rsidRPr="00FF409F" w:rsidRDefault="00B31DDC" w:rsidP="00B31DDC">
            <w:pPr>
              <w:jc w:val="left"/>
              <w:rPr>
                <w:szCs w:val="21"/>
              </w:rPr>
            </w:pPr>
            <w:r w:rsidRPr="00FF409F">
              <w:rPr>
                <w:szCs w:val="21"/>
              </w:rPr>
              <w:t>华夏国证半导体芯片</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008916</w:t>
            </w:r>
          </w:p>
        </w:tc>
        <w:tc>
          <w:tcPr>
            <w:tcW w:w="2438" w:type="pct"/>
            <w:vAlign w:val="center"/>
          </w:tcPr>
          <w:p w:rsidR="00B31DDC" w:rsidRPr="00FF409F" w:rsidRDefault="00B31DDC" w:rsidP="00B31DDC">
            <w:pPr>
              <w:jc w:val="left"/>
              <w:rPr>
                <w:szCs w:val="21"/>
              </w:rPr>
            </w:pPr>
            <w:r w:rsidRPr="00FF409F">
              <w:rPr>
                <w:szCs w:val="21"/>
              </w:rPr>
              <w:t>华夏中证浙江国资创新发展</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008917</w:t>
            </w:r>
          </w:p>
        </w:tc>
        <w:tc>
          <w:tcPr>
            <w:tcW w:w="2438" w:type="pct"/>
            <w:vAlign w:val="center"/>
          </w:tcPr>
          <w:p w:rsidR="00B31DDC" w:rsidRPr="00FF409F" w:rsidRDefault="00B31DDC" w:rsidP="00B31DDC">
            <w:pPr>
              <w:jc w:val="left"/>
              <w:rPr>
                <w:szCs w:val="21"/>
              </w:rPr>
            </w:pPr>
            <w:r w:rsidRPr="00FF409F">
              <w:rPr>
                <w:szCs w:val="21"/>
              </w:rPr>
              <w:t>华夏中证浙江国资创新发展</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008947</w:t>
            </w:r>
          </w:p>
        </w:tc>
        <w:tc>
          <w:tcPr>
            <w:tcW w:w="2438" w:type="pct"/>
            <w:vAlign w:val="center"/>
          </w:tcPr>
          <w:p w:rsidR="00B31DDC" w:rsidRPr="00FF409F" w:rsidRDefault="00B31DDC" w:rsidP="00B31DDC">
            <w:pPr>
              <w:jc w:val="left"/>
              <w:rPr>
                <w:szCs w:val="21"/>
              </w:rPr>
            </w:pPr>
            <w:r w:rsidRPr="00FF409F">
              <w:rPr>
                <w:szCs w:val="21"/>
              </w:rPr>
              <w:t>华夏鼎源债券</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008948</w:t>
            </w:r>
          </w:p>
        </w:tc>
        <w:tc>
          <w:tcPr>
            <w:tcW w:w="2438" w:type="pct"/>
            <w:vAlign w:val="center"/>
          </w:tcPr>
          <w:p w:rsidR="00B31DDC" w:rsidRPr="00FF409F" w:rsidRDefault="00B31DDC" w:rsidP="00B31DDC">
            <w:pPr>
              <w:jc w:val="left"/>
              <w:rPr>
                <w:szCs w:val="21"/>
              </w:rPr>
            </w:pPr>
            <w:r w:rsidRPr="00FF409F">
              <w:rPr>
                <w:szCs w:val="21"/>
              </w:rPr>
              <w:t>华夏鼎源债券</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009445</w:t>
            </w:r>
          </w:p>
        </w:tc>
        <w:tc>
          <w:tcPr>
            <w:tcW w:w="2438" w:type="pct"/>
            <w:vAlign w:val="center"/>
          </w:tcPr>
          <w:p w:rsidR="00B31DDC" w:rsidRPr="00FF409F" w:rsidRDefault="00B31DDC" w:rsidP="00B31DDC">
            <w:pPr>
              <w:jc w:val="left"/>
              <w:rPr>
                <w:szCs w:val="21"/>
              </w:rPr>
            </w:pPr>
            <w:r w:rsidRPr="00FF409F">
              <w:rPr>
                <w:szCs w:val="21"/>
              </w:rPr>
              <w:t>华夏上清所</w:t>
            </w:r>
            <w:r w:rsidRPr="00FF409F">
              <w:rPr>
                <w:szCs w:val="21"/>
              </w:rPr>
              <w:t>1-3</w:t>
            </w:r>
            <w:r w:rsidRPr="00FF409F">
              <w:rPr>
                <w:szCs w:val="21"/>
              </w:rPr>
              <w:t>年高等级国企中票</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009446</w:t>
            </w:r>
          </w:p>
        </w:tc>
        <w:tc>
          <w:tcPr>
            <w:tcW w:w="2438" w:type="pct"/>
            <w:vAlign w:val="center"/>
          </w:tcPr>
          <w:p w:rsidR="00B31DDC" w:rsidRPr="00FF409F" w:rsidRDefault="00B31DDC" w:rsidP="00B31DDC">
            <w:pPr>
              <w:jc w:val="left"/>
              <w:rPr>
                <w:szCs w:val="21"/>
              </w:rPr>
            </w:pPr>
            <w:r w:rsidRPr="00FF409F">
              <w:rPr>
                <w:szCs w:val="21"/>
              </w:rPr>
              <w:t>华夏上清所</w:t>
            </w:r>
            <w:r w:rsidRPr="00FF409F">
              <w:rPr>
                <w:szCs w:val="21"/>
              </w:rPr>
              <w:t>1-3</w:t>
            </w:r>
            <w:r w:rsidRPr="00FF409F">
              <w:rPr>
                <w:szCs w:val="21"/>
              </w:rPr>
              <w:t>年高等级国企中票</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009686</w:t>
            </w:r>
          </w:p>
        </w:tc>
        <w:tc>
          <w:tcPr>
            <w:tcW w:w="2438" w:type="pct"/>
            <w:vAlign w:val="center"/>
          </w:tcPr>
          <w:p w:rsidR="00B31DDC" w:rsidRPr="00FF409F" w:rsidRDefault="00B31DDC" w:rsidP="00B31DDC">
            <w:pPr>
              <w:jc w:val="left"/>
              <w:rPr>
                <w:szCs w:val="21"/>
              </w:rPr>
            </w:pPr>
            <w:r w:rsidRPr="00FF409F">
              <w:rPr>
                <w:szCs w:val="21"/>
              </w:rPr>
              <w:t>华夏磐利一年定开混合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009687</w:t>
            </w:r>
          </w:p>
        </w:tc>
        <w:tc>
          <w:tcPr>
            <w:tcW w:w="2438" w:type="pct"/>
            <w:vAlign w:val="center"/>
          </w:tcPr>
          <w:p w:rsidR="00B31DDC" w:rsidRPr="00FF409F" w:rsidRDefault="00B31DDC" w:rsidP="00B31DDC">
            <w:pPr>
              <w:jc w:val="left"/>
              <w:rPr>
                <w:szCs w:val="21"/>
              </w:rPr>
            </w:pPr>
            <w:r w:rsidRPr="00FF409F">
              <w:rPr>
                <w:szCs w:val="21"/>
              </w:rPr>
              <w:t>华夏磐利一年定开混合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009697</w:t>
            </w:r>
          </w:p>
        </w:tc>
        <w:tc>
          <w:tcPr>
            <w:tcW w:w="2438" w:type="pct"/>
            <w:vAlign w:val="center"/>
          </w:tcPr>
          <w:p w:rsidR="00B31DDC" w:rsidRPr="00FF409F" w:rsidRDefault="00B31DDC" w:rsidP="00B31DDC">
            <w:pPr>
              <w:jc w:val="left"/>
              <w:rPr>
                <w:szCs w:val="21"/>
              </w:rPr>
            </w:pPr>
            <w:r w:rsidRPr="00FF409F">
              <w:rPr>
                <w:szCs w:val="21"/>
              </w:rPr>
              <w:t>华夏成长精选</w:t>
            </w:r>
            <w:r w:rsidRPr="00FF409F">
              <w:rPr>
                <w:szCs w:val="21"/>
              </w:rPr>
              <w:t>6</w:t>
            </w:r>
            <w:r w:rsidRPr="00FF409F">
              <w:rPr>
                <w:szCs w:val="21"/>
              </w:rPr>
              <w:t>个月定开混合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009698</w:t>
            </w:r>
          </w:p>
        </w:tc>
        <w:tc>
          <w:tcPr>
            <w:tcW w:w="2438" w:type="pct"/>
            <w:vAlign w:val="center"/>
          </w:tcPr>
          <w:p w:rsidR="00B31DDC" w:rsidRPr="00FF409F" w:rsidRDefault="00B31DDC" w:rsidP="00B31DDC">
            <w:pPr>
              <w:jc w:val="left"/>
              <w:rPr>
                <w:szCs w:val="21"/>
              </w:rPr>
            </w:pPr>
            <w:r w:rsidRPr="00FF409F">
              <w:rPr>
                <w:szCs w:val="21"/>
              </w:rPr>
              <w:t>华夏成长精选</w:t>
            </w:r>
            <w:r w:rsidRPr="00FF409F">
              <w:rPr>
                <w:szCs w:val="21"/>
              </w:rPr>
              <w:t>6</w:t>
            </w:r>
            <w:r w:rsidRPr="00FF409F">
              <w:rPr>
                <w:szCs w:val="21"/>
              </w:rPr>
              <w:t>个月定开混合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009837</w:t>
            </w:r>
          </w:p>
        </w:tc>
        <w:tc>
          <w:tcPr>
            <w:tcW w:w="2438" w:type="pct"/>
            <w:vAlign w:val="center"/>
          </w:tcPr>
          <w:p w:rsidR="00B31DDC" w:rsidRPr="00FF409F" w:rsidRDefault="00B31DDC" w:rsidP="00B31DDC">
            <w:pPr>
              <w:jc w:val="left"/>
              <w:rPr>
                <w:szCs w:val="21"/>
              </w:rPr>
            </w:pPr>
            <w:r w:rsidRPr="00FF409F">
              <w:rPr>
                <w:szCs w:val="21"/>
              </w:rPr>
              <w:t>华夏磐锐一年定开混合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009838</w:t>
            </w:r>
          </w:p>
        </w:tc>
        <w:tc>
          <w:tcPr>
            <w:tcW w:w="2438" w:type="pct"/>
            <w:vAlign w:val="center"/>
          </w:tcPr>
          <w:p w:rsidR="00B31DDC" w:rsidRPr="00FF409F" w:rsidRDefault="00B31DDC" w:rsidP="00B31DDC">
            <w:pPr>
              <w:jc w:val="left"/>
              <w:rPr>
                <w:szCs w:val="21"/>
              </w:rPr>
            </w:pPr>
            <w:r w:rsidRPr="00FF409F">
              <w:rPr>
                <w:szCs w:val="21"/>
              </w:rPr>
              <w:t>华夏磐锐一年定开混合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010016</w:t>
            </w:r>
          </w:p>
        </w:tc>
        <w:tc>
          <w:tcPr>
            <w:tcW w:w="2438" w:type="pct"/>
            <w:vAlign w:val="center"/>
          </w:tcPr>
          <w:p w:rsidR="00B31DDC" w:rsidRPr="00FF409F" w:rsidRDefault="00B31DDC" w:rsidP="00B31DDC">
            <w:pPr>
              <w:jc w:val="left"/>
              <w:rPr>
                <w:szCs w:val="21"/>
              </w:rPr>
            </w:pPr>
            <w:r w:rsidRPr="00FF409F">
              <w:rPr>
                <w:szCs w:val="21"/>
              </w:rPr>
              <w:t>华夏科技前沿</w:t>
            </w:r>
            <w:r w:rsidRPr="00FF409F">
              <w:rPr>
                <w:szCs w:val="21"/>
              </w:rPr>
              <w:t>6</w:t>
            </w:r>
            <w:r w:rsidRPr="00FF409F">
              <w:rPr>
                <w:szCs w:val="21"/>
              </w:rPr>
              <w:t>个月定开混合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010017</w:t>
            </w:r>
          </w:p>
        </w:tc>
        <w:tc>
          <w:tcPr>
            <w:tcW w:w="2438" w:type="pct"/>
            <w:vAlign w:val="center"/>
          </w:tcPr>
          <w:p w:rsidR="00B31DDC" w:rsidRPr="00FF409F" w:rsidRDefault="00B31DDC" w:rsidP="00B31DDC">
            <w:pPr>
              <w:jc w:val="left"/>
              <w:rPr>
                <w:szCs w:val="21"/>
              </w:rPr>
            </w:pPr>
            <w:r w:rsidRPr="00FF409F">
              <w:rPr>
                <w:szCs w:val="21"/>
              </w:rPr>
              <w:t>华夏科技前沿</w:t>
            </w:r>
            <w:r w:rsidRPr="00FF409F">
              <w:rPr>
                <w:szCs w:val="21"/>
              </w:rPr>
              <w:t>6</w:t>
            </w:r>
            <w:r w:rsidRPr="00FF409F">
              <w:rPr>
                <w:szCs w:val="21"/>
              </w:rPr>
              <w:t>个月定开混合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010106</w:t>
            </w:r>
          </w:p>
        </w:tc>
        <w:tc>
          <w:tcPr>
            <w:tcW w:w="2438" w:type="pct"/>
            <w:vAlign w:val="center"/>
          </w:tcPr>
          <w:p w:rsidR="00B31DDC" w:rsidRPr="00FF409F" w:rsidRDefault="00B31DDC" w:rsidP="00B31DDC">
            <w:pPr>
              <w:jc w:val="left"/>
              <w:rPr>
                <w:szCs w:val="21"/>
              </w:rPr>
            </w:pPr>
            <w:r w:rsidRPr="00FF409F">
              <w:rPr>
                <w:szCs w:val="21"/>
              </w:rPr>
              <w:t>华夏核心科技</w:t>
            </w:r>
            <w:r w:rsidRPr="00FF409F">
              <w:rPr>
                <w:szCs w:val="21"/>
              </w:rPr>
              <w:t>6</w:t>
            </w:r>
            <w:r w:rsidRPr="00FF409F">
              <w:rPr>
                <w:szCs w:val="21"/>
              </w:rPr>
              <w:t>个月定开混合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010107</w:t>
            </w:r>
          </w:p>
        </w:tc>
        <w:tc>
          <w:tcPr>
            <w:tcW w:w="2438" w:type="pct"/>
            <w:vAlign w:val="center"/>
          </w:tcPr>
          <w:p w:rsidR="00B31DDC" w:rsidRPr="00FF409F" w:rsidRDefault="00B31DDC" w:rsidP="00B31DDC">
            <w:pPr>
              <w:jc w:val="left"/>
              <w:rPr>
                <w:szCs w:val="21"/>
              </w:rPr>
            </w:pPr>
            <w:r w:rsidRPr="00FF409F">
              <w:rPr>
                <w:szCs w:val="21"/>
              </w:rPr>
              <w:t>华夏核心科技</w:t>
            </w:r>
            <w:r w:rsidRPr="00FF409F">
              <w:rPr>
                <w:szCs w:val="21"/>
              </w:rPr>
              <w:t>6</w:t>
            </w:r>
            <w:r w:rsidRPr="00FF409F">
              <w:rPr>
                <w:szCs w:val="21"/>
              </w:rPr>
              <w:t>个月定开混合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010305</w:t>
            </w:r>
          </w:p>
        </w:tc>
        <w:tc>
          <w:tcPr>
            <w:tcW w:w="2438" w:type="pct"/>
            <w:vAlign w:val="center"/>
          </w:tcPr>
          <w:p w:rsidR="00B31DDC" w:rsidRPr="00FF409F" w:rsidRDefault="00B31DDC" w:rsidP="00B31DDC">
            <w:pPr>
              <w:jc w:val="left"/>
              <w:rPr>
                <w:szCs w:val="21"/>
              </w:rPr>
            </w:pPr>
            <w:r w:rsidRPr="00FF409F">
              <w:rPr>
                <w:szCs w:val="21"/>
              </w:rPr>
              <w:t>华夏创新驱动混合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010306</w:t>
            </w:r>
          </w:p>
        </w:tc>
        <w:tc>
          <w:tcPr>
            <w:tcW w:w="2438" w:type="pct"/>
            <w:vAlign w:val="center"/>
          </w:tcPr>
          <w:p w:rsidR="00B31DDC" w:rsidRPr="00FF409F" w:rsidRDefault="00B31DDC" w:rsidP="00B31DDC">
            <w:pPr>
              <w:jc w:val="left"/>
              <w:rPr>
                <w:szCs w:val="21"/>
              </w:rPr>
            </w:pPr>
            <w:r w:rsidRPr="00FF409F">
              <w:rPr>
                <w:szCs w:val="21"/>
              </w:rPr>
              <w:t>华夏创新驱动混合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010333</w:t>
            </w:r>
          </w:p>
        </w:tc>
        <w:tc>
          <w:tcPr>
            <w:tcW w:w="2438" w:type="pct"/>
            <w:vAlign w:val="center"/>
          </w:tcPr>
          <w:p w:rsidR="00B31DDC" w:rsidRPr="00FF409F" w:rsidRDefault="00B31DDC" w:rsidP="00B31DDC">
            <w:pPr>
              <w:jc w:val="left"/>
              <w:rPr>
                <w:szCs w:val="21"/>
              </w:rPr>
            </w:pPr>
            <w:r w:rsidRPr="00FF409F">
              <w:rPr>
                <w:szCs w:val="21"/>
              </w:rPr>
              <w:t>华夏核心资产混合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010334</w:t>
            </w:r>
          </w:p>
        </w:tc>
        <w:tc>
          <w:tcPr>
            <w:tcW w:w="2438" w:type="pct"/>
            <w:vAlign w:val="center"/>
          </w:tcPr>
          <w:p w:rsidR="00B31DDC" w:rsidRPr="00FF409F" w:rsidRDefault="00B31DDC" w:rsidP="00B31DDC">
            <w:pPr>
              <w:jc w:val="left"/>
              <w:rPr>
                <w:szCs w:val="21"/>
              </w:rPr>
            </w:pPr>
            <w:r w:rsidRPr="00FF409F">
              <w:rPr>
                <w:szCs w:val="21"/>
              </w:rPr>
              <w:t>华夏核心资产混合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011278</w:t>
            </w:r>
          </w:p>
        </w:tc>
        <w:tc>
          <w:tcPr>
            <w:tcW w:w="2438" w:type="pct"/>
            <w:vAlign w:val="center"/>
          </w:tcPr>
          <w:p w:rsidR="00B31DDC" w:rsidRPr="00FF409F" w:rsidRDefault="00B31DDC" w:rsidP="00B31DDC">
            <w:pPr>
              <w:jc w:val="left"/>
              <w:rPr>
                <w:szCs w:val="21"/>
              </w:rPr>
            </w:pPr>
            <w:r w:rsidRPr="00FF409F">
              <w:rPr>
                <w:szCs w:val="21"/>
              </w:rPr>
              <w:t>华夏内需驱动混合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011279</w:t>
            </w:r>
          </w:p>
        </w:tc>
        <w:tc>
          <w:tcPr>
            <w:tcW w:w="2438" w:type="pct"/>
            <w:vAlign w:val="center"/>
          </w:tcPr>
          <w:p w:rsidR="00B31DDC" w:rsidRPr="00FF409F" w:rsidRDefault="00B31DDC" w:rsidP="00B31DDC">
            <w:pPr>
              <w:jc w:val="left"/>
              <w:rPr>
                <w:szCs w:val="21"/>
              </w:rPr>
            </w:pPr>
            <w:r w:rsidRPr="00FF409F">
              <w:rPr>
                <w:szCs w:val="21"/>
              </w:rPr>
              <w:t>华夏内需驱动混合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011282</w:t>
            </w:r>
          </w:p>
        </w:tc>
        <w:tc>
          <w:tcPr>
            <w:tcW w:w="2438" w:type="pct"/>
            <w:vAlign w:val="center"/>
          </w:tcPr>
          <w:p w:rsidR="00B31DDC" w:rsidRPr="00FF409F" w:rsidRDefault="00B31DDC" w:rsidP="00B31DDC">
            <w:pPr>
              <w:jc w:val="left"/>
              <w:rPr>
                <w:szCs w:val="21"/>
              </w:rPr>
            </w:pPr>
            <w:r w:rsidRPr="00FF409F">
              <w:rPr>
                <w:szCs w:val="21"/>
              </w:rPr>
              <w:t>华夏消费龙头混合</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011283</w:t>
            </w:r>
          </w:p>
        </w:tc>
        <w:tc>
          <w:tcPr>
            <w:tcW w:w="2438" w:type="pct"/>
            <w:vAlign w:val="center"/>
          </w:tcPr>
          <w:p w:rsidR="00B31DDC" w:rsidRPr="00FF409F" w:rsidRDefault="00B31DDC" w:rsidP="00B31DDC">
            <w:pPr>
              <w:jc w:val="left"/>
              <w:rPr>
                <w:szCs w:val="21"/>
              </w:rPr>
            </w:pPr>
            <w:r w:rsidRPr="00FF409F">
              <w:rPr>
                <w:szCs w:val="21"/>
              </w:rPr>
              <w:t>华夏消费龙头混合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011612</w:t>
            </w:r>
          </w:p>
        </w:tc>
        <w:tc>
          <w:tcPr>
            <w:tcW w:w="2438" w:type="pct"/>
            <w:vAlign w:val="center"/>
          </w:tcPr>
          <w:p w:rsidR="00B31DDC" w:rsidRPr="00FF409F" w:rsidRDefault="00B31DDC" w:rsidP="00B31DDC">
            <w:pPr>
              <w:jc w:val="left"/>
              <w:rPr>
                <w:szCs w:val="21"/>
              </w:rPr>
            </w:pPr>
            <w:r w:rsidRPr="00FF409F">
              <w:rPr>
                <w:szCs w:val="21"/>
              </w:rPr>
              <w:t>华夏上证科创板</w:t>
            </w:r>
            <w:r w:rsidRPr="00FF409F">
              <w:rPr>
                <w:szCs w:val="21"/>
              </w:rPr>
              <w:t>50</w:t>
            </w:r>
            <w:r w:rsidRPr="00FF409F">
              <w:rPr>
                <w:szCs w:val="21"/>
              </w:rPr>
              <w:t>成份</w:t>
            </w:r>
            <w:r w:rsidRPr="00FF409F">
              <w:rPr>
                <w:szCs w:val="21"/>
              </w:rPr>
              <w:t>ETF</w:t>
            </w:r>
            <w:r w:rsidRPr="00FF409F">
              <w:rPr>
                <w:szCs w:val="21"/>
              </w:rPr>
              <w:t>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011613</w:t>
            </w:r>
          </w:p>
        </w:tc>
        <w:tc>
          <w:tcPr>
            <w:tcW w:w="2438" w:type="pct"/>
            <w:vAlign w:val="center"/>
          </w:tcPr>
          <w:p w:rsidR="00B31DDC" w:rsidRPr="00FF409F" w:rsidRDefault="00B31DDC" w:rsidP="00B31DDC">
            <w:pPr>
              <w:jc w:val="left"/>
              <w:rPr>
                <w:szCs w:val="21"/>
              </w:rPr>
            </w:pPr>
            <w:r w:rsidRPr="00FF409F">
              <w:rPr>
                <w:szCs w:val="21"/>
              </w:rPr>
              <w:t>华夏上证科创板</w:t>
            </w:r>
            <w:r w:rsidRPr="00FF409F">
              <w:rPr>
                <w:szCs w:val="21"/>
              </w:rPr>
              <w:t>50</w:t>
            </w:r>
            <w:r w:rsidRPr="00FF409F">
              <w:rPr>
                <w:szCs w:val="21"/>
              </w:rPr>
              <w:t>成份</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288001</w:t>
            </w:r>
          </w:p>
        </w:tc>
        <w:tc>
          <w:tcPr>
            <w:tcW w:w="2438" w:type="pct"/>
            <w:vAlign w:val="center"/>
          </w:tcPr>
          <w:p w:rsidR="00B31DDC" w:rsidRPr="00FF409F" w:rsidRDefault="00B31DDC" w:rsidP="00B31DDC">
            <w:pPr>
              <w:jc w:val="left"/>
              <w:rPr>
                <w:szCs w:val="21"/>
              </w:rPr>
            </w:pPr>
            <w:r w:rsidRPr="00FF409F">
              <w:rPr>
                <w:szCs w:val="21"/>
              </w:rPr>
              <w:t>华夏经典混合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288002</w:t>
            </w:r>
          </w:p>
        </w:tc>
        <w:tc>
          <w:tcPr>
            <w:tcW w:w="2438" w:type="pct"/>
            <w:vAlign w:val="center"/>
          </w:tcPr>
          <w:p w:rsidR="00B31DDC" w:rsidRPr="00FF409F" w:rsidRDefault="00B31DDC" w:rsidP="00B31DDC">
            <w:pPr>
              <w:jc w:val="left"/>
              <w:rPr>
                <w:szCs w:val="21"/>
              </w:rPr>
            </w:pPr>
            <w:r w:rsidRPr="00FF409F">
              <w:rPr>
                <w:szCs w:val="21"/>
              </w:rPr>
              <w:t>华夏收入混合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013402</w:t>
            </w:r>
          </w:p>
        </w:tc>
        <w:tc>
          <w:tcPr>
            <w:tcW w:w="2438" w:type="pct"/>
            <w:vAlign w:val="center"/>
          </w:tcPr>
          <w:p w:rsidR="00B31DDC" w:rsidRPr="00FF409F" w:rsidRDefault="00B31DDC" w:rsidP="00B31DDC">
            <w:pPr>
              <w:jc w:val="left"/>
              <w:rPr>
                <w:szCs w:val="21"/>
              </w:rPr>
            </w:pPr>
            <w:r w:rsidRPr="00FF409F">
              <w:rPr>
                <w:szCs w:val="21"/>
              </w:rPr>
              <w:t>华夏恒生科技</w:t>
            </w:r>
            <w:r w:rsidRPr="00FF409F">
              <w:rPr>
                <w:szCs w:val="21"/>
              </w:rPr>
              <w:t>ETF</w:t>
            </w:r>
            <w:r w:rsidRPr="00FF409F">
              <w:rPr>
                <w:szCs w:val="21"/>
              </w:rPr>
              <w:t>发起式联接（</w:t>
            </w:r>
            <w:r w:rsidRPr="00FF409F">
              <w:rPr>
                <w:szCs w:val="21"/>
              </w:rPr>
              <w:t>QDII</w:t>
            </w:r>
            <w:r w:rsidRPr="00FF409F">
              <w:rPr>
                <w:szCs w:val="21"/>
              </w:rPr>
              <w:t>）</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013403</w:t>
            </w:r>
          </w:p>
        </w:tc>
        <w:tc>
          <w:tcPr>
            <w:tcW w:w="2438" w:type="pct"/>
            <w:vAlign w:val="center"/>
          </w:tcPr>
          <w:p w:rsidR="00B31DDC" w:rsidRPr="00FF409F" w:rsidRDefault="00B31DDC" w:rsidP="00B31DDC">
            <w:pPr>
              <w:jc w:val="left"/>
              <w:rPr>
                <w:szCs w:val="21"/>
              </w:rPr>
            </w:pPr>
            <w:r w:rsidRPr="00FF409F">
              <w:rPr>
                <w:szCs w:val="21"/>
              </w:rPr>
              <w:t>华夏恒生科技</w:t>
            </w:r>
            <w:r w:rsidRPr="00FF409F">
              <w:rPr>
                <w:szCs w:val="21"/>
              </w:rPr>
              <w:t>ETF</w:t>
            </w:r>
            <w:r w:rsidRPr="00FF409F">
              <w:rPr>
                <w:szCs w:val="21"/>
              </w:rPr>
              <w:t>发起式联接（</w:t>
            </w:r>
            <w:r w:rsidRPr="00FF409F">
              <w:rPr>
                <w:szCs w:val="21"/>
              </w:rPr>
              <w:t>QDII</w:t>
            </w:r>
            <w:r w:rsidRPr="00FF409F">
              <w:rPr>
                <w:szCs w:val="21"/>
              </w:rPr>
              <w:t>）</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013310</w:t>
            </w:r>
          </w:p>
        </w:tc>
        <w:tc>
          <w:tcPr>
            <w:tcW w:w="2438" w:type="pct"/>
            <w:vAlign w:val="center"/>
          </w:tcPr>
          <w:p w:rsidR="00B31DDC" w:rsidRPr="00FF409F" w:rsidRDefault="00B31DDC" w:rsidP="00B31DDC">
            <w:pPr>
              <w:jc w:val="left"/>
              <w:rPr>
                <w:szCs w:val="21"/>
              </w:rPr>
            </w:pPr>
            <w:r w:rsidRPr="00FF409F">
              <w:rPr>
                <w:szCs w:val="21"/>
              </w:rPr>
              <w:t>华夏科创创业</w:t>
            </w:r>
            <w:r w:rsidRPr="00FF409F">
              <w:rPr>
                <w:szCs w:val="21"/>
              </w:rPr>
              <w:t>50ETF</w:t>
            </w:r>
            <w:r w:rsidRPr="00FF409F">
              <w:rPr>
                <w:szCs w:val="21"/>
              </w:rPr>
              <w:t>发起式联接</w:t>
            </w:r>
            <w:r w:rsidRPr="00FF409F">
              <w:rPr>
                <w:szCs w:val="21"/>
              </w:rPr>
              <w:t>A</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013311</w:t>
            </w:r>
          </w:p>
        </w:tc>
        <w:tc>
          <w:tcPr>
            <w:tcW w:w="2438" w:type="pct"/>
            <w:vAlign w:val="center"/>
          </w:tcPr>
          <w:p w:rsidR="00B31DDC" w:rsidRPr="00FF409F" w:rsidRDefault="00B31DDC" w:rsidP="00B31DDC">
            <w:pPr>
              <w:jc w:val="left"/>
              <w:rPr>
                <w:szCs w:val="21"/>
              </w:rPr>
            </w:pPr>
            <w:r w:rsidRPr="00FF409F">
              <w:rPr>
                <w:szCs w:val="21"/>
              </w:rPr>
              <w:t>华夏科创创业</w:t>
            </w:r>
            <w:r w:rsidRPr="00FF409F">
              <w:rPr>
                <w:szCs w:val="21"/>
              </w:rPr>
              <w:t>50ETF</w:t>
            </w:r>
            <w:r w:rsidRPr="00FF409F">
              <w:rPr>
                <w:szCs w:val="21"/>
              </w:rPr>
              <w:t>发起式联接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007666</w:t>
            </w:r>
          </w:p>
        </w:tc>
        <w:tc>
          <w:tcPr>
            <w:tcW w:w="2438" w:type="pct"/>
            <w:vAlign w:val="center"/>
          </w:tcPr>
          <w:p w:rsidR="00B31DDC" w:rsidRPr="00FF409F" w:rsidRDefault="00B31DDC" w:rsidP="00B31DDC">
            <w:pPr>
              <w:jc w:val="left"/>
              <w:rPr>
                <w:szCs w:val="21"/>
              </w:rPr>
            </w:pPr>
            <w:r w:rsidRPr="00FF409F">
              <w:rPr>
                <w:szCs w:val="21"/>
              </w:rPr>
              <w:t>华夏鼎泓债券</w:t>
            </w:r>
            <w:r w:rsidRPr="00FF409F">
              <w:rPr>
                <w:szCs w:val="21"/>
              </w:rPr>
              <w:t>A</w:t>
            </w:r>
          </w:p>
        </w:tc>
        <w:tc>
          <w:tcPr>
            <w:tcW w:w="1667" w:type="pct"/>
            <w:vMerge w:val="restart"/>
            <w:vAlign w:val="center"/>
          </w:tcPr>
          <w:p w:rsidR="00B31DDC" w:rsidRPr="00FF409F" w:rsidRDefault="00B31DDC" w:rsidP="00B31DDC">
            <w:pPr>
              <w:rPr>
                <w:rFonts w:ascii="Arial" w:hAnsi="Arial" w:cs="Arial"/>
                <w:szCs w:val="21"/>
              </w:rPr>
            </w:pPr>
            <w:r w:rsidRPr="00FF409F">
              <w:rPr>
                <w:rFonts w:ascii="Arial" w:hAnsi="Arial" w:cs="Arial"/>
                <w:szCs w:val="21"/>
              </w:rPr>
              <w:t>东莞农商行</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007667</w:t>
            </w:r>
          </w:p>
        </w:tc>
        <w:tc>
          <w:tcPr>
            <w:tcW w:w="2438" w:type="pct"/>
            <w:vAlign w:val="center"/>
          </w:tcPr>
          <w:p w:rsidR="00B31DDC" w:rsidRPr="00FF409F" w:rsidRDefault="00B31DDC" w:rsidP="00B31DDC">
            <w:pPr>
              <w:jc w:val="left"/>
              <w:rPr>
                <w:szCs w:val="21"/>
              </w:rPr>
            </w:pPr>
            <w:r w:rsidRPr="00FF409F">
              <w:rPr>
                <w:szCs w:val="21"/>
              </w:rPr>
              <w:t>华夏鼎泓债券</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000014</w:t>
            </w:r>
          </w:p>
        </w:tc>
        <w:tc>
          <w:tcPr>
            <w:tcW w:w="2438" w:type="pct"/>
            <w:vAlign w:val="center"/>
          </w:tcPr>
          <w:p w:rsidR="00B31DDC" w:rsidRPr="00FF409F" w:rsidRDefault="00B31DDC" w:rsidP="00B31DDC">
            <w:pPr>
              <w:jc w:val="left"/>
              <w:rPr>
                <w:szCs w:val="21"/>
              </w:rPr>
            </w:pPr>
            <w:r w:rsidRPr="00FF409F">
              <w:rPr>
                <w:szCs w:val="21"/>
              </w:rPr>
              <w:t>华夏聚利债券</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003567</w:t>
            </w:r>
          </w:p>
        </w:tc>
        <w:tc>
          <w:tcPr>
            <w:tcW w:w="2438" w:type="pct"/>
            <w:vAlign w:val="center"/>
          </w:tcPr>
          <w:p w:rsidR="00B31DDC" w:rsidRPr="00FF409F" w:rsidRDefault="00B31DDC" w:rsidP="00B31DDC">
            <w:pPr>
              <w:jc w:val="left"/>
              <w:rPr>
                <w:szCs w:val="21"/>
              </w:rPr>
            </w:pPr>
            <w:r w:rsidRPr="00FF409F">
              <w:rPr>
                <w:szCs w:val="21"/>
              </w:rPr>
              <w:t>华夏行业景气混合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519918</w:t>
            </w:r>
          </w:p>
        </w:tc>
        <w:tc>
          <w:tcPr>
            <w:tcW w:w="2438" w:type="pct"/>
            <w:vAlign w:val="center"/>
          </w:tcPr>
          <w:p w:rsidR="00B31DDC" w:rsidRPr="00FF409F" w:rsidRDefault="00B31DDC" w:rsidP="00B31DDC">
            <w:pPr>
              <w:jc w:val="left"/>
              <w:rPr>
                <w:szCs w:val="21"/>
              </w:rPr>
            </w:pPr>
            <w:r w:rsidRPr="00FF409F">
              <w:rPr>
                <w:szCs w:val="21"/>
              </w:rPr>
              <w:t>华夏兴和混合</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005889</w:t>
            </w:r>
          </w:p>
        </w:tc>
        <w:tc>
          <w:tcPr>
            <w:tcW w:w="2438" w:type="pct"/>
            <w:vAlign w:val="center"/>
          </w:tcPr>
          <w:p w:rsidR="00B31DDC" w:rsidRPr="00FF409F" w:rsidRDefault="00B31DDC" w:rsidP="00B31DDC">
            <w:pPr>
              <w:jc w:val="left"/>
              <w:rPr>
                <w:szCs w:val="21"/>
              </w:rPr>
            </w:pPr>
            <w:r w:rsidRPr="00FF409F">
              <w:rPr>
                <w:szCs w:val="21"/>
              </w:rPr>
              <w:t>华夏新兴消费混合</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008585</w:t>
            </w:r>
          </w:p>
        </w:tc>
        <w:tc>
          <w:tcPr>
            <w:tcW w:w="2438" w:type="pct"/>
            <w:vAlign w:val="center"/>
          </w:tcPr>
          <w:p w:rsidR="00B31DDC" w:rsidRPr="00FF409F" w:rsidRDefault="00B31DDC" w:rsidP="00B31DDC">
            <w:pPr>
              <w:jc w:val="left"/>
              <w:rPr>
                <w:szCs w:val="21"/>
              </w:rPr>
            </w:pPr>
            <w:r w:rsidRPr="00FF409F">
              <w:rPr>
                <w:szCs w:val="21"/>
              </w:rPr>
              <w:t>华夏中证人工智能主题</w:t>
            </w:r>
            <w:r w:rsidRPr="00FF409F">
              <w:rPr>
                <w:szCs w:val="21"/>
              </w:rPr>
              <w:t>ETF</w:t>
            </w:r>
            <w:r w:rsidRPr="00FF409F">
              <w:rPr>
                <w:szCs w:val="21"/>
              </w:rPr>
              <w:t>联接</w:t>
            </w:r>
            <w:r w:rsidRPr="00FF409F">
              <w:rPr>
                <w:szCs w:val="21"/>
              </w:rPr>
              <w:t>A</w:t>
            </w:r>
          </w:p>
        </w:tc>
        <w:tc>
          <w:tcPr>
            <w:tcW w:w="1667" w:type="pct"/>
            <w:vMerge w:val="restart"/>
            <w:vAlign w:val="center"/>
          </w:tcPr>
          <w:p w:rsidR="00B31DDC" w:rsidRPr="00FF409F" w:rsidRDefault="00B31DDC" w:rsidP="00B31DDC">
            <w:pPr>
              <w:rPr>
                <w:rFonts w:ascii="Arial" w:hAnsi="Arial" w:cs="Arial"/>
                <w:szCs w:val="21"/>
              </w:rPr>
            </w:pPr>
            <w:r w:rsidRPr="00FF409F">
              <w:rPr>
                <w:rFonts w:ascii="Arial" w:hAnsi="Arial" w:cs="Arial"/>
                <w:szCs w:val="21"/>
              </w:rPr>
              <w:t>华融证券</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008586</w:t>
            </w:r>
          </w:p>
        </w:tc>
        <w:tc>
          <w:tcPr>
            <w:tcW w:w="2438" w:type="pct"/>
            <w:vAlign w:val="center"/>
          </w:tcPr>
          <w:p w:rsidR="00B31DDC" w:rsidRPr="00FF409F" w:rsidRDefault="00B31DDC" w:rsidP="00B31DDC">
            <w:pPr>
              <w:jc w:val="left"/>
              <w:rPr>
                <w:szCs w:val="21"/>
              </w:rPr>
            </w:pPr>
            <w:r w:rsidRPr="00FF409F">
              <w:rPr>
                <w:szCs w:val="21"/>
              </w:rPr>
              <w:t>华夏中证人工智能主题</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011612</w:t>
            </w:r>
          </w:p>
        </w:tc>
        <w:tc>
          <w:tcPr>
            <w:tcW w:w="2438" w:type="pct"/>
            <w:vAlign w:val="center"/>
          </w:tcPr>
          <w:p w:rsidR="00B31DDC" w:rsidRPr="00FF409F" w:rsidRDefault="00B31DDC" w:rsidP="00B31DDC">
            <w:pPr>
              <w:jc w:val="left"/>
              <w:rPr>
                <w:szCs w:val="21"/>
              </w:rPr>
            </w:pPr>
            <w:r w:rsidRPr="00FF409F">
              <w:rPr>
                <w:szCs w:val="21"/>
              </w:rPr>
              <w:t>华夏上证科创板</w:t>
            </w:r>
            <w:r w:rsidRPr="00FF409F">
              <w:rPr>
                <w:szCs w:val="21"/>
              </w:rPr>
              <w:t>50</w:t>
            </w:r>
            <w:r w:rsidRPr="00FF409F">
              <w:rPr>
                <w:szCs w:val="21"/>
              </w:rPr>
              <w:t>成份</w:t>
            </w:r>
            <w:r w:rsidRPr="00FF409F">
              <w:rPr>
                <w:szCs w:val="21"/>
              </w:rPr>
              <w:t>ETF</w:t>
            </w:r>
            <w:r w:rsidRPr="00FF409F">
              <w:rPr>
                <w:szCs w:val="21"/>
              </w:rPr>
              <w:t>联接</w:t>
            </w:r>
            <w:r w:rsidRPr="00FF409F">
              <w:rPr>
                <w:szCs w:val="21"/>
              </w:rPr>
              <w:t>A</w:t>
            </w:r>
          </w:p>
        </w:tc>
        <w:tc>
          <w:tcPr>
            <w:tcW w:w="1667" w:type="pct"/>
            <w:vMerge w:val="restart"/>
            <w:vAlign w:val="center"/>
          </w:tcPr>
          <w:p w:rsidR="00B31DDC" w:rsidRPr="00FF409F" w:rsidRDefault="00B31DDC" w:rsidP="00B31DDC">
            <w:pPr>
              <w:rPr>
                <w:rFonts w:ascii="Arial" w:hAnsi="Arial" w:cs="Arial"/>
                <w:szCs w:val="21"/>
              </w:rPr>
            </w:pPr>
            <w:r w:rsidRPr="00FF409F">
              <w:rPr>
                <w:rFonts w:ascii="Arial" w:hAnsi="Arial" w:cs="Arial"/>
                <w:szCs w:val="21"/>
              </w:rPr>
              <w:t>汉口银行</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011613</w:t>
            </w:r>
          </w:p>
        </w:tc>
        <w:tc>
          <w:tcPr>
            <w:tcW w:w="2438" w:type="pct"/>
            <w:vAlign w:val="center"/>
          </w:tcPr>
          <w:p w:rsidR="00B31DDC" w:rsidRPr="00FF409F" w:rsidRDefault="00B31DDC" w:rsidP="00B31DDC">
            <w:pPr>
              <w:jc w:val="left"/>
              <w:rPr>
                <w:szCs w:val="21"/>
              </w:rPr>
            </w:pPr>
            <w:r w:rsidRPr="00FF409F">
              <w:rPr>
                <w:szCs w:val="21"/>
              </w:rPr>
              <w:t>华夏上证科创板</w:t>
            </w:r>
            <w:r w:rsidRPr="00FF409F">
              <w:rPr>
                <w:szCs w:val="21"/>
              </w:rPr>
              <w:t>50</w:t>
            </w:r>
            <w:r w:rsidRPr="00FF409F">
              <w:rPr>
                <w:szCs w:val="21"/>
              </w:rPr>
              <w:t>成份</w:t>
            </w:r>
            <w:r w:rsidRPr="00FF409F">
              <w:rPr>
                <w:szCs w:val="21"/>
              </w:rPr>
              <w:t>ETF</w:t>
            </w:r>
            <w:r w:rsidRPr="00FF409F">
              <w:rPr>
                <w:szCs w:val="21"/>
              </w:rPr>
              <w:t>联接</w:t>
            </w:r>
            <w:r w:rsidRPr="00FF409F">
              <w:rPr>
                <w:szCs w:val="21"/>
              </w:rPr>
              <w:t>C</w:t>
            </w:r>
          </w:p>
        </w:tc>
        <w:tc>
          <w:tcPr>
            <w:tcW w:w="1667" w:type="pct"/>
            <w:vMerge/>
            <w:vAlign w:val="center"/>
          </w:tcPr>
          <w:p w:rsidR="00B31DDC" w:rsidRPr="00FF409F" w:rsidRDefault="00B31DDC" w:rsidP="00B31DDC">
            <w:pPr>
              <w:rPr>
                <w:rFonts w:ascii="Arial" w:hAnsi="Arial" w:cs="Arial"/>
                <w:szCs w:val="21"/>
              </w:rPr>
            </w:pP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004721</w:t>
            </w:r>
          </w:p>
        </w:tc>
        <w:tc>
          <w:tcPr>
            <w:tcW w:w="2438" w:type="pct"/>
            <w:vAlign w:val="center"/>
          </w:tcPr>
          <w:p w:rsidR="00B31DDC" w:rsidRPr="00FF409F" w:rsidRDefault="00B31DDC" w:rsidP="00B31DDC">
            <w:pPr>
              <w:jc w:val="left"/>
              <w:rPr>
                <w:szCs w:val="21"/>
              </w:rPr>
            </w:pPr>
            <w:r w:rsidRPr="00FF409F">
              <w:rPr>
                <w:szCs w:val="21"/>
              </w:rPr>
              <w:t>华夏睿磐泰茂混合</w:t>
            </w:r>
            <w:r w:rsidRPr="00FF409F">
              <w:rPr>
                <w:szCs w:val="21"/>
              </w:rPr>
              <w:t>C</w:t>
            </w:r>
          </w:p>
        </w:tc>
        <w:tc>
          <w:tcPr>
            <w:tcW w:w="1667" w:type="pct"/>
            <w:vAlign w:val="center"/>
          </w:tcPr>
          <w:p w:rsidR="00B31DDC" w:rsidRPr="00FF409F" w:rsidRDefault="00B31DDC" w:rsidP="00B31DDC">
            <w:pPr>
              <w:rPr>
                <w:rFonts w:ascii="Arial" w:hAnsi="Arial" w:cs="Arial"/>
                <w:szCs w:val="21"/>
              </w:rPr>
            </w:pPr>
            <w:r w:rsidRPr="00FF409F">
              <w:rPr>
                <w:rFonts w:ascii="Arial" w:hAnsi="Arial" w:cs="Arial"/>
                <w:szCs w:val="21"/>
              </w:rPr>
              <w:t>和耕传承</w:t>
            </w:r>
          </w:p>
        </w:tc>
      </w:tr>
      <w:tr w:rsidR="00B31DDC" w:rsidRPr="00FF409F" w:rsidTr="00B31DDC">
        <w:tc>
          <w:tcPr>
            <w:tcW w:w="895" w:type="pct"/>
            <w:vAlign w:val="center"/>
          </w:tcPr>
          <w:p w:rsidR="00B31DDC" w:rsidRPr="00FF409F" w:rsidRDefault="00B31DDC" w:rsidP="00B31DDC">
            <w:pPr>
              <w:jc w:val="center"/>
              <w:rPr>
                <w:szCs w:val="21"/>
              </w:rPr>
            </w:pPr>
            <w:r w:rsidRPr="00FF409F">
              <w:rPr>
                <w:szCs w:val="21"/>
              </w:rPr>
              <w:t>006382</w:t>
            </w:r>
          </w:p>
        </w:tc>
        <w:tc>
          <w:tcPr>
            <w:tcW w:w="2438" w:type="pct"/>
            <w:vAlign w:val="center"/>
          </w:tcPr>
          <w:p w:rsidR="00B31DDC" w:rsidRPr="00FF409F" w:rsidRDefault="00B31DDC" w:rsidP="00B31DDC">
            <w:pPr>
              <w:jc w:val="left"/>
              <w:rPr>
                <w:szCs w:val="21"/>
              </w:rPr>
            </w:pPr>
            <w:r w:rsidRPr="00FF409F">
              <w:rPr>
                <w:szCs w:val="21"/>
              </w:rPr>
              <w:t>华夏中证</w:t>
            </w:r>
            <w:r w:rsidRPr="00FF409F">
              <w:rPr>
                <w:szCs w:val="21"/>
              </w:rPr>
              <w:t>500ETF</w:t>
            </w:r>
            <w:r w:rsidRPr="00FF409F">
              <w:rPr>
                <w:szCs w:val="21"/>
              </w:rPr>
              <w:t>联接</w:t>
            </w:r>
            <w:r w:rsidRPr="00FF409F">
              <w:rPr>
                <w:szCs w:val="21"/>
              </w:rPr>
              <w:t>C</w:t>
            </w:r>
          </w:p>
        </w:tc>
        <w:tc>
          <w:tcPr>
            <w:tcW w:w="1667" w:type="pct"/>
            <w:vAlign w:val="center"/>
          </w:tcPr>
          <w:p w:rsidR="00B31DDC" w:rsidRPr="00FF409F" w:rsidRDefault="00B31DDC" w:rsidP="00B31DDC">
            <w:pPr>
              <w:rPr>
                <w:rFonts w:ascii="Arial" w:hAnsi="Arial" w:cs="Arial"/>
                <w:szCs w:val="21"/>
              </w:rPr>
            </w:pPr>
            <w:r w:rsidRPr="00FF409F">
              <w:rPr>
                <w:rFonts w:ascii="Arial" w:hAnsi="Arial" w:cs="Arial"/>
                <w:szCs w:val="21"/>
              </w:rPr>
              <w:t>肯特瑞财富</w:t>
            </w:r>
          </w:p>
        </w:tc>
      </w:tr>
    </w:tbl>
    <w:p w:rsidR="00142B14" w:rsidRDefault="00B13C45" w:rsidP="00B13C45">
      <w:pPr>
        <w:spacing w:line="360" w:lineRule="auto"/>
        <w:ind w:firstLineChars="200" w:firstLine="480"/>
        <w:rPr>
          <w:rFonts w:hAnsi="宋体"/>
          <w:color w:val="000000"/>
          <w:sz w:val="24"/>
        </w:rPr>
      </w:pPr>
      <w:r>
        <w:rPr>
          <w:rFonts w:hAnsi="宋体" w:hint="eastAsia"/>
          <w:color w:val="000000"/>
          <w:sz w:val="24"/>
        </w:rPr>
        <w:t>如上述基金</w:t>
      </w:r>
      <w:r w:rsidR="00E13BED">
        <w:rPr>
          <w:rFonts w:hAnsi="宋体" w:hint="eastAsia"/>
          <w:color w:val="000000"/>
          <w:sz w:val="24"/>
        </w:rPr>
        <w:t>处于封闭运作期、</w:t>
      </w:r>
      <w:r w:rsidR="006C0AB1">
        <w:rPr>
          <w:rFonts w:hAnsi="宋体" w:hint="eastAsia"/>
          <w:color w:val="000000"/>
          <w:sz w:val="24"/>
        </w:rPr>
        <w:t>尚未开放、</w:t>
      </w:r>
      <w:r w:rsidRPr="003F49AE">
        <w:rPr>
          <w:rFonts w:hAnsi="宋体" w:hint="eastAsia"/>
          <w:color w:val="000000"/>
          <w:sz w:val="24"/>
        </w:rPr>
        <w:t>暂停办理对应业务或对其进行限制的，请遵照相关公告执行。</w:t>
      </w:r>
      <w:r w:rsidR="001678DC" w:rsidRPr="003F49AE">
        <w:rPr>
          <w:rFonts w:hAnsi="宋体" w:hint="eastAsia"/>
          <w:color w:val="000000"/>
          <w:sz w:val="24"/>
        </w:rPr>
        <w:t>投资者在各销售机构办理对应基</w:t>
      </w:r>
      <w:r w:rsidR="001678DC">
        <w:rPr>
          <w:rFonts w:hAnsi="宋体" w:hint="eastAsia"/>
          <w:color w:val="000000"/>
          <w:sz w:val="24"/>
        </w:rPr>
        <w:t>金相关业务的数额限制、规则、流程以及需要提交的文件等信息，请遵照上述基金招募说明书或其更新、本公司发布的相关公告及各销售机构的有关规定。</w:t>
      </w:r>
      <w:r w:rsidR="001678DC" w:rsidRPr="00B15C39">
        <w:rPr>
          <w:rFonts w:hAnsi="宋体" w:hint="eastAsia"/>
          <w:sz w:val="24"/>
        </w:rPr>
        <w:t>销售机构的业务办理状况亦请遵循其各自规定执行</w:t>
      </w:r>
      <w:r w:rsidR="001678DC">
        <w:rPr>
          <w:rFonts w:hAnsi="宋体" w:hint="eastAsia"/>
          <w:sz w:val="24"/>
        </w:rPr>
        <w:t>。</w:t>
      </w:r>
    </w:p>
    <w:p w:rsidR="00E03419" w:rsidRDefault="00E03419" w:rsidP="00FD63C1">
      <w:pPr>
        <w:pStyle w:val="ac"/>
        <w:numPr>
          <w:ilvl w:val="0"/>
          <w:numId w:val="1"/>
        </w:numPr>
        <w:spacing w:line="360" w:lineRule="auto"/>
        <w:ind w:firstLineChars="0"/>
        <w:outlineLvl w:val="0"/>
        <w:rPr>
          <w:rFonts w:hAnsi="宋体"/>
          <w:color w:val="000000"/>
          <w:sz w:val="24"/>
        </w:rPr>
      </w:pPr>
      <w:r w:rsidRPr="00B101D7">
        <w:rPr>
          <w:rFonts w:hAnsi="宋体" w:hint="eastAsia"/>
          <w:color w:val="000000"/>
          <w:sz w:val="24"/>
        </w:rPr>
        <w:t>咨询渠道</w:t>
      </w:r>
    </w:p>
    <w:tbl>
      <w:tblPr>
        <w:tblStyle w:val="ad"/>
        <w:tblW w:w="0" w:type="auto"/>
        <w:jc w:val="center"/>
        <w:tblLook w:val="04A0"/>
      </w:tblPr>
      <w:tblGrid>
        <w:gridCol w:w="390"/>
        <w:gridCol w:w="3262"/>
        <w:gridCol w:w="2676"/>
        <w:gridCol w:w="2194"/>
      </w:tblGrid>
      <w:tr w:rsidR="00386DE1" w:rsidTr="00FF409F">
        <w:trPr>
          <w:jc w:val="center"/>
        </w:trPr>
        <w:tc>
          <w:tcPr>
            <w:tcW w:w="3652" w:type="dxa"/>
            <w:gridSpan w:val="2"/>
            <w:vAlign w:val="center"/>
          </w:tcPr>
          <w:p w:rsidR="00386DE1" w:rsidRPr="00B101D7" w:rsidRDefault="00386DE1" w:rsidP="00386DE1">
            <w:pPr>
              <w:widowControl/>
              <w:jc w:val="center"/>
              <w:rPr>
                <w:rFonts w:ascii="宋体" w:hAnsi="宋体"/>
                <w:b/>
                <w:kern w:val="0"/>
                <w:szCs w:val="21"/>
              </w:rPr>
            </w:pPr>
            <w:bookmarkStart w:id="0" w:name="_GoBack"/>
            <w:r w:rsidRPr="00B101D7">
              <w:rPr>
                <w:rFonts w:ascii="宋体" w:hAnsi="宋体" w:hint="eastAsia"/>
                <w:b/>
                <w:kern w:val="0"/>
                <w:szCs w:val="21"/>
              </w:rPr>
              <w:t>销售机构名称</w:t>
            </w:r>
          </w:p>
        </w:tc>
        <w:tc>
          <w:tcPr>
            <w:tcW w:w="2676"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网址</w:t>
            </w:r>
          </w:p>
        </w:tc>
        <w:tc>
          <w:tcPr>
            <w:tcW w:w="2194" w:type="dxa"/>
            <w:vAlign w:val="center"/>
          </w:tcPr>
          <w:p w:rsidR="00386DE1" w:rsidRPr="00B101D7" w:rsidRDefault="00386DE1" w:rsidP="00386DE1">
            <w:pPr>
              <w:widowControl/>
              <w:jc w:val="center"/>
              <w:rPr>
                <w:rFonts w:ascii="宋体" w:hAnsi="宋体"/>
                <w:b/>
                <w:kern w:val="0"/>
                <w:szCs w:val="21"/>
              </w:rPr>
            </w:pPr>
            <w:r w:rsidRPr="00B101D7">
              <w:rPr>
                <w:rFonts w:ascii="宋体" w:hAnsi="宋体" w:hint="eastAsia"/>
                <w:b/>
                <w:kern w:val="0"/>
                <w:szCs w:val="21"/>
              </w:rPr>
              <w:t>客户服务电话</w:t>
            </w:r>
          </w:p>
        </w:tc>
      </w:tr>
      <w:tr w:rsidR="00B31DDC" w:rsidTr="00FF409F">
        <w:trPr>
          <w:jc w:val="center"/>
        </w:trPr>
        <w:tc>
          <w:tcPr>
            <w:tcW w:w="390" w:type="dxa"/>
            <w:vAlign w:val="center"/>
          </w:tcPr>
          <w:p w:rsidR="00B31DDC" w:rsidRPr="00CB66A2" w:rsidRDefault="00B31DDC" w:rsidP="00B31DDC">
            <w:r w:rsidRPr="00CB66A2">
              <w:rPr>
                <w:rFonts w:hint="eastAsia"/>
              </w:rPr>
              <w:t>1</w:t>
            </w:r>
          </w:p>
        </w:tc>
        <w:tc>
          <w:tcPr>
            <w:tcW w:w="3262" w:type="dxa"/>
            <w:vAlign w:val="center"/>
          </w:tcPr>
          <w:p w:rsidR="00B31DDC" w:rsidRPr="00611D7F" w:rsidRDefault="00B31DDC" w:rsidP="00B31DDC">
            <w:r w:rsidRPr="00611D7F">
              <w:rPr>
                <w:rFonts w:hint="eastAsia"/>
              </w:rPr>
              <w:t>上海攀赢基金销售有限公司</w:t>
            </w:r>
          </w:p>
        </w:tc>
        <w:tc>
          <w:tcPr>
            <w:tcW w:w="2676" w:type="dxa"/>
            <w:vAlign w:val="center"/>
          </w:tcPr>
          <w:p w:rsidR="00B31DDC" w:rsidRPr="00611D7F" w:rsidRDefault="00B31DDC" w:rsidP="00B31DDC">
            <w:r w:rsidRPr="00611D7F">
              <w:rPr>
                <w:rFonts w:hint="eastAsia"/>
              </w:rPr>
              <w:t>http://www.pytz.cn</w:t>
            </w:r>
          </w:p>
        </w:tc>
        <w:tc>
          <w:tcPr>
            <w:tcW w:w="2194" w:type="dxa"/>
            <w:vAlign w:val="center"/>
          </w:tcPr>
          <w:p w:rsidR="00B31DDC" w:rsidRPr="00611D7F" w:rsidRDefault="00B31DDC" w:rsidP="00B31DDC">
            <w:r w:rsidRPr="00611D7F">
              <w:rPr>
                <w:rFonts w:hint="eastAsia"/>
              </w:rPr>
              <w:t>021-68889082</w:t>
            </w:r>
          </w:p>
        </w:tc>
      </w:tr>
      <w:tr w:rsidR="00B31DDC" w:rsidTr="00FF409F">
        <w:trPr>
          <w:jc w:val="center"/>
        </w:trPr>
        <w:tc>
          <w:tcPr>
            <w:tcW w:w="390" w:type="dxa"/>
            <w:vAlign w:val="center"/>
          </w:tcPr>
          <w:p w:rsidR="00B31DDC" w:rsidRPr="00CB66A2" w:rsidRDefault="00B31DDC" w:rsidP="00B31DDC">
            <w:r w:rsidRPr="00CB66A2">
              <w:rPr>
                <w:rFonts w:hint="eastAsia"/>
              </w:rPr>
              <w:t>2</w:t>
            </w:r>
          </w:p>
        </w:tc>
        <w:tc>
          <w:tcPr>
            <w:tcW w:w="3262" w:type="dxa"/>
            <w:vAlign w:val="center"/>
          </w:tcPr>
          <w:p w:rsidR="00B31DDC" w:rsidRPr="00611D7F" w:rsidRDefault="00B31DDC" w:rsidP="00B31DDC">
            <w:r w:rsidRPr="00611D7F">
              <w:rPr>
                <w:rFonts w:hint="eastAsia"/>
              </w:rPr>
              <w:t>东莞农村商业银行股份有限公司</w:t>
            </w:r>
          </w:p>
        </w:tc>
        <w:tc>
          <w:tcPr>
            <w:tcW w:w="2676" w:type="dxa"/>
            <w:vAlign w:val="center"/>
          </w:tcPr>
          <w:p w:rsidR="00B31DDC" w:rsidRPr="00611D7F" w:rsidRDefault="00B31DDC" w:rsidP="00B31DDC">
            <w:r w:rsidRPr="00611D7F">
              <w:rPr>
                <w:rFonts w:hint="eastAsia"/>
              </w:rPr>
              <w:t>www.drcbank.com</w:t>
            </w:r>
          </w:p>
        </w:tc>
        <w:tc>
          <w:tcPr>
            <w:tcW w:w="2194" w:type="dxa"/>
            <w:vAlign w:val="center"/>
          </w:tcPr>
          <w:p w:rsidR="00B31DDC" w:rsidRPr="00611D7F" w:rsidRDefault="00B31DDC" w:rsidP="00B31DDC">
            <w:r w:rsidRPr="00611D7F">
              <w:rPr>
                <w:rFonts w:hint="eastAsia"/>
              </w:rPr>
              <w:t>0769-961122</w:t>
            </w:r>
          </w:p>
        </w:tc>
      </w:tr>
      <w:tr w:rsidR="00B31DDC" w:rsidTr="00FF409F">
        <w:trPr>
          <w:jc w:val="center"/>
        </w:trPr>
        <w:tc>
          <w:tcPr>
            <w:tcW w:w="390" w:type="dxa"/>
            <w:vAlign w:val="center"/>
          </w:tcPr>
          <w:p w:rsidR="00B31DDC" w:rsidRPr="00CB66A2" w:rsidRDefault="00B31DDC" w:rsidP="00B31DDC">
            <w:r>
              <w:rPr>
                <w:rFonts w:hint="eastAsia"/>
              </w:rPr>
              <w:t>3</w:t>
            </w:r>
          </w:p>
        </w:tc>
        <w:tc>
          <w:tcPr>
            <w:tcW w:w="3262" w:type="dxa"/>
            <w:vAlign w:val="center"/>
          </w:tcPr>
          <w:p w:rsidR="00B31DDC" w:rsidRPr="00611D7F" w:rsidRDefault="00B31DDC" w:rsidP="00B31DDC">
            <w:r w:rsidRPr="00611D7F">
              <w:rPr>
                <w:rFonts w:hint="eastAsia"/>
              </w:rPr>
              <w:t>华融证券股份有限公司</w:t>
            </w:r>
          </w:p>
        </w:tc>
        <w:tc>
          <w:tcPr>
            <w:tcW w:w="2676" w:type="dxa"/>
            <w:vAlign w:val="center"/>
          </w:tcPr>
          <w:p w:rsidR="00B31DDC" w:rsidRPr="00611D7F" w:rsidRDefault="00B31DDC" w:rsidP="00B31DDC">
            <w:r w:rsidRPr="00611D7F">
              <w:rPr>
                <w:rFonts w:hint="eastAsia"/>
              </w:rPr>
              <w:t>www.hrsec.com.cn</w:t>
            </w:r>
          </w:p>
        </w:tc>
        <w:tc>
          <w:tcPr>
            <w:tcW w:w="2194" w:type="dxa"/>
            <w:vAlign w:val="center"/>
          </w:tcPr>
          <w:p w:rsidR="00B31DDC" w:rsidRPr="00611D7F" w:rsidRDefault="00B31DDC" w:rsidP="00B31DDC">
            <w:r w:rsidRPr="00611D7F">
              <w:rPr>
                <w:rFonts w:hint="eastAsia"/>
              </w:rPr>
              <w:t>95390</w:t>
            </w:r>
          </w:p>
        </w:tc>
      </w:tr>
      <w:tr w:rsidR="00B31DDC" w:rsidTr="00FF409F">
        <w:trPr>
          <w:jc w:val="center"/>
        </w:trPr>
        <w:tc>
          <w:tcPr>
            <w:tcW w:w="390" w:type="dxa"/>
            <w:vAlign w:val="center"/>
          </w:tcPr>
          <w:p w:rsidR="00B31DDC" w:rsidRDefault="00B31DDC" w:rsidP="00B31DDC">
            <w:r>
              <w:rPr>
                <w:rFonts w:hint="eastAsia"/>
              </w:rPr>
              <w:t>4</w:t>
            </w:r>
          </w:p>
        </w:tc>
        <w:tc>
          <w:tcPr>
            <w:tcW w:w="3262" w:type="dxa"/>
            <w:vAlign w:val="center"/>
          </w:tcPr>
          <w:p w:rsidR="00B31DDC" w:rsidRPr="00611D7F" w:rsidRDefault="00B31DDC" w:rsidP="00B31DDC">
            <w:r w:rsidRPr="00611D7F">
              <w:rPr>
                <w:rFonts w:hint="eastAsia"/>
              </w:rPr>
              <w:t>汉口银行股份有限公司</w:t>
            </w:r>
          </w:p>
        </w:tc>
        <w:tc>
          <w:tcPr>
            <w:tcW w:w="2676" w:type="dxa"/>
            <w:vAlign w:val="center"/>
          </w:tcPr>
          <w:p w:rsidR="00B31DDC" w:rsidRPr="00611D7F" w:rsidRDefault="00B31DDC" w:rsidP="00B31DDC">
            <w:r w:rsidRPr="00611D7F">
              <w:rPr>
                <w:rFonts w:hint="eastAsia"/>
              </w:rPr>
              <w:t>www.hkbchina.com</w:t>
            </w:r>
          </w:p>
        </w:tc>
        <w:tc>
          <w:tcPr>
            <w:tcW w:w="2194" w:type="dxa"/>
            <w:vAlign w:val="center"/>
          </w:tcPr>
          <w:p w:rsidR="00B31DDC" w:rsidRPr="00611D7F" w:rsidRDefault="00B31DDC" w:rsidP="00B31DDC">
            <w:r w:rsidRPr="00611D7F">
              <w:rPr>
                <w:rFonts w:hint="eastAsia"/>
              </w:rPr>
              <w:t>96558</w:t>
            </w:r>
            <w:r w:rsidRPr="00611D7F">
              <w:rPr>
                <w:rFonts w:hint="eastAsia"/>
              </w:rPr>
              <w:t>（武汉）、</w:t>
            </w:r>
            <w:r w:rsidRPr="00611D7F">
              <w:rPr>
                <w:rFonts w:hint="eastAsia"/>
              </w:rPr>
              <w:t>400-609-6558</w:t>
            </w:r>
            <w:r w:rsidRPr="00611D7F">
              <w:rPr>
                <w:rFonts w:hint="eastAsia"/>
              </w:rPr>
              <w:t>（全国）</w:t>
            </w:r>
          </w:p>
        </w:tc>
      </w:tr>
      <w:tr w:rsidR="00B31DDC" w:rsidTr="00FF409F">
        <w:trPr>
          <w:jc w:val="center"/>
        </w:trPr>
        <w:tc>
          <w:tcPr>
            <w:tcW w:w="390" w:type="dxa"/>
            <w:vAlign w:val="center"/>
          </w:tcPr>
          <w:p w:rsidR="00B31DDC" w:rsidRDefault="00B31DDC" w:rsidP="00B31DDC">
            <w:r>
              <w:rPr>
                <w:rFonts w:hint="eastAsia"/>
              </w:rPr>
              <w:t>5</w:t>
            </w:r>
          </w:p>
        </w:tc>
        <w:tc>
          <w:tcPr>
            <w:tcW w:w="3262" w:type="dxa"/>
            <w:vAlign w:val="center"/>
          </w:tcPr>
          <w:p w:rsidR="00B31DDC" w:rsidRPr="00611D7F" w:rsidRDefault="00B31DDC" w:rsidP="00B31DDC">
            <w:r w:rsidRPr="00611D7F">
              <w:rPr>
                <w:rFonts w:hint="eastAsia"/>
              </w:rPr>
              <w:t>和耕传承基金销售有限公司</w:t>
            </w:r>
          </w:p>
        </w:tc>
        <w:tc>
          <w:tcPr>
            <w:tcW w:w="2676" w:type="dxa"/>
            <w:vAlign w:val="center"/>
          </w:tcPr>
          <w:p w:rsidR="00B31DDC" w:rsidRPr="00611D7F" w:rsidRDefault="00B31DDC" w:rsidP="00B31DDC">
            <w:r w:rsidRPr="00611D7F">
              <w:rPr>
                <w:rFonts w:hint="eastAsia"/>
              </w:rPr>
              <w:t>www.hgccpb.com</w:t>
            </w:r>
          </w:p>
        </w:tc>
        <w:tc>
          <w:tcPr>
            <w:tcW w:w="2194" w:type="dxa"/>
            <w:vAlign w:val="center"/>
          </w:tcPr>
          <w:p w:rsidR="00B31DDC" w:rsidRPr="00611D7F" w:rsidRDefault="00B31DDC" w:rsidP="00B31DDC">
            <w:r w:rsidRPr="00611D7F">
              <w:rPr>
                <w:rFonts w:hint="eastAsia"/>
              </w:rPr>
              <w:t>4000-555-671</w:t>
            </w:r>
          </w:p>
        </w:tc>
      </w:tr>
      <w:tr w:rsidR="00B31DDC" w:rsidTr="00FF409F">
        <w:trPr>
          <w:jc w:val="center"/>
        </w:trPr>
        <w:tc>
          <w:tcPr>
            <w:tcW w:w="390" w:type="dxa"/>
            <w:vAlign w:val="center"/>
          </w:tcPr>
          <w:p w:rsidR="00B31DDC" w:rsidRDefault="00B31DDC" w:rsidP="00B31DDC">
            <w:r>
              <w:rPr>
                <w:rFonts w:hint="eastAsia"/>
              </w:rPr>
              <w:t>6</w:t>
            </w:r>
          </w:p>
        </w:tc>
        <w:tc>
          <w:tcPr>
            <w:tcW w:w="3262" w:type="dxa"/>
            <w:vAlign w:val="center"/>
          </w:tcPr>
          <w:p w:rsidR="00B31DDC" w:rsidRPr="00611D7F" w:rsidRDefault="00B31DDC" w:rsidP="00B31DDC">
            <w:r w:rsidRPr="00611D7F">
              <w:rPr>
                <w:rFonts w:hint="eastAsia"/>
              </w:rPr>
              <w:t>京东肯特瑞基金销售有限公司</w:t>
            </w:r>
          </w:p>
        </w:tc>
        <w:tc>
          <w:tcPr>
            <w:tcW w:w="2676" w:type="dxa"/>
            <w:vAlign w:val="center"/>
          </w:tcPr>
          <w:p w:rsidR="00B31DDC" w:rsidRPr="00611D7F" w:rsidRDefault="00B31DDC" w:rsidP="00B31DDC">
            <w:r w:rsidRPr="00611D7F">
              <w:rPr>
                <w:rFonts w:hint="eastAsia"/>
              </w:rPr>
              <w:t>http://fund.jd.com/</w:t>
            </w:r>
          </w:p>
        </w:tc>
        <w:tc>
          <w:tcPr>
            <w:tcW w:w="2194" w:type="dxa"/>
            <w:vAlign w:val="center"/>
          </w:tcPr>
          <w:p w:rsidR="00B31DDC" w:rsidRDefault="00B31DDC" w:rsidP="00B31DDC">
            <w:r w:rsidRPr="00611D7F">
              <w:rPr>
                <w:rFonts w:hint="eastAsia"/>
              </w:rPr>
              <w:t>95118</w:t>
            </w:r>
            <w:r w:rsidRPr="00611D7F">
              <w:rPr>
                <w:rFonts w:hint="eastAsia"/>
              </w:rPr>
              <w:t>、</w:t>
            </w:r>
            <w:r w:rsidRPr="00611D7F">
              <w:rPr>
                <w:rFonts w:hint="eastAsia"/>
              </w:rPr>
              <w:t xml:space="preserve">400-098-8511 </w:t>
            </w:r>
          </w:p>
        </w:tc>
      </w:tr>
    </w:tbl>
    <w:bookmarkEnd w:id="0"/>
    <w:p w:rsidR="00142B14" w:rsidRDefault="00142B14" w:rsidP="00FD63C1">
      <w:pPr>
        <w:spacing w:line="360" w:lineRule="auto"/>
        <w:ind w:firstLineChars="200" w:firstLine="480"/>
        <w:outlineLvl w:val="0"/>
        <w:rPr>
          <w:rFonts w:hAnsi="宋体"/>
          <w:sz w:val="24"/>
        </w:rPr>
      </w:pPr>
      <w:r w:rsidRPr="00755C67">
        <w:rPr>
          <w:rFonts w:hAnsi="宋体" w:hint="eastAsia"/>
          <w:sz w:val="24"/>
        </w:rPr>
        <w:t>投资者可拨打本公司客户服务电话（</w:t>
      </w:r>
      <w:r w:rsidRPr="00755C67">
        <w:rPr>
          <w:rFonts w:hAnsi="宋体" w:hint="eastAsia"/>
          <w:sz w:val="24"/>
        </w:rPr>
        <w:t>400-818-6666</w:t>
      </w:r>
      <w:r w:rsidRPr="00755C67">
        <w:rPr>
          <w:rFonts w:hAnsi="宋体" w:hint="eastAsia"/>
          <w:sz w:val="24"/>
        </w:rPr>
        <w:t>）或登录本公司网站（</w:t>
      </w:r>
      <w:r w:rsidRPr="00755C67">
        <w:rPr>
          <w:rFonts w:hAnsi="宋体" w:hint="eastAsia"/>
          <w:sz w:val="24"/>
        </w:rPr>
        <w:t>www.ChinaAMC.com</w:t>
      </w:r>
      <w:r w:rsidRPr="00755C67">
        <w:rPr>
          <w:rFonts w:hAnsi="宋体" w:hint="eastAsia"/>
          <w:sz w:val="24"/>
        </w:rPr>
        <w:t>）了解相关信息。</w:t>
      </w:r>
    </w:p>
    <w:p w:rsidR="00E03419" w:rsidRDefault="00E03419" w:rsidP="00FD63C1">
      <w:pPr>
        <w:spacing w:line="360" w:lineRule="auto"/>
        <w:ind w:firstLineChars="200" w:firstLine="480"/>
        <w:rPr>
          <w:rFonts w:hAnsi="宋体"/>
          <w:color w:val="000000"/>
          <w:sz w:val="24"/>
        </w:rPr>
      </w:pPr>
      <w:r>
        <w:rPr>
          <w:rFonts w:hAnsi="宋体" w:hint="eastAsia"/>
          <w:color w:val="000000"/>
          <w:sz w:val="24"/>
        </w:rPr>
        <w:t>本公司旗下开放式基金的代销机构已在本公司网站公示，投资者可登录查询。</w:t>
      </w:r>
    </w:p>
    <w:p w:rsidR="00E03419" w:rsidRPr="008B074B" w:rsidRDefault="00E03419" w:rsidP="0074634D">
      <w:pPr>
        <w:spacing w:line="360" w:lineRule="auto"/>
        <w:ind w:firstLineChars="200" w:firstLine="482"/>
        <w:rPr>
          <w:rFonts w:hAnsi="宋体"/>
          <w:b/>
          <w:color w:val="000000"/>
          <w:sz w:val="24"/>
        </w:rPr>
      </w:pPr>
      <w:r w:rsidRPr="007F0380">
        <w:rPr>
          <w:rFonts w:hAnsi="宋体" w:hint="eastAsia"/>
          <w:b/>
          <w:color w:val="000000"/>
          <w:sz w:val="24"/>
        </w:rPr>
        <w:t>风险提示：</w:t>
      </w:r>
      <w:r w:rsidRPr="008947BA">
        <w:rPr>
          <w:rFonts w:hAnsi="宋体" w:hint="eastAsia"/>
          <w:b/>
          <w:color w:val="000000"/>
          <w:sz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w:t>
      </w:r>
      <w:r w:rsidR="00EB78AC" w:rsidRPr="008947BA">
        <w:rPr>
          <w:rFonts w:hAnsi="宋体" w:hint="eastAsia"/>
          <w:b/>
          <w:color w:val="000000"/>
          <w:sz w:val="24"/>
        </w:rPr>
        <w:t>基金合同、</w:t>
      </w:r>
      <w:r w:rsidRPr="008947BA">
        <w:rPr>
          <w:rFonts w:hAnsi="宋体" w:hint="eastAsia"/>
          <w:b/>
          <w:color w:val="000000"/>
          <w:sz w:val="24"/>
        </w:rPr>
        <w:t>招募说明书</w:t>
      </w:r>
      <w:r w:rsidR="00EB78AC" w:rsidRPr="008947BA">
        <w:rPr>
          <w:rFonts w:hAnsi="宋体" w:hint="eastAsia"/>
          <w:b/>
          <w:color w:val="000000"/>
          <w:sz w:val="24"/>
        </w:rPr>
        <w:t>、基金产品资料概要等法律文件</w:t>
      </w:r>
      <w:r w:rsidRPr="008947BA">
        <w:rPr>
          <w:rFonts w:hAnsi="宋体" w:hint="eastAsia"/>
          <w:b/>
          <w:color w:val="000000"/>
          <w:sz w:val="24"/>
        </w:rPr>
        <w:t>，全面认识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E03419" w:rsidRDefault="00E03419" w:rsidP="00FD63C1">
      <w:pPr>
        <w:spacing w:line="360" w:lineRule="auto"/>
        <w:ind w:firstLine="420"/>
        <w:rPr>
          <w:rFonts w:hAnsi="宋体"/>
          <w:color w:val="000000"/>
          <w:sz w:val="24"/>
        </w:rPr>
      </w:pPr>
      <w:r w:rsidRPr="00E51B43">
        <w:rPr>
          <w:rFonts w:hAnsi="宋体" w:hint="eastAsia"/>
          <w:color w:val="000000"/>
          <w:sz w:val="24"/>
        </w:rPr>
        <w:t>特此公告</w:t>
      </w:r>
    </w:p>
    <w:p w:rsidR="00304E9C" w:rsidRPr="00E51B43" w:rsidRDefault="00304E9C" w:rsidP="00FD63C1">
      <w:pPr>
        <w:spacing w:line="360" w:lineRule="auto"/>
        <w:ind w:firstLine="420"/>
        <w:rPr>
          <w:rFonts w:hAnsi="宋体"/>
          <w:color w:val="000000"/>
          <w:sz w:val="24"/>
        </w:rPr>
      </w:pPr>
    </w:p>
    <w:p w:rsidR="00E03419" w:rsidRPr="00E51B43" w:rsidRDefault="00E03419" w:rsidP="00FD63C1">
      <w:pPr>
        <w:spacing w:line="360" w:lineRule="auto"/>
        <w:jc w:val="right"/>
        <w:rPr>
          <w:rFonts w:hAnsi="宋体"/>
          <w:color w:val="000000"/>
          <w:sz w:val="24"/>
        </w:rPr>
      </w:pPr>
      <w:r w:rsidRPr="00E51B43">
        <w:rPr>
          <w:rFonts w:hAnsi="宋体" w:hint="eastAsia"/>
          <w:color w:val="000000"/>
          <w:sz w:val="24"/>
        </w:rPr>
        <w:t>华夏基金管理有限公司</w:t>
      </w:r>
    </w:p>
    <w:p w:rsidR="00E03419" w:rsidRPr="00E51B43" w:rsidRDefault="00625909" w:rsidP="00FD63C1">
      <w:pPr>
        <w:spacing w:line="360" w:lineRule="auto"/>
        <w:jc w:val="right"/>
        <w:rPr>
          <w:rFonts w:hAnsi="宋体"/>
          <w:color w:val="000000"/>
          <w:sz w:val="24"/>
        </w:rPr>
      </w:pPr>
      <w:r>
        <w:rPr>
          <w:rFonts w:hAnsi="宋体" w:hint="eastAsia"/>
          <w:color w:val="000000"/>
          <w:sz w:val="24"/>
        </w:rPr>
        <w:t>二〇二一年十</w:t>
      </w:r>
      <w:r w:rsidR="00744326">
        <w:rPr>
          <w:rFonts w:hAnsi="宋体" w:hint="eastAsia"/>
          <w:color w:val="000000"/>
          <w:sz w:val="24"/>
        </w:rPr>
        <w:t>二</w:t>
      </w:r>
      <w:r w:rsidR="00C066FB">
        <w:rPr>
          <w:rFonts w:hAnsi="宋体" w:hint="eastAsia"/>
          <w:color w:val="000000"/>
          <w:sz w:val="24"/>
        </w:rPr>
        <w:t>月</w:t>
      </w:r>
      <w:r w:rsidR="00B31DDC">
        <w:rPr>
          <w:rFonts w:hAnsi="宋体" w:hint="eastAsia"/>
          <w:color w:val="000000"/>
          <w:sz w:val="24"/>
        </w:rPr>
        <w:t>三十一</w:t>
      </w:r>
      <w:r w:rsidR="00E03419" w:rsidRPr="00E51B43">
        <w:rPr>
          <w:rFonts w:hAnsi="宋体" w:hint="eastAsia"/>
          <w:color w:val="000000"/>
          <w:sz w:val="24"/>
        </w:rPr>
        <w:t>日</w:t>
      </w:r>
    </w:p>
    <w:sectPr w:rsidR="00E03419" w:rsidRPr="00E51B43" w:rsidSect="00FD63C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196" w:rsidRDefault="00021196" w:rsidP="00A7547C">
      <w:r>
        <w:separator/>
      </w:r>
    </w:p>
  </w:endnote>
  <w:endnote w:type="continuationSeparator" w:id="0">
    <w:p w:rsidR="00021196" w:rsidRDefault="00021196" w:rsidP="00A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DC" w:rsidRDefault="00B31DD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DC" w:rsidRDefault="00B31DD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DC" w:rsidRDefault="00B31DD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196" w:rsidRDefault="00021196" w:rsidP="00A7547C">
      <w:r>
        <w:separator/>
      </w:r>
    </w:p>
  </w:footnote>
  <w:footnote w:type="continuationSeparator" w:id="0">
    <w:p w:rsidR="00021196" w:rsidRDefault="00021196" w:rsidP="00A75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C5" w:rsidRDefault="00925DC5" w:rsidP="00FD63C1">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DC" w:rsidRDefault="00B31DD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43D3E"/>
    <w:multiLevelType w:val="hybridMultilevel"/>
    <w:tmpl w:val="9E86ECF0"/>
    <w:lvl w:ilvl="0" w:tplc="3428401E">
      <w:start w:val="1"/>
      <w:numFmt w:val="japaneseCounting"/>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C1871BF"/>
    <w:multiLevelType w:val="hybridMultilevel"/>
    <w:tmpl w:val="CF66F3BE"/>
    <w:lvl w:ilvl="0" w:tplc="4560FDCA">
      <w:start w:val="1"/>
      <w:numFmt w:val="japaneseCounting"/>
      <w:lvlText w:val="（%1）"/>
      <w:lvlJc w:val="left"/>
      <w:pPr>
        <w:ind w:left="1200" w:hanging="72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13"/>
  <w:drawingGridVerticalSpacing w:val="31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63D7"/>
    <w:rsid w:val="0000336C"/>
    <w:rsid w:val="00021196"/>
    <w:rsid w:val="00022532"/>
    <w:rsid w:val="000245E7"/>
    <w:rsid w:val="00025EF9"/>
    <w:rsid w:val="0003047E"/>
    <w:rsid w:val="00035FE5"/>
    <w:rsid w:val="00036F46"/>
    <w:rsid w:val="00041F2E"/>
    <w:rsid w:val="00042CFB"/>
    <w:rsid w:val="00054155"/>
    <w:rsid w:val="00057EDF"/>
    <w:rsid w:val="00066D64"/>
    <w:rsid w:val="00066F2D"/>
    <w:rsid w:val="00070F9B"/>
    <w:rsid w:val="0007718E"/>
    <w:rsid w:val="00080529"/>
    <w:rsid w:val="00081BB6"/>
    <w:rsid w:val="00087B0C"/>
    <w:rsid w:val="000965B2"/>
    <w:rsid w:val="00096DB4"/>
    <w:rsid w:val="000B254B"/>
    <w:rsid w:val="000C14EC"/>
    <w:rsid w:val="000D13E8"/>
    <w:rsid w:val="000D6064"/>
    <w:rsid w:val="000D71A1"/>
    <w:rsid w:val="000E53F7"/>
    <w:rsid w:val="000E6DCB"/>
    <w:rsid w:val="000F1699"/>
    <w:rsid w:val="000F44CB"/>
    <w:rsid w:val="000F7D56"/>
    <w:rsid w:val="001044F7"/>
    <w:rsid w:val="0010466E"/>
    <w:rsid w:val="00104D53"/>
    <w:rsid w:val="001057A8"/>
    <w:rsid w:val="00110E93"/>
    <w:rsid w:val="0012238E"/>
    <w:rsid w:val="00126ACD"/>
    <w:rsid w:val="00136FC6"/>
    <w:rsid w:val="00142B14"/>
    <w:rsid w:val="0014457B"/>
    <w:rsid w:val="00161B24"/>
    <w:rsid w:val="00165685"/>
    <w:rsid w:val="001678DC"/>
    <w:rsid w:val="00171D7D"/>
    <w:rsid w:val="001724B1"/>
    <w:rsid w:val="001732A6"/>
    <w:rsid w:val="001834CB"/>
    <w:rsid w:val="00190EB5"/>
    <w:rsid w:val="001978DF"/>
    <w:rsid w:val="001A4DD7"/>
    <w:rsid w:val="001B67DA"/>
    <w:rsid w:val="001B729F"/>
    <w:rsid w:val="001C2751"/>
    <w:rsid w:val="001E0714"/>
    <w:rsid w:val="001E13CF"/>
    <w:rsid w:val="001E2A1B"/>
    <w:rsid w:val="001E5341"/>
    <w:rsid w:val="00206744"/>
    <w:rsid w:val="00223583"/>
    <w:rsid w:val="00225D8C"/>
    <w:rsid w:val="00227BCF"/>
    <w:rsid w:val="00235B0D"/>
    <w:rsid w:val="002368DC"/>
    <w:rsid w:val="00241351"/>
    <w:rsid w:val="00241D83"/>
    <w:rsid w:val="00245CA6"/>
    <w:rsid w:val="0027038B"/>
    <w:rsid w:val="00271ECF"/>
    <w:rsid w:val="002800EE"/>
    <w:rsid w:val="0029546F"/>
    <w:rsid w:val="002A1609"/>
    <w:rsid w:val="002A354A"/>
    <w:rsid w:val="002B15AE"/>
    <w:rsid w:val="002B4A68"/>
    <w:rsid w:val="002D476D"/>
    <w:rsid w:val="002D4F0E"/>
    <w:rsid w:val="002D6E74"/>
    <w:rsid w:val="002D6F68"/>
    <w:rsid w:val="002E607E"/>
    <w:rsid w:val="002F0BAC"/>
    <w:rsid w:val="00304E9C"/>
    <w:rsid w:val="00305BC9"/>
    <w:rsid w:val="0030643C"/>
    <w:rsid w:val="0031269A"/>
    <w:rsid w:val="00324613"/>
    <w:rsid w:val="00324DD2"/>
    <w:rsid w:val="0032635E"/>
    <w:rsid w:val="0033755C"/>
    <w:rsid w:val="00340094"/>
    <w:rsid w:val="00350605"/>
    <w:rsid w:val="003507BA"/>
    <w:rsid w:val="00371075"/>
    <w:rsid w:val="003724D9"/>
    <w:rsid w:val="003734EA"/>
    <w:rsid w:val="00376FEA"/>
    <w:rsid w:val="00377CF0"/>
    <w:rsid w:val="00382DA5"/>
    <w:rsid w:val="00386DE1"/>
    <w:rsid w:val="003933BB"/>
    <w:rsid w:val="003A034A"/>
    <w:rsid w:val="003A7A85"/>
    <w:rsid w:val="003B3277"/>
    <w:rsid w:val="003B584C"/>
    <w:rsid w:val="003D0F0F"/>
    <w:rsid w:val="003D6A20"/>
    <w:rsid w:val="003E1820"/>
    <w:rsid w:val="003E2307"/>
    <w:rsid w:val="003F49AE"/>
    <w:rsid w:val="003F6C0E"/>
    <w:rsid w:val="00401356"/>
    <w:rsid w:val="00401DF2"/>
    <w:rsid w:val="00413185"/>
    <w:rsid w:val="00421A1A"/>
    <w:rsid w:val="004338A6"/>
    <w:rsid w:val="0043605D"/>
    <w:rsid w:val="00437756"/>
    <w:rsid w:val="00443D55"/>
    <w:rsid w:val="0044531C"/>
    <w:rsid w:val="00446874"/>
    <w:rsid w:val="00456FF9"/>
    <w:rsid w:val="00471888"/>
    <w:rsid w:val="004929C5"/>
    <w:rsid w:val="00492A6A"/>
    <w:rsid w:val="004936C5"/>
    <w:rsid w:val="00493C8E"/>
    <w:rsid w:val="00495052"/>
    <w:rsid w:val="004A408C"/>
    <w:rsid w:val="004B387F"/>
    <w:rsid w:val="004B744C"/>
    <w:rsid w:val="004C0EEA"/>
    <w:rsid w:val="004C5ADC"/>
    <w:rsid w:val="004D3DBC"/>
    <w:rsid w:val="004D43F1"/>
    <w:rsid w:val="004D4C25"/>
    <w:rsid w:val="0051089B"/>
    <w:rsid w:val="00514D29"/>
    <w:rsid w:val="00516469"/>
    <w:rsid w:val="00527860"/>
    <w:rsid w:val="00532D5F"/>
    <w:rsid w:val="00541AB8"/>
    <w:rsid w:val="0054225B"/>
    <w:rsid w:val="00550058"/>
    <w:rsid w:val="00563BAE"/>
    <w:rsid w:val="00564BFC"/>
    <w:rsid w:val="00565F92"/>
    <w:rsid w:val="00575B51"/>
    <w:rsid w:val="005815FC"/>
    <w:rsid w:val="00583FE5"/>
    <w:rsid w:val="005A1843"/>
    <w:rsid w:val="005A5C64"/>
    <w:rsid w:val="005A5EAB"/>
    <w:rsid w:val="005B0DF1"/>
    <w:rsid w:val="005B7E53"/>
    <w:rsid w:val="005D5ABA"/>
    <w:rsid w:val="005E3E68"/>
    <w:rsid w:val="005E70BA"/>
    <w:rsid w:val="00605069"/>
    <w:rsid w:val="006105D6"/>
    <w:rsid w:val="00616F56"/>
    <w:rsid w:val="00622314"/>
    <w:rsid w:val="00624DCE"/>
    <w:rsid w:val="00625909"/>
    <w:rsid w:val="006273C6"/>
    <w:rsid w:val="0063188F"/>
    <w:rsid w:val="006319B3"/>
    <w:rsid w:val="00651647"/>
    <w:rsid w:val="0065661F"/>
    <w:rsid w:val="0066657E"/>
    <w:rsid w:val="00667F54"/>
    <w:rsid w:val="00672E1F"/>
    <w:rsid w:val="00674447"/>
    <w:rsid w:val="00681B25"/>
    <w:rsid w:val="006C0AB1"/>
    <w:rsid w:val="006D60FF"/>
    <w:rsid w:val="006D6C0C"/>
    <w:rsid w:val="006E3374"/>
    <w:rsid w:val="006F3446"/>
    <w:rsid w:val="00706EEE"/>
    <w:rsid w:val="0072176B"/>
    <w:rsid w:val="00744326"/>
    <w:rsid w:val="0074634D"/>
    <w:rsid w:val="00765DF0"/>
    <w:rsid w:val="0077202D"/>
    <w:rsid w:val="00773056"/>
    <w:rsid w:val="007736B8"/>
    <w:rsid w:val="007746A7"/>
    <w:rsid w:val="00775298"/>
    <w:rsid w:val="00795768"/>
    <w:rsid w:val="00797404"/>
    <w:rsid w:val="007A76BF"/>
    <w:rsid w:val="007B0351"/>
    <w:rsid w:val="007B74EB"/>
    <w:rsid w:val="007C5568"/>
    <w:rsid w:val="007D1174"/>
    <w:rsid w:val="007D7622"/>
    <w:rsid w:val="007E27C7"/>
    <w:rsid w:val="007E5345"/>
    <w:rsid w:val="007F0380"/>
    <w:rsid w:val="007F0F1F"/>
    <w:rsid w:val="007F344B"/>
    <w:rsid w:val="007F7D28"/>
    <w:rsid w:val="007F7F10"/>
    <w:rsid w:val="008241DE"/>
    <w:rsid w:val="00830C4C"/>
    <w:rsid w:val="00836A66"/>
    <w:rsid w:val="00852E9B"/>
    <w:rsid w:val="00854B1E"/>
    <w:rsid w:val="00871AC5"/>
    <w:rsid w:val="00873390"/>
    <w:rsid w:val="00886EF0"/>
    <w:rsid w:val="008947BA"/>
    <w:rsid w:val="00896280"/>
    <w:rsid w:val="008B046E"/>
    <w:rsid w:val="008B074B"/>
    <w:rsid w:val="008C104F"/>
    <w:rsid w:val="008C72D9"/>
    <w:rsid w:val="008E0287"/>
    <w:rsid w:val="008E7E22"/>
    <w:rsid w:val="008F1F4A"/>
    <w:rsid w:val="009022D8"/>
    <w:rsid w:val="0090490C"/>
    <w:rsid w:val="009119F3"/>
    <w:rsid w:val="00911D1D"/>
    <w:rsid w:val="009151F2"/>
    <w:rsid w:val="00921DF2"/>
    <w:rsid w:val="00925DC5"/>
    <w:rsid w:val="00942133"/>
    <w:rsid w:val="0094588C"/>
    <w:rsid w:val="00953801"/>
    <w:rsid w:val="00965AFD"/>
    <w:rsid w:val="009764C6"/>
    <w:rsid w:val="00983EB7"/>
    <w:rsid w:val="0099288E"/>
    <w:rsid w:val="00994BE4"/>
    <w:rsid w:val="009A1120"/>
    <w:rsid w:val="009B2A5C"/>
    <w:rsid w:val="009C0D8A"/>
    <w:rsid w:val="009C2F4B"/>
    <w:rsid w:val="009C5E23"/>
    <w:rsid w:val="009E18A7"/>
    <w:rsid w:val="009E79C9"/>
    <w:rsid w:val="009F14D5"/>
    <w:rsid w:val="009F1D62"/>
    <w:rsid w:val="009F1EA2"/>
    <w:rsid w:val="00A109AA"/>
    <w:rsid w:val="00A1483E"/>
    <w:rsid w:val="00A172F2"/>
    <w:rsid w:val="00A2255B"/>
    <w:rsid w:val="00A228E8"/>
    <w:rsid w:val="00A27C9C"/>
    <w:rsid w:val="00A309A6"/>
    <w:rsid w:val="00A403E7"/>
    <w:rsid w:val="00A4740D"/>
    <w:rsid w:val="00A51524"/>
    <w:rsid w:val="00A7547C"/>
    <w:rsid w:val="00A765DC"/>
    <w:rsid w:val="00A81204"/>
    <w:rsid w:val="00A84C31"/>
    <w:rsid w:val="00A9250A"/>
    <w:rsid w:val="00A93639"/>
    <w:rsid w:val="00AA40EE"/>
    <w:rsid w:val="00AC16F7"/>
    <w:rsid w:val="00AD2D7E"/>
    <w:rsid w:val="00AE222E"/>
    <w:rsid w:val="00B04D02"/>
    <w:rsid w:val="00B05DB9"/>
    <w:rsid w:val="00B07359"/>
    <w:rsid w:val="00B0743E"/>
    <w:rsid w:val="00B101D7"/>
    <w:rsid w:val="00B13C45"/>
    <w:rsid w:val="00B26B50"/>
    <w:rsid w:val="00B31DDC"/>
    <w:rsid w:val="00B34F1D"/>
    <w:rsid w:val="00B45009"/>
    <w:rsid w:val="00B455E2"/>
    <w:rsid w:val="00B5276A"/>
    <w:rsid w:val="00B55412"/>
    <w:rsid w:val="00B63C1D"/>
    <w:rsid w:val="00B652F1"/>
    <w:rsid w:val="00B70CEA"/>
    <w:rsid w:val="00B71367"/>
    <w:rsid w:val="00B93BDE"/>
    <w:rsid w:val="00B94659"/>
    <w:rsid w:val="00B973A9"/>
    <w:rsid w:val="00BA3ADA"/>
    <w:rsid w:val="00BA6D50"/>
    <w:rsid w:val="00BC4781"/>
    <w:rsid w:val="00BC508E"/>
    <w:rsid w:val="00BD3B16"/>
    <w:rsid w:val="00BE29F1"/>
    <w:rsid w:val="00BE3DC7"/>
    <w:rsid w:val="00BE41BA"/>
    <w:rsid w:val="00BF6395"/>
    <w:rsid w:val="00C00026"/>
    <w:rsid w:val="00C01A69"/>
    <w:rsid w:val="00C066FB"/>
    <w:rsid w:val="00C15C5C"/>
    <w:rsid w:val="00C27E1E"/>
    <w:rsid w:val="00C27F96"/>
    <w:rsid w:val="00C34B5A"/>
    <w:rsid w:val="00C35A34"/>
    <w:rsid w:val="00C53EC3"/>
    <w:rsid w:val="00C5558C"/>
    <w:rsid w:val="00C619B0"/>
    <w:rsid w:val="00C63B23"/>
    <w:rsid w:val="00C71CCA"/>
    <w:rsid w:val="00C7766C"/>
    <w:rsid w:val="00C811AB"/>
    <w:rsid w:val="00C87B76"/>
    <w:rsid w:val="00C9132B"/>
    <w:rsid w:val="00C96987"/>
    <w:rsid w:val="00CB031F"/>
    <w:rsid w:val="00CB3C1A"/>
    <w:rsid w:val="00CC0EC7"/>
    <w:rsid w:val="00CC63D7"/>
    <w:rsid w:val="00CC704B"/>
    <w:rsid w:val="00CC7386"/>
    <w:rsid w:val="00CD2AAD"/>
    <w:rsid w:val="00CD40DD"/>
    <w:rsid w:val="00CD6213"/>
    <w:rsid w:val="00CF18EC"/>
    <w:rsid w:val="00CF536D"/>
    <w:rsid w:val="00D00C59"/>
    <w:rsid w:val="00D012EB"/>
    <w:rsid w:val="00D02E13"/>
    <w:rsid w:val="00D038ED"/>
    <w:rsid w:val="00D06283"/>
    <w:rsid w:val="00D40F31"/>
    <w:rsid w:val="00D43F1C"/>
    <w:rsid w:val="00D5281E"/>
    <w:rsid w:val="00D8090C"/>
    <w:rsid w:val="00D83383"/>
    <w:rsid w:val="00D8492F"/>
    <w:rsid w:val="00DB2A45"/>
    <w:rsid w:val="00DB488F"/>
    <w:rsid w:val="00DC09D9"/>
    <w:rsid w:val="00DC4F04"/>
    <w:rsid w:val="00DC65D8"/>
    <w:rsid w:val="00DD3723"/>
    <w:rsid w:val="00E03419"/>
    <w:rsid w:val="00E10E9D"/>
    <w:rsid w:val="00E13BED"/>
    <w:rsid w:val="00E208F0"/>
    <w:rsid w:val="00E25EFF"/>
    <w:rsid w:val="00E26A27"/>
    <w:rsid w:val="00E272BF"/>
    <w:rsid w:val="00E31342"/>
    <w:rsid w:val="00E356DE"/>
    <w:rsid w:val="00E45D9C"/>
    <w:rsid w:val="00E5136A"/>
    <w:rsid w:val="00E51B43"/>
    <w:rsid w:val="00E61B9A"/>
    <w:rsid w:val="00E66DA3"/>
    <w:rsid w:val="00E74772"/>
    <w:rsid w:val="00E81360"/>
    <w:rsid w:val="00E82A43"/>
    <w:rsid w:val="00E87027"/>
    <w:rsid w:val="00EA2FD8"/>
    <w:rsid w:val="00EB339A"/>
    <w:rsid w:val="00EB78AC"/>
    <w:rsid w:val="00EC7020"/>
    <w:rsid w:val="00ED11CC"/>
    <w:rsid w:val="00EE0BB6"/>
    <w:rsid w:val="00EE11F7"/>
    <w:rsid w:val="00EE4F0A"/>
    <w:rsid w:val="00EE6778"/>
    <w:rsid w:val="00EF35EB"/>
    <w:rsid w:val="00EF558B"/>
    <w:rsid w:val="00F43F3A"/>
    <w:rsid w:val="00F52317"/>
    <w:rsid w:val="00F52B26"/>
    <w:rsid w:val="00F73250"/>
    <w:rsid w:val="00F81AAB"/>
    <w:rsid w:val="00F85E74"/>
    <w:rsid w:val="00F91EFA"/>
    <w:rsid w:val="00F95803"/>
    <w:rsid w:val="00F972C2"/>
    <w:rsid w:val="00F97F24"/>
    <w:rsid w:val="00FB5FAD"/>
    <w:rsid w:val="00FC5B70"/>
    <w:rsid w:val="00FC78DB"/>
    <w:rsid w:val="00FC7B1B"/>
    <w:rsid w:val="00FD63C1"/>
    <w:rsid w:val="00FF14E1"/>
    <w:rsid w:val="00FF248D"/>
    <w:rsid w:val="00FF409F"/>
    <w:rsid w:val="00FF74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B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3419"/>
    <w:pPr>
      <w:widowControl/>
      <w:spacing w:before="100" w:beforeAutospacing="1" w:after="100" w:afterAutospacing="1"/>
      <w:jc w:val="left"/>
    </w:pPr>
    <w:rPr>
      <w:rFonts w:ascii="Arial Unicode MS" w:hAnsi="Arial Unicode MS" w:cs="宋体"/>
      <w:color w:val="000000"/>
      <w:kern w:val="0"/>
      <w:sz w:val="24"/>
    </w:rPr>
  </w:style>
  <w:style w:type="character" w:styleId="a4">
    <w:name w:val="Hyperlink"/>
    <w:basedOn w:val="a0"/>
    <w:uiPriority w:val="99"/>
    <w:unhideWhenUsed/>
    <w:rsid w:val="00305BC9"/>
    <w:rPr>
      <w:color w:val="0563C1" w:themeColor="hyperlink"/>
      <w:u w:val="single"/>
    </w:rPr>
  </w:style>
  <w:style w:type="paragraph" w:styleId="a5">
    <w:name w:val="Document Map"/>
    <w:basedOn w:val="a"/>
    <w:link w:val="Char"/>
    <w:uiPriority w:val="99"/>
    <w:semiHidden/>
    <w:unhideWhenUsed/>
    <w:rsid w:val="00A7547C"/>
    <w:rPr>
      <w:rFonts w:ascii="宋体"/>
      <w:sz w:val="18"/>
      <w:szCs w:val="18"/>
    </w:rPr>
  </w:style>
  <w:style w:type="character" w:customStyle="1" w:styleId="Char">
    <w:name w:val="文档结构图 Char"/>
    <w:basedOn w:val="a0"/>
    <w:link w:val="a5"/>
    <w:uiPriority w:val="99"/>
    <w:semiHidden/>
    <w:rsid w:val="00A7547C"/>
    <w:rPr>
      <w:rFonts w:ascii="宋体" w:eastAsia="宋体" w:hAnsi="Times New Roman" w:cs="Times New Roman"/>
      <w:sz w:val="18"/>
      <w:szCs w:val="18"/>
    </w:rPr>
  </w:style>
  <w:style w:type="paragraph" w:styleId="a6">
    <w:name w:val="header"/>
    <w:basedOn w:val="a"/>
    <w:link w:val="Char0"/>
    <w:uiPriority w:val="99"/>
    <w:unhideWhenUsed/>
    <w:rsid w:val="00A754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7547C"/>
    <w:rPr>
      <w:rFonts w:ascii="Times New Roman" w:eastAsia="宋体" w:hAnsi="Times New Roman" w:cs="Times New Roman"/>
      <w:sz w:val="18"/>
      <w:szCs w:val="18"/>
    </w:rPr>
  </w:style>
  <w:style w:type="paragraph" w:styleId="a7">
    <w:name w:val="footer"/>
    <w:basedOn w:val="a"/>
    <w:link w:val="Char1"/>
    <w:uiPriority w:val="99"/>
    <w:unhideWhenUsed/>
    <w:rsid w:val="00A7547C"/>
    <w:pPr>
      <w:tabs>
        <w:tab w:val="center" w:pos="4153"/>
        <w:tab w:val="right" w:pos="8306"/>
      </w:tabs>
      <w:snapToGrid w:val="0"/>
      <w:jc w:val="left"/>
    </w:pPr>
    <w:rPr>
      <w:sz w:val="18"/>
      <w:szCs w:val="18"/>
    </w:rPr>
  </w:style>
  <w:style w:type="character" w:customStyle="1" w:styleId="Char1">
    <w:name w:val="页脚 Char"/>
    <w:basedOn w:val="a0"/>
    <w:link w:val="a7"/>
    <w:uiPriority w:val="99"/>
    <w:rsid w:val="00A7547C"/>
    <w:rPr>
      <w:rFonts w:ascii="Times New Roman" w:eastAsia="宋体" w:hAnsi="Times New Roman" w:cs="Times New Roman"/>
      <w:sz w:val="18"/>
      <w:szCs w:val="18"/>
    </w:rPr>
  </w:style>
  <w:style w:type="paragraph" w:styleId="a8">
    <w:name w:val="Balloon Text"/>
    <w:basedOn w:val="a"/>
    <w:link w:val="Char2"/>
    <w:uiPriority w:val="99"/>
    <w:semiHidden/>
    <w:unhideWhenUsed/>
    <w:rsid w:val="00A7547C"/>
    <w:rPr>
      <w:sz w:val="18"/>
      <w:szCs w:val="18"/>
    </w:rPr>
  </w:style>
  <w:style w:type="character" w:customStyle="1" w:styleId="Char2">
    <w:name w:val="批注框文本 Char"/>
    <w:basedOn w:val="a0"/>
    <w:link w:val="a8"/>
    <w:uiPriority w:val="99"/>
    <w:semiHidden/>
    <w:rsid w:val="00A7547C"/>
    <w:rPr>
      <w:rFonts w:ascii="Times New Roman" w:eastAsia="宋体" w:hAnsi="Times New Roman" w:cs="Times New Roman"/>
      <w:sz w:val="18"/>
      <w:szCs w:val="18"/>
    </w:rPr>
  </w:style>
  <w:style w:type="character" w:styleId="a9">
    <w:name w:val="annotation reference"/>
    <w:basedOn w:val="a0"/>
    <w:uiPriority w:val="99"/>
    <w:semiHidden/>
    <w:unhideWhenUsed/>
    <w:rsid w:val="00EC7020"/>
    <w:rPr>
      <w:sz w:val="21"/>
      <w:szCs w:val="21"/>
    </w:rPr>
  </w:style>
  <w:style w:type="paragraph" w:styleId="aa">
    <w:name w:val="annotation text"/>
    <w:basedOn w:val="a"/>
    <w:link w:val="Char3"/>
    <w:uiPriority w:val="99"/>
    <w:semiHidden/>
    <w:unhideWhenUsed/>
    <w:rsid w:val="00EC7020"/>
    <w:pPr>
      <w:jc w:val="left"/>
    </w:pPr>
  </w:style>
  <w:style w:type="character" w:customStyle="1" w:styleId="Char3">
    <w:name w:val="批注文字 Char"/>
    <w:basedOn w:val="a0"/>
    <w:link w:val="aa"/>
    <w:uiPriority w:val="99"/>
    <w:semiHidden/>
    <w:rsid w:val="00EC7020"/>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EC7020"/>
    <w:rPr>
      <w:b/>
      <w:bCs/>
    </w:rPr>
  </w:style>
  <w:style w:type="character" w:customStyle="1" w:styleId="Char4">
    <w:name w:val="批注主题 Char"/>
    <w:basedOn w:val="Char3"/>
    <w:link w:val="ab"/>
    <w:uiPriority w:val="99"/>
    <w:semiHidden/>
    <w:rsid w:val="00EC7020"/>
    <w:rPr>
      <w:rFonts w:ascii="Times New Roman" w:eastAsia="宋体" w:hAnsi="Times New Roman" w:cs="Times New Roman"/>
      <w:b/>
      <w:bCs/>
      <w:szCs w:val="24"/>
    </w:rPr>
  </w:style>
  <w:style w:type="paragraph" w:styleId="ac">
    <w:name w:val="List Paragraph"/>
    <w:basedOn w:val="a"/>
    <w:uiPriority w:val="34"/>
    <w:qFormat/>
    <w:rsid w:val="00651647"/>
    <w:pPr>
      <w:ind w:firstLineChars="200" w:firstLine="420"/>
    </w:pPr>
  </w:style>
  <w:style w:type="table" w:styleId="ad">
    <w:name w:val="Table Grid"/>
    <w:basedOn w:val="a1"/>
    <w:uiPriority w:val="59"/>
    <w:rsid w:val="0014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245C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754807">
      <w:bodyDiv w:val="1"/>
      <w:marLeft w:val="0"/>
      <w:marRight w:val="0"/>
      <w:marTop w:val="0"/>
      <w:marBottom w:val="0"/>
      <w:divBdr>
        <w:top w:val="none" w:sz="0" w:space="0" w:color="auto"/>
        <w:left w:val="none" w:sz="0" w:space="0" w:color="auto"/>
        <w:bottom w:val="none" w:sz="0" w:space="0" w:color="auto"/>
        <w:right w:val="none" w:sz="0" w:space="0" w:color="auto"/>
      </w:divBdr>
    </w:div>
    <w:div w:id="20399966">
      <w:bodyDiv w:val="1"/>
      <w:marLeft w:val="0"/>
      <w:marRight w:val="0"/>
      <w:marTop w:val="0"/>
      <w:marBottom w:val="0"/>
      <w:divBdr>
        <w:top w:val="none" w:sz="0" w:space="0" w:color="auto"/>
        <w:left w:val="none" w:sz="0" w:space="0" w:color="auto"/>
        <w:bottom w:val="none" w:sz="0" w:space="0" w:color="auto"/>
        <w:right w:val="none" w:sz="0" w:space="0" w:color="auto"/>
      </w:divBdr>
    </w:div>
    <w:div w:id="34283361">
      <w:bodyDiv w:val="1"/>
      <w:marLeft w:val="0"/>
      <w:marRight w:val="0"/>
      <w:marTop w:val="0"/>
      <w:marBottom w:val="0"/>
      <w:divBdr>
        <w:top w:val="none" w:sz="0" w:space="0" w:color="auto"/>
        <w:left w:val="none" w:sz="0" w:space="0" w:color="auto"/>
        <w:bottom w:val="none" w:sz="0" w:space="0" w:color="auto"/>
        <w:right w:val="none" w:sz="0" w:space="0" w:color="auto"/>
      </w:divBdr>
    </w:div>
    <w:div w:id="41289503">
      <w:bodyDiv w:val="1"/>
      <w:marLeft w:val="0"/>
      <w:marRight w:val="0"/>
      <w:marTop w:val="0"/>
      <w:marBottom w:val="0"/>
      <w:divBdr>
        <w:top w:val="none" w:sz="0" w:space="0" w:color="auto"/>
        <w:left w:val="none" w:sz="0" w:space="0" w:color="auto"/>
        <w:bottom w:val="none" w:sz="0" w:space="0" w:color="auto"/>
        <w:right w:val="none" w:sz="0" w:space="0" w:color="auto"/>
      </w:divBdr>
    </w:div>
    <w:div w:id="50738896">
      <w:bodyDiv w:val="1"/>
      <w:marLeft w:val="0"/>
      <w:marRight w:val="0"/>
      <w:marTop w:val="0"/>
      <w:marBottom w:val="0"/>
      <w:divBdr>
        <w:top w:val="none" w:sz="0" w:space="0" w:color="auto"/>
        <w:left w:val="none" w:sz="0" w:space="0" w:color="auto"/>
        <w:bottom w:val="none" w:sz="0" w:space="0" w:color="auto"/>
        <w:right w:val="none" w:sz="0" w:space="0" w:color="auto"/>
      </w:divBdr>
    </w:div>
    <w:div w:id="99112345">
      <w:bodyDiv w:val="1"/>
      <w:marLeft w:val="0"/>
      <w:marRight w:val="0"/>
      <w:marTop w:val="0"/>
      <w:marBottom w:val="0"/>
      <w:divBdr>
        <w:top w:val="none" w:sz="0" w:space="0" w:color="auto"/>
        <w:left w:val="none" w:sz="0" w:space="0" w:color="auto"/>
        <w:bottom w:val="none" w:sz="0" w:space="0" w:color="auto"/>
        <w:right w:val="none" w:sz="0" w:space="0" w:color="auto"/>
      </w:divBdr>
    </w:div>
    <w:div w:id="154227685">
      <w:bodyDiv w:val="1"/>
      <w:marLeft w:val="0"/>
      <w:marRight w:val="0"/>
      <w:marTop w:val="0"/>
      <w:marBottom w:val="0"/>
      <w:divBdr>
        <w:top w:val="none" w:sz="0" w:space="0" w:color="auto"/>
        <w:left w:val="none" w:sz="0" w:space="0" w:color="auto"/>
        <w:bottom w:val="none" w:sz="0" w:space="0" w:color="auto"/>
        <w:right w:val="none" w:sz="0" w:space="0" w:color="auto"/>
      </w:divBdr>
    </w:div>
    <w:div w:id="155656153">
      <w:bodyDiv w:val="1"/>
      <w:marLeft w:val="0"/>
      <w:marRight w:val="0"/>
      <w:marTop w:val="0"/>
      <w:marBottom w:val="0"/>
      <w:divBdr>
        <w:top w:val="none" w:sz="0" w:space="0" w:color="auto"/>
        <w:left w:val="none" w:sz="0" w:space="0" w:color="auto"/>
        <w:bottom w:val="none" w:sz="0" w:space="0" w:color="auto"/>
        <w:right w:val="none" w:sz="0" w:space="0" w:color="auto"/>
      </w:divBdr>
    </w:div>
    <w:div w:id="162746977">
      <w:bodyDiv w:val="1"/>
      <w:marLeft w:val="0"/>
      <w:marRight w:val="0"/>
      <w:marTop w:val="0"/>
      <w:marBottom w:val="0"/>
      <w:divBdr>
        <w:top w:val="none" w:sz="0" w:space="0" w:color="auto"/>
        <w:left w:val="none" w:sz="0" w:space="0" w:color="auto"/>
        <w:bottom w:val="none" w:sz="0" w:space="0" w:color="auto"/>
        <w:right w:val="none" w:sz="0" w:space="0" w:color="auto"/>
      </w:divBdr>
    </w:div>
    <w:div w:id="163016556">
      <w:bodyDiv w:val="1"/>
      <w:marLeft w:val="0"/>
      <w:marRight w:val="0"/>
      <w:marTop w:val="0"/>
      <w:marBottom w:val="0"/>
      <w:divBdr>
        <w:top w:val="none" w:sz="0" w:space="0" w:color="auto"/>
        <w:left w:val="none" w:sz="0" w:space="0" w:color="auto"/>
        <w:bottom w:val="none" w:sz="0" w:space="0" w:color="auto"/>
        <w:right w:val="none" w:sz="0" w:space="0" w:color="auto"/>
      </w:divBdr>
    </w:div>
    <w:div w:id="175385829">
      <w:bodyDiv w:val="1"/>
      <w:marLeft w:val="0"/>
      <w:marRight w:val="0"/>
      <w:marTop w:val="0"/>
      <w:marBottom w:val="0"/>
      <w:divBdr>
        <w:top w:val="none" w:sz="0" w:space="0" w:color="auto"/>
        <w:left w:val="none" w:sz="0" w:space="0" w:color="auto"/>
        <w:bottom w:val="none" w:sz="0" w:space="0" w:color="auto"/>
        <w:right w:val="none" w:sz="0" w:space="0" w:color="auto"/>
      </w:divBdr>
    </w:div>
    <w:div w:id="177164792">
      <w:bodyDiv w:val="1"/>
      <w:marLeft w:val="0"/>
      <w:marRight w:val="0"/>
      <w:marTop w:val="0"/>
      <w:marBottom w:val="0"/>
      <w:divBdr>
        <w:top w:val="none" w:sz="0" w:space="0" w:color="auto"/>
        <w:left w:val="none" w:sz="0" w:space="0" w:color="auto"/>
        <w:bottom w:val="none" w:sz="0" w:space="0" w:color="auto"/>
        <w:right w:val="none" w:sz="0" w:space="0" w:color="auto"/>
      </w:divBdr>
    </w:div>
    <w:div w:id="224754814">
      <w:bodyDiv w:val="1"/>
      <w:marLeft w:val="0"/>
      <w:marRight w:val="0"/>
      <w:marTop w:val="0"/>
      <w:marBottom w:val="0"/>
      <w:divBdr>
        <w:top w:val="none" w:sz="0" w:space="0" w:color="auto"/>
        <w:left w:val="none" w:sz="0" w:space="0" w:color="auto"/>
        <w:bottom w:val="none" w:sz="0" w:space="0" w:color="auto"/>
        <w:right w:val="none" w:sz="0" w:space="0" w:color="auto"/>
      </w:divBdr>
    </w:div>
    <w:div w:id="233468824">
      <w:bodyDiv w:val="1"/>
      <w:marLeft w:val="0"/>
      <w:marRight w:val="0"/>
      <w:marTop w:val="0"/>
      <w:marBottom w:val="0"/>
      <w:divBdr>
        <w:top w:val="none" w:sz="0" w:space="0" w:color="auto"/>
        <w:left w:val="none" w:sz="0" w:space="0" w:color="auto"/>
        <w:bottom w:val="none" w:sz="0" w:space="0" w:color="auto"/>
        <w:right w:val="none" w:sz="0" w:space="0" w:color="auto"/>
      </w:divBdr>
    </w:div>
    <w:div w:id="247809191">
      <w:bodyDiv w:val="1"/>
      <w:marLeft w:val="0"/>
      <w:marRight w:val="0"/>
      <w:marTop w:val="0"/>
      <w:marBottom w:val="0"/>
      <w:divBdr>
        <w:top w:val="none" w:sz="0" w:space="0" w:color="auto"/>
        <w:left w:val="none" w:sz="0" w:space="0" w:color="auto"/>
        <w:bottom w:val="none" w:sz="0" w:space="0" w:color="auto"/>
        <w:right w:val="none" w:sz="0" w:space="0" w:color="auto"/>
      </w:divBdr>
    </w:div>
    <w:div w:id="276109114">
      <w:bodyDiv w:val="1"/>
      <w:marLeft w:val="0"/>
      <w:marRight w:val="0"/>
      <w:marTop w:val="0"/>
      <w:marBottom w:val="0"/>
      <w:divBdr>
        <w:top w:val="none" w:sz="0" w:space="0" w:color="auto"/>
        <w:left w:val="none" w:sz="0" w:space="0" w:color="auto"/>
        <w:bottom w:val="none" w:sz="0" w:space="0" w:color="auto"/>
        <w:right w:val="none" w:sz="0" w:space="0" w:color="auto"/>
      </w:divBdr>
    </w:div>
    <w:div w:id="295768566">
      <w:bodyDiv w:val="1"/>
      <w:marLeft w:val="0"/>
      <w:marRight w:val="0"/>
      <w:marTop w:val="0"/>
      <w:marBottom w:val="0"/>
      <w:divBdr>
        <w:top w:val="none" w:sz="0" w:space="0" w:color="auto"/>
        <w:left w:val="none" w:sz="0" w:space="0" w:color="auto"/>
        <w:bottom w:val="none" w:sz="0" w:space="0" w:color="auto"/>
        <w:right w:val="none" w:sz="0" w:space="0" w:color="auto"/>
      </w:divBdr>
    </w:div>
    <w:div w:id="311100328">
      <w:bodyDiv w:val="1"/>
      <w:marLeft w:val="0"/>
      <w:marRight w:val="0"/>
      <w:marTop w:val="0"/>
      <w:marBottom w:val="0"/>
      <w:divBdr>
        <w:top w:val="none" w:sz="0" w:space="0" w:color="auto"/>
        <w:left w:val="none" w:sz="0" w:space="0" w:color="auto"/>
        <w:bottom w:val="none" w:sz="0" w:space="0" w:color="auto"/>
        <w:right w:val="none" w:sz="0" w:space="0" w:color="auto"/>
      </w:divBdr>
    </w:div>
    <w:div w:id="311719805">
      <w:bodyDiv w:val="1"/>
      <w:marLeft w:val="0"/>
      <w:marRight w:val="0"/>
      <w:marTop w:val="0"/>
      <w:marBottom w:val="0"/>
      <w:divBdr>
        <w:top w:val="none" w:sz="0" w:space="0" w:color="auto"/>
        <w:left w:val="none" w:sz="0" w:space="0" w:color="auto"/>
        <w:bottom w:val="none" w:sz="0" w:space="0" w:color="auto"/>
        <w:right w:val="none" w:sz="0" w:space="0" w:color="auto"/>
      </w:divBdr>
    </w:div>
    <w:div w:id="344596708">
      <w:bodyDiv w:val="1"/>
      <w:marLeft w:val="0"/>
      <w:marRight w:val="0"/>
      <w:marTop w:val="0"/>
      <w:marBottom w:val="0"/>
      <w:divBdr>
        <w:top w:val="none" w:sz="0" w:space="0" w:color="auto"/>
        <w:left w:val="none" w:sz="0" w:space="0" w:color="auto"/>
        <w:bottom w:val="none" w:sz="0" w:space="0" w:color="auto"/>
        <w:right w:val="none" w:sz="0" w:space="0" w:color="auto"/>
      </w:divBdr>
    </w:div>
    <w:div w:id="348719112">
      <w:bodyDiv w:val="1"/>
      <w:marLeft w:val="0"/>
      <w:marRight w:val="0"/>
      <w:marTop w:val="0"/>
      <w:marBottom w:val="0"/>
      <w:divBdr>
        <w:top w:val="none" w:sz="0" w:space="0" w:color="auto"/>
        <w:left w:val="none" w:sz="0" w:space="0" w:color="auto"/>
        <w:bottom w:val="none" w:sz="0" w:space="0" w:color="auto"/>
        <w:right w:val="none" w:sz="0" w:space="0" w:color="auto"/>
      </w:divBdr>
    </w:div>
    <w:div w:id="367687959">
      <w:bodyDiv w:val="1"/>
      <w:marLeft w:val="0"/>
      <w:marRight w:val="0"/>
      <w:marTop w:val="0"/>
      <w:marBottom w:val="0"/>
      <w:divBdr>
        <w:top w:val="none" w:sz="0" w:space="0" w:color="auto"/>
        <w:left w:val="none" w:sz="0" w:space="0" w:color="auto"/>
        <w:bottom w:val="none" w:sz="0" w:space="0" w:color="auto"/>
        <w:right w:val="none" w:sz="0" w:space="0" w:color="auto"/>
      </w:divBdr>
    </w:div>
    <w:div w:id="381636129">
      <w:bodyDiv w:val="1"/>
      <w:marLeft w:val="0"/>
      <w:marRight w:val="0"/>
      <w:marTop w:val="0"/>
      <w:marBottom w:val="0"/>
      <w:divBdr>
        <w:top w:val="none" w:sz="0" w:space="0" w:color="auto"/>
        <w:left w:val="none" w:sz="0" w:space="0" w:color="auto"/>
        <w:bottom w:val="none" w:sz="0" w:space="0" w:color="auto"/>
        <w:right w:val="none" w:sz="0" w:space="0" w:color="auto"/>
      </w:divBdr>
    </w:div>
    <w:div w:id="399249294">
      <w:bodyDiv w:val="1"/>
      <w:marLeft w:val="0"/>
      <w:marRight w:val="0"/>
      <w:marTop w:val="0"/>
      <w:marBottom w:val="0"/>
      <w:divBdr>
        <w:top w:val="none" w:sz="0" w:space="0" w:color="auto"/>
        <w:left w:val="none" w:sz="0" w:space="0" w:color="auto"/>
        <w:bottom w:val="none" w:sz="0" w:space="0" w:color="auto"/>
        <w:right w:val="none" w:sz="0" w:space="0" w:color="auto"/>
      </w:divBdr>
    </w:div>
    <w:div w:id="420369350">
      <w:bodyDiv w:val="1"/>
      <w:marLeft w:val="0"/>
      <w:marRight w:val="0"/>
      <w:marTop w:val="0"/>
      <w:marBottom w:val="0"/>
      <w:divBdr>
        <w:top w:val="none" w:sz="0" w:space="0" w:color="auto"/>
        <w:left w:val="none" w:sz="0" w:space="0" w:color="auto"/>
        <w:bottom w:val="none" w:sz="0" w:space="0" w:color="auto"/>
        <w:right w:val="none" w:sz="0" w:space="0" w:color="auto"/>
      </w:divBdr>
    </w:div>
    <w:div w:id="450394587">
      <w:bodyDiv w:val="1"/>
      <w:marLeft w:val="0"/>
      <w:marRight w:val="0"/>
      <w:marTop w:val="0"/>
      <w:marBottom w:val="0"/>
      <w:divBdr>
        <w:top w:val="none" w:sz="0" w:space="0" w:color="auto"/>
        <w:left w:val="none" w:sz="0" w:space="0" w:color="auto"/>
        <w:bottom w:val="none" w:sz="0" w:space="0" w:color="auto"/>
        <w:right w:val="none" w:sz="0" w:space="0" w:color="auto"/>
      </w:divBdr>
    </w:div>
    <w:div w:id="455485073">
      <w:bodyDiv w:val="1"/>
      <w:marLeft w:val="0"/>
      <w:marRight w:val="0"/>
      <w:marTop w:val="0"/>
      <w:marBottom w:val="0"/>
      <w:divBdr>
        <w:top w:val="none" w:sz="0" w:space="0" w:color="auto"/>
        <w:left w:val="none" w:sz="0" w:space="0" w:color="auto"/>
        <w:bottom w:val="none" w:sz="0" w:space="0" w:color="auto"/>
        <w:right w:val="none" w:sz="0" w:space="0" w:color="auto"/>
      </w:divBdr>
    </w:div>
    <w:div w:id="492380194">
      <w:bodyDiv w:val="1"/>
      <w:marLeft w:val="0"/>
      <w:marRight w:val="0"/>
      <w:marTop w:val="0"/>
      <w:marBottom w:val="0"/>
      <w:divBdr>
        <w:top w:val="none" w:sz="0" w:space="0" w:color="auto"/>
        <w:left w:val="none" w:sz="0" w:space="0" w:color="auto"/>
        <w:bottom w:val="none" w:sz="0" w:space="0" w:color="auto"/>
        <w:right w:val="none" w:sz="0" w:space="0" w:color="auto"/>
      </w:divBdr>
    </w:div>
    <w:div w:id="501285372">
      <w:bodyDiv w:val="1"/>
      <w:marLeft w:val="0"/>
      <w:marRight w:val="0"/>
      <w:marTop w:val="0"/>
      <w:marBottom w:val="0"/>
      <w:divBdr>
        <w:top w:val="none" w:sz="0" w:space="0" w:color="auto"/>
        <w:left w:val="none" w:sz="0" w:space="0" w:color="auto"/>
        <w:bottom w:val="none" w:sz="0" w:space="0" w:color="auto"/>
        <w:right w:val="none" w:sz="0" w:space="0" w:color="auto"/>
      </w:divBdr>
    </w:div>
    <w:div w:id="503595639">
      <w:bodyDiv w:val="1"/>
      <w:marLeft w:val="0"/>
      <w:marRight w:val="0"/>
      <w:marTop w:val="0"/>
      <w:marBottom w:val="0"/>
      <w:divBdr>
        <w:top w:val="none" w:sz="0" w:space="0" w:color="auto"/>
        <w:left w:val="none" w:sz="0" w:space="0" w:color="auto"/>
        <w:bottom w:val="none" w:sz="0" w:space="0" w:color="auto"/>
        <w:right w:val="none" w:sz="0" w:space="0" w:color="auto"/>
      </w:divBdr>
    </w:div>
    <w:div w:id="518592667">
      <w:bodyDiv w:val="1"/>
      <w:marLeft w:val="0"/>
      <w:marRight w:val="0"/>
      <w:marTop w:val="0"/>
      <w:marBottom w:val="0"/>
      <w:divBdr>
        <w:top w:val="none" w:sz="0" w:space="0" w:color="auto"/>
        <w:left w:val="none" w:sz="0" w:space="0" w:color="auto"/>
        <w:bottom w:val="none" w:sz="0" w:space="0" w:color="auto"/>
        <w:right w:val="none" w:sz="0" w:space="0" w:color="auto"/>
      </w:divBdr>
    </w:div>
    <w:div w:id="525141923">
      <w:bodyDiv w:val="1"/>
      <w:marLeft w:val="0"/>
      <w:marRight w:val="0"/>
      <w:marTop w:val="0"/>
      <w:marBottom w:val="0"/>
      <w:divBdr>
        <w:top w:val="none" w:sz="0" w:space="0" w:color="auto"/>
        <w:left w:val="none" w:sz="0" w:space="0" w:color="auto"/>
        <w:bottom w:val="none" w:sz="0" w:space="0" w:color="auto"/>
        <w:right w:val="none" w:sz="0" w:space="0" w:color="auto"/>
      </w:divBdr>
    </w:div>
    <w:div w:id="528840043">
      <w:bodyDiv w:val="1"/>
      <w:marLeft w:val="0"/>
      <w:marRight w:val="0"/>
      <w:marTop w:val="0"/>
      <w:marBottom w:val="0"/>
      <w:divBdr>
        <w:top w:val="none" w:sz="0" w:space="0" w:color="auto"/>
        <w:left w:val="none" w:sz="0" w:space="0" w:color="auto"/>
        <w:bottom w:val="none" w:sz="0" w:space="0" w:color="auto"/>
        <w:right w:val="none" w:sz="0" w:space="0" w:color="auto"/>
      </w:divBdr>
    </w:div>
    <w:div w:id="532155510">
      <w:bodyDiv w:val="1"/>
      <w:marLeft w:val="0"/>
      <w:marRight w:val="0"/>
      <w:marTop w:val="0"/>
      <w:marBottom w:val="0"/>
      <w:divBdr>
        <w:top w:val="none" w:sz="0" w:space="0" w:color="auto"/>
        <w:left w:val="none" w:sz="0" w:space="0" w:color="auto"/>
        <w:bottom w:val="none" w:sz="0" w:space="0" w:color="auto"/>
        <w:right w:val="none" w:sz="0" w:space="0" w:color="auto"/>
      </w:divBdr>
    </w:div>
    <w:div w:id="540942409">
      <w:bodyDiv w:val="1"/>
      <w:marLeft w:val="0"/>
      <w:marRight w:val="0"/>
      <w:marTop w:val="0"/>
      <w:marBottom w:val="0"/>
      <w:divBdr>
        <w:top w:val="none" w:sz="0" w:space="0" w:color="auto"/>
        <w:left w:val="none" w:sz="0" w:space="0" w:color="auto"/>
        <w:bottom w:val="none" w:sz="0" w:space="0" w:color="auto"/>
        <w:right w:val="none" w:sz="0" w:space="0" w:color="auto"/>
      </w:divBdr>
    </w:div>
    <w:div w:id="636573270">
      <w:bodyDiv w:val="1"/>
      <w:marLeft w:val="0"/>
      <w:marRight w:val="0"/>
      <w:marTop w:val="0"/>
      <w:marBottom w:val="0"/>
      <w:divBdr>
        <w:top w:val="none" w:sz="0" w:space="0" w:color="auto"/>
        <w:left w:val="none" w:sz="0" w:space="0" w:color="auto"/>
        <w:bottom w:val="none" w:sz="0" w:space="0" w:color="auto"/>
        <w:right w:val="none" w:sz="0" w:space="0" w:color="auto"/>
      </w:divBdr>
    </w:div>
    <w:div w:id="661277566">
      <w:bodyDiv w:val="1"/>
      <w:marLeft w:val="0"/>
      <w:marRight w:val="0"/>
      <w:marTop w:val="0"/>
      <w:marBottom w:val="0"/>
      <w:divBdr>
        <w:top w:val="none" w:sz="0" w:space="0" w:color="auto"/>
        <w:left w:val="none" w:sz="0" w:space="0" w:color="auto"/>
        <w:bottom w:val="none" w:sz="0" w:space="0" w:color="auto"/>
        <w:right w:val="none" w:sz="0" w:space="0" w:color="auto"/>
      </w:divBdr>
    </w:div>
    <w:div w:id="668598523">
      <w:bodyDiv w:val="1"/>
      <w:marLeft w:val="0"/>
      <w:marRight w:val="0"/>
      <w:marTop w:val="0"/>
      <w:marBottom w:val="0"/>
      <w:divBdr>
        <w:top w:val="none" w:sz="0" w:space="0" w:color="auto"/>
        <w:left w:val="none" w:sz="0" w:space="0" w:color="auto"/>
        <w:bottom w:val="none" w:sz="0" w:space="0" w:color="auto"/>
        <w:right w:val="none" w:sz="0" w:space="0" w:color="auto"/>
      </w:divBdr>
    </w:div>
    <w:div w:id="691883430">
      <w:bodyDiv w:val="1"/>
      <w:marLeft w:val="0"/>
      <w:marRight w:val="0"/>
      <w:marTop w:val="0"/>
      <w:marBottom w:val="0"/>
      <w:divBdr>
        <w:top w:val="none" w:sz="0" w:space="0" w:color="auto"/>
        <w:left w:val="none" w:sz="0" w:space="0" w:color="auto"/>
        <w:bottom w:val="none" w:sz="0" w:space="0" w:color="auto"/>
        <w:right w:val="none" w:sz="0" w:space="0" w:color="auto"/>
      </w:divBdr>
    </w:div>
    <w:div w:id="703529157">
      <w:bodyDiv w:val="1"/>
      <w:marLeft w:val="0"/>
      <w:marRight w:val="0"/>
      <w:marTop w:val="0"/>
      <w:marBottom w:val="0"/>
      <w:divBdr>
        <w:top w:val="none" w:sz="0" w:space="0" w:color="auto"/>
        <w:left w:val="none" w:sz="0" w:space="0" w:color="auto"/>
        <w:bottom w:val="none" w:sz="0" w:space="0" w:color="auto"/>
        <w:right w:val="none" w:sz="0" w:space="0" w:color="auto"/>
      </w:divBdr>
    </w:div>
    <w:div w:id="719861752">
      <w:bodyDiv w:val="1"/>
      <w:marLeft w:val="0"/>
      <w:marRight w:val="0"/>
      <w:marTop w:val="0"/>
      <w:marBottom w:val="0"/>
      <w:divBdr>
        <w:top w:val="none" w:sz="0" w:space="0" w:color="auto"/>
        <w:left w:val="none" w:sz="0" w:space="0" w:color="auto"/>
        <w:bottom w:val="none" w:sz="0" w:space="0" w:color="auto"/>
        <w:right w:val="none" w:sz="0" w:space="0" w:color="auto"/>
      </w:divBdr>
    </w:div>
    <w:div w:id="771629991">
      <w:bodyDiv w:val="1"/>
      <w:marLeft w:val="0"/>
      <w:marRight w:val="0"/>
      <w:marTop w:val="0"/>
      <w:marBottom w:val="0"/>
      <w:divBdr>
        <w:top w:val="none" w:sz="0" w:space="0" w:color="auto"/>
        <w:left w:val="none" w:sz="0" w:space="0" w:color="auto"/>
        <w:bottom w:val="none" w:sz="0" w:space="0" w:color="auto"/>
        <w:right w:val="none" w:sz="0" w:space="0" w:color="auto"/>
      </w:divBdr>
    </w:div>
    <w:div w:id="811482562">
      <w:bodyDiv w:val="1"/>
      <w:marLeft w:val="0"/>
      <w:marRight w:val="0"/>
      <w:marTop w:val="0"/>
      <w:marBottom w:val="0"/>
      <w:divBdr>
        <w:top w:val="none" w:sz="0" w:space="0" w:color="auto"/>
        <w:left w:val="none" w:sz="0" w:space="0" w:color="auto"/>
        <w:bottom w:val="none" w:sz="0" w:space="0" w:color="auto"/>
        <w:right w:val="none" w:sz="0" w:space="0" w:color="auto"/>
      </w:divBdr>
    </w:div>
    <w:div w:id="811946882">
      <w:bodyDiv w:val="1"/>
      <w:marLeft w:val="0"/>
      <w:marRight w:val="0"/>
      <w:marTop w:val="0"/>
      <w:marBottom w:val="0"/>
      <w:divBdr>
        <w:top w:val="none" w:sz="0" w:space="0" w:color="auto"/>
        <w:left w:val="none" w:sz="0" w:space="0" w:color="auto"/>
        <w:bottom w:val="none" w:sz="0" w:space="0" w:color="auto"/>
        <w:right w:val="none" w:sz="0" w:space="0" w:color="auto"/>
      </w:divBdr>
    </w:div>
    <w:div w:id="812482341">
      <w:bodyDiv w:val="1"/>
      <w:marLeft w:val="0"/>
      <w:marRight w:val="0"/>
      <w:marTop w:val="0"/>
      <w:marBottom w:val="0"/>
      <w:divBdr>
        <w:top w:val="none" w:sz="0" w:space="0" w:color="auto"/>
        <w:left w:val="none" w:sz="0" w:space="0" w:color="auto"/>
        <w:bottom w:val="none" w:sz="0" w:space="0" w:color="auto"/>
        <w:right w:val="none" w:sz="0" w:space="0" w:color="auto"/>
      </w:divBdr>
    </w:div>
    <w:div w:id="819661617">
      <w:bodyDiv w:val="1"/>
      <w:marLeft w:val="0"/>
      <w:marRight w:val="0"/>
      <w:marTop w:val="0"/>
      <w:marBottom w:val="0"/>
      <w:divBdr>
        <w:top w:val="none" w:sz="0" w:space="0" w:color="auto"/>
        <w:left w:val="none" w:sz="0" w:space="0" w:color="auto"/>
        <w:bottom w:val="none" w:sz="0" w:space="0" w:color="auto"/>
        <w:right w:val="none" w:sz="0" w:space="0" w:color="auto"/>
      </w:divBdr>
    </w:div>
    <w:div w:id="836578885">
      <w:bodyDiv w:val="1"/>
      <w:marLeft w:val="0"/>
      <w:marRight w:val="0"/>
      <w:marTop w:val="0"/>
      <w:marBottom w:val="0"/>
      <w:divBdr>
        <w:top w:val="none" w:sz="0" w:space="0" w:color="auto"/>
        <w:left w:val="none" w:sz="0" w:space="0" w:color="auto"/>
        <w:bottom w:val="none" w:sz="0" w:space="0" w:color="auto"/>
        <w:right w:val="none" w:sz="0" w:space="0" w:color="auto"/>
      </w:divBdr>
    </w:div>
    <w:div w:id="840197226">
      <w:bodyDiv w:val="1"/>
      <w:marLeft w:val="0"/>
      <w:marRight w:val="0"/>
      <w:marTop w:val="0"/>
      <w:marBottom w:val="0"/>
      <w:divBdr>
        <w:top w:val="none" w:sz="0" w:space="0" w:color="auto"/>
        <w:left w:val="none" w:sz="0" w:space="0" w:color="auto"/>
        <w:bottom w:val="none" w:sz="0" w:space="0" w:color="auto"/>
        <w:right w:val="none" w:sz="0" w:space="0" w:color="auto"/>
      </w:divBdr>
    </w:div>
    <w:div w:id="841163627">
      <w:bodyDiv w:val="1"/>
      <w:marLeft w:val="0"/>
      <w:marRight w:val="0"/>
      <w:marTop w:val="0"/>
      <w:marBottom w:val="0"/>
      <w:divBdr>
        <w:top w:val="none" w:sz="0" w:space="0" w:color="auto"/>
        <w:left w:val="none" w:sz="0" w:space="0" w:color="auto"/>
        <w:bottom w:val="none" w:sz="0" w:space="0" w:color="auto"/>
        <w:right w:val="none" w:sz="0" w:space="0" w:color="auto"/>
      </w:divBdr>
    </w:div>
    <w:div w:id="848325402">
      <w:bodyDiv w:val="1"/>
      <w:marLeft w:val="0"/>
      <w:marRight w:val="0"/>
      <w:marTop w:val="0"/>
      <w:marBottom w:val="0"/>
      <w:divBdr>
        <w:top w:val="none" w:sz="0" w:space="0" w:color="auto"/>
        <w:left w:val="none" w:sz="0" w:space="0" w:color="auto"/>
        <w:bottom w:val="none" w:sz="0" w:space="0" w:color="auto"/>
        <w:right w:val="none" w:sz="0" w:space="0" w:color="auto"/>
      </w:divBdr>
    </w:div>
    <w:div w:id="861354821">
      <w:bodyDiv w:val="1"/>
      <w:marLeft w:val="0"/>
      <w:marRight w:val="0"/>
      <w:marTop w:val="0"/>
      <w:marBottom w:val="0"/>
      <w:divBdr>
        <w:top w:val="none" w:sz="0" w:space="0" w:color="auto"/>
        <w:left w:val="none" w:sz="0" w:space="0" w:color="auto"/>
        <w:bottom w:val="none" w:sz="0" w:space="0" w:color="auto"/>
        <w:right w:val="none" w:sz="0" w:space="0" w:color="auto"/>
      </w:divBdr>
    </w:div>
    <w:div w:id="874735398">
      <w:bodyDiv w:val="1"/>
      <w:marLeft w:val="0"/>
      <w:marRight w:val="0"/>
      <w:marTop w:val="0"/>
      <w:marBottom w:val="0"/>
      <w:divBdr>
        <w:top w:val="none" w:sz="0" w:space="0" w:color="auto"/>
        <w:left w:val="none" w:sz="0" w:space="0" w:color="auto"/>
        <w:bottom w:val="none" w:sz="0" w:space="0" w:color="auto"/>
        <w:right w:val="none" w:sz="0" w:space="0" w:color="auto"/>
      </w:divBdr>
    </w:div>
    <w:div w:id="894514093">
      <w:bodyDiv w:val="1"/>
      <w:marLeft w:val="0"/>
      <w:marRight w:val="0"/>
      <w:marTop w:val="0"/>
      <w:marBottom w:val="0"/>
      <w:divBdr>
        <w:top w:val="none" w:sz="0" w:space="0" w:color="auto"/>
        <w:left w:val="none" w:sz="0" w:space="0" w:color="auto"/>
        <w:bottom w:val="none" w:sz="0" w:space="0" w:color="auto"/>
        <w:right w:val="none" w:sz="0" w:space="0" w:color="auto"/>
      </w:divBdr>
    </w:div>
    <w:div w:id="908342600">
      <w:bodyDiv w:val="1"/>
      <w:marLeft w:val="0"/>
      <w:marRight w:val="0"/>
      <w:marTop w:val="0"/>
      <w:marBottom w:val="0"/>
      <w:divBdr>
        <w:top w:val="none" w:sz="0" w:space="0" w:color="auto"/>
        <w:left w:val="none" w:sz="0" w:space="0" w:color="auto"/>
        <w:bottom w:val="none" w:sz="0" w:space="0" w:color="auto"/>
        <w:right w:val="none" w:sz="0" w:space="0" w:color="auto"/>
      </w:divBdr>
    </w:div>
    <w:div w:id="929628235">
      <w:bodyDiv w:val="1"/>
      <w:marLeft w:val="0"/>
      <w:marRight w:val="0"/>
      <w:marTop w:val="0"/>
      <w:marBottom w:val="0"/>
      <w:divBdr>
        <w:top w:val="none" w:sz="0" w:space="0" w:color="auto"/>
        <w:left w:val="none" w:sz="0" w:space="0" w:color="auto"/>
        <w:bottom w:val="none" w:sz="0" w:space="0" w:color="auto"/>
        <w:right w:val="none" w:sz="0" w:space="0" w:color="auto"/>
      </w:divBdr>
    </w:div>
    <w:div w:id="989559198">
      <w:bodyDiv w:val="1"/>
      <w:marLeft w:val="0"/>
      <w:marRight w:val="0"/>
      <w:marTop w:val="0"/>
      <w:marBottom w:val="0"/>
      <w:divBdr>
        <w:top w:val="none" w:sz="0" w:space="0" w:color="auto"/>
        <w:left w:val="none" w:sz="0" w:space="0" w:color="auto"/>
        <w:bottom w:val="none" w:sz="0" w:space="0" w:color="auto"/>
        <w:right w:val="none" w:sz="0" w:space="0" w:color="auto"/>
      </w:divBdr>
    </w:div>
    <w:div w:id="1067917539">
      <w:bodyDiv w:val="1"/>
      <w:marLeft w:val="0"/>
      <w:marRight w:val="0"/>
      <w:marTop w:val="0"/>
      <w:marBottom w:val="0"/>
      <w:divBdr>
        <w:top w:val="none" w:sz="0" w:space="0" w:color="auto"/>
        <w:left w:val="none" w:sz="0" w:space="0" w:color="auto"/>
        <w:bottom w:val="none" w:sz="0" w:space="0" w:color="auto"/>
        <w:right w:val="none" w:sz="0" w:space="0" w:color="auto"/>
      </w:divBdr>
    </w:div>
    <w:div w:id="1084572623">
      <w:bodyDiv w:val="1"/>
      <w:marLeft w:val="0"/>
      <w:marRight w:val="0"/>
      <w:marTop w:val="0"/>
      <w:marBottom w:val="0"/>
      <w:divBdr>
        <w:top w:val="none" w:sz="0" w:space="0" w:color="auto"/>
        <w:left w:val="none" w:sz="0" w:space="0" w:color="auto"/>
        <w:bottom w:val="none" w:sz="0" w:space="0" w:color="auto"/>
        <w:right w:val="none" w:sz="0" w:space="0" w:color="auto"/>
      </w:divBdr>
    </w:div>
    <w:div w:id="1095370615">
      <w:bodyDiv w:val="1"/>
      <w:marLeft w:val="0"/>
      <w:marRight w:val="0"/>
      <w:marTop w:val="0"/>
      <w:marBottom w:val="0"/>
      <w:divBdr>
        <w:top w:val="none" w:sz="0" w:space="0" w:color="auto"/>
        <w:left w:val="none" w:sz="0" w:space="0" w:color="auto"/>
        <w:bottom w:val="none" w:sz="0" w:space="0" w:color="auto"/>
        <w:right w:val="none" w:sz="0" w:space="0" w:color="auto"/>
      </w:divBdr>
    </w:div>
    <w:div w:id="1099836170">
      <w:bodyDiv w:val="1"/>
      <w:marLeft w:val="0"/>
      <w:marRight w:val="0"/>
      <w:marTop w:val="0"/>
      <w:marBottom w:val="0"/>
      <w:divBdr>
        <w:top w:val="none" w:sz="0" w:space="0" w:color="auto"/>
        <w:left w:val="none" w:sz="0" w:space="0" w:color="auto"/>
        <w:bottom w:val="none" w:sz="0" w:space="0" w:color="auto"/>
        <w:right w:val="none" w:sz="0" w:space="0" w:color="auto"/>
      </w:divBdr>
    </w:div>
    <w:div w:id="1114712053">
      <w:bodyDiv w:val="1"/>
      <w:marLeft w:val="0"/>
      <w:marRight w:val="0"/>
      <w:marTop w:val="0"/>
      <w:marBottom w:val="0"/>
      <w:divBdr>
        <w:top w:val="none" w:sz="0" w:space="0" w:color="auto"/>
        <w:left w:val="none" w:sz="0" w:space="0" w:color="auto"/>
        <w:bottom w:val="none" w:sz="0" w:space="0" w:color="auto"/>
        <w:right w:val="none" w:sz="0" w:space="0" w:color="auto"/>
      </w:divBdr>
    </w:div>
    <w:div w:id="1120417696">
      <w:bodyDiv w:val="1"/>
      <w:marLeft w:val="0"/>
      <w:marRight w:val="0"/>
      <w:marTop w:val="0"/>
      <w:marBottom w:val="0"/>
      <w:divBdr>
        <w:top w:val="none" w:sz="0" w:space="0" w:color="auto"/>
        <w:left w:val="none" w:sz="0" w:space="0" w:color="auto"/>
        <w:bottom w:val="none" w:sz="0" w:space="0" w:color="auto"/>
        <w:right w:val="none" w:sz="0" w:space="0" w:color="auto"/>
      </w:divBdr>
    </w:div>
    <w:div w:id="1151215531">
      <w:bodyDiv w:val="1"/>
      <w:marLeft w:val="0"/>
      <w:marRight w:val="0"/>
      <w:marTop w:val="0"/>
      <w:marBottom w:val="0"/>
      <w:divBdr>
        <w:top w:val="none" w:sz="0" w:space="0" w:color="auto"/>
        <w:left w:val="none" w:sz="0" w:space="0" w:color="auto"/>
        <w:bottom w:val="none" w:sz="0" w:space="0" w:color="auto"/>
        <w:right w:val="none" w:sz="0" w:space="0" w:color="auto"/>
      </w:divBdr>
    </w:div>
    <w:div w:id="1160118699">
      <w:bodyDiv w:val="1"/>
      <w:marLeft w:val="0"/>
      <w:marRight w:val="0"/>
      <w:marTop w:val="0"/>
      <w:marBottom w:val="0"/>
      <w:divBdr>
        <w:top w:val="none" w:sz="0" w:space="0" w:color="auto"/>
        <w:left w:val="none" w:sz="0" w:space="0" w:color="auto"/>
        <w:bottom w:val="none" w:sz="0" w:space="0" w:color="auto"/>
        <w:right w:val="none" w:sz="0" w:space="0" w:color="auto"/>
      </w:divBdr>
    </w:div>
    <w:div w:id="1229337560">
      <w:bodyDiv w:val="1"/>
      <w:marLeft w:val="0"/>
      <w:marRight w:val="0"/>
      <w:marTop w:val="0"/>
      <w:marBottom w:val="0"/>
      <w:divBdr>
        <w:top w:val="none" w:sz="0" w:space="0" w:color="auto"/>
        <w:left w:val="none" w:sz="0" w:space="0" w:color="auto"/>
        <w:bottom w:val="none" w:sz="0" w:space="0" w:color="auto"/>
        <w:right w:val="none" w:sz="0" w:space="0" w:color="auto"/>
      </w:divBdr>
    </w:div>
    <w:div w:id="1241020975">
      <w:bodyDiv w:val="1"/>
      <w:marLeft w:val="0"/>
      <w:marRight w:val="0"/>
      <w:marTop w:val="0"/>
      <w:marBottom w:val="0"/>
      <w:divBdr>
        <w:top w:val="none" w:sz="0" w:space="0" w:color="auto"/>
        <w:left w:val="none" w:sz="0" w:space="0" w:color="auto"/>
        <w:bottom w:val="none" w:sz="0" w:space="0" w:color="auto"/>
        <w:right w:val="none" w:sz="0" w:space="0" w:color="auto"/>
      </w:divBdr>
    </w:div>
    <w:div w:id="1243180780">
      <w:bodyDiv w:val="1"/>
      <w:marLeft w:val="0"/>
      <w:marRight w:val="0"/>
      <w:marTop w:val="0"/>
      <w:marBottom w:val="0"/>
      <w:divBdr>
        <w:top w:val="none" w:sz="0" w:space="0" w:color="auto"/>
        <w:left w:val="none" w:sz="0" w:space="0" w:color="auto"/>
        <w:bottom w:val="none" w:sz="0" w:space="0" w:color="auto"/>
        <w:right w:val="none" w:sz="0" w:space="0" w:color="auto"/>
      </w:divBdr>
    </w:div>
    <w:div w:id="1333096278">
      <w:bodyDiv w:val="1"/>
      <w:marLeft w:val="0"/>
      <w:marRight w:val="0"/>
      <w:marTop w:val="0"/>
      <w:marBottom w:val="0"/>
      <w:divBdr>
        <w:top w:val="none" w:sz="0" w:space="0" w:color="auto"/>
        <w:left w:val="none" w:sz="0" w:space="0" w:color="auto"/>
        <w:bottom w:val="none" w:sz="0" w:space="0" w:color="auto"/>
        <w:right w:val="none" w:sz="0" w:space="0" w:color="auto"/>
      </w:divBdr>
    </w:div>
    <w:div w:id="1333681426">
      <w:bodyDiv w:val="1"/>
      <w:marLeft w:val="0"/>
      <w:marRight w:val="0"/>
      <w:marTop w:val="0"/>
      <w:marBottom w:val="0"/>
      <w:divBdr>
        <w:top w:val="none" w:sz="0" w:space="0" w:color="auto"/>
        <w:left w:val="none" w:sz="0" w:space="0" w:color="auto"/>
        <w:bottom w:val="none" w:sz="0" w:space="0" w:color="auto"/>
        <w:right w:val="none" w:sz="0" w:space="0" w:color="auto"/>
      </w:divBdr>
    </w:div>
    <w:div w:id="1359357189">
      <w:bodyDiv w:val="1"/>
      <w:marLeft w:val="0"/>
      <w:marRight w:val="0"/>
      <w:marTop w:val="0"/>
      <w:marBottom w:val="0"/>
      <w:divBdr>
        <w:top w:val="none" w:sz="0" w:space="0" w:color="auto"/>
        <w:left w:val="none" w:sz="0" w:space="0" w:color="auto"/>
        <w:bottom w:val="none" w:sz="0" w:space="0" w:color="auto"/>
        <w:right w:val="none" w:sz="0" w:space="0" w:color="auto"/>
      </w:divBdr>
    </w:div>
    <w:div w:id="1360200357">
      <w:bodyDiv w:val="1"/>
      <w:marLeft w:val="0"/>
      <w:marRight w:val="0"/>
      <w:marTop w:val="0"/>
      <w:marBottom w:val="0"/>
      <w:divBdr>
        <w:top w:val="none" w:sz="0" w:space="0" w:color="auto"/>
        <w:left w:val="none" w:sz="0" w:space="0" w:color="auto"/>
        <w:bottom w:val="none" w:sz="0" w:space="0" w:color="auto"/>
        <w:right w:val="none" w:sz="0" w:space="0" w:color="auto"/>
      </w:divBdr>
    </w:div>
    <w:div w:id="1370304049">
      <w:bodyDiv w:val="1"/>
      <w:marLeft w:val="0"/>
      <w:marRight w:val="0"/>
      <w:marTop w:val="0"/>
      <w:marBottom w:val="0"/>
      <w:divBdr>
        <w:top w:val="none" w:sz="0" w:space="0" w:color="auto"/>
        <w:left w:val="none" w:sz="0" w:space="0" w:color="auto"/>
        <w:bottom w:val="none" w:sz="0" w:space="0" w:color="auto"/>
        <w:right w:val="none" w:sz="0" w:space="0" w:color="auto"/>
      </w:divBdr>
    </w:div>
    <w:div w:id="1398742585">
      <w:bodyDiv w:val="1"/>
      <w:marLeft w:val="0"/>
      <w:marRight w:val="0"/>
      <w:marTop w:val="0"/>
      <w:marBottom w:val="0"/>
      <w:divBdr>
        <w:top w:val="none" w:sz="0" w:space="0" w:color="auto"/>
        <w:left w:val="none" w:sz="0" w:space="0" w:color="auto"/>
        <w:bottom w:val="none" w:sz="0" w:space="0" w:color="auto"/>
        <w:right w:val="none" w:sz="0" w:space="0" w:color="auto"/>
      </w:divBdr>
    </w:div>
    <w:div w:id="1453476438">
      <w:bodyDiv w:val="1"/>
      <w:marLeft w:val="0"/>
      <w:marRight w:val="0"/>
      <w:marTop w:val="0"/>
      <w:marBottom w:val="0"/>
      <w:divBdr>
        <w:top w:val="none" w:sz="0" w:space="0" w:color="auto"/>
        <w:left w:val="none" w:sz="0" w:space="0" w:color="auto"/>
        <w:bottom w:val="none" w:sz="0" w:space="0" w:color="auto"/>
        <w:right w:val="none" w:sz="0" w:space="0" w:color="auto"/>
      </w:divBdr>
    </w:div>
    <w:div w:id="1456295672">
      <w:bodyDiv w:val="1"/>
      <w:marLeft w:val="0"/>
      <w:marRight w:val="0"/>
      <w:marTop w:val="0"/>
      <w:marBottom w:val="0"/>
      <w:divBdr>
        <w:top w:val="none" w:sz="0" w:space="0" w:color="auto"/>
        <w:left w:val="none" w:sz="0" w:space="0" w:color="auto"/>
        <w:bottom w:val="none" w:sz="0" w:space="0" w:color="auto"/>
        <w:right w:val="none" w:sz="0" w:space="0" w:color="auto"/>
      </w:divBdr>
    </w:div>
    <w:div w:id="1478837536">
      <w:bodyDiv w:val="1"/>
      <w:marLeft w:val="0"/>
      <w:marRight w:val="0"/>
      <w:marTop w:val="0"/>
      <w:marBottom w:val="0"/>
      <w:divBdr>
        <w:top w:val="none" w:sz="0" w:space="0" w:color="auto"/>
        <w:left w:val="none" w:sz="0" w:space="0" w:color="auto"/>
        <w:bottom w:val="none" w:sz="0" w:space="0" w:color="auto"/>
        <w:right w:val="none" w:sz="0" w:space="0" w:color="auto"/>
      </w:divBdr>
    </w:div>
    <w:div w:id="1499662122">
      <w:bodyDiv w:val="1"/>
      <w:marLeft w:val="0"/>
      <w:marRight w:val="0"/>
      <w:marTop w:val="0"/>
      <w:marBottom w:val="0"/>
      <w:divBdr>
        <w:top w:val="none" w:sz="0" w:space="0" w:color="auto"/>
        <w:left w:val="none" w:sz="0" w:space="0" w:color="auto"/>
        <w:bottom w:val="none" w:sz="0" w:space="0" w:color="auto"/>
        <w:right w:val="none" w:sz="0" w:space="0" w:color="auto"/>
      </w:divBdr>
    </w:div>
    <w:div w:id="1545021230">
      <w:bodyDiv w:val="1"/>
      <w:marLeft w:val="0"/>
      <w:marRight w:val="0"/>
      <w:marTop w:val="0"/>
      <w:marBottom w:val="0"/>
      <w:divBdr>
        <w:top w:val="none" w:sz="0" w:space="0" w:color="auto"/>
        <w:left w:val="none" w:sz="0" w:space="0" w:color="auto"/>
        <w:bottom w:val="none" w:sz="0" w:space="0" w:color="auto"/>
        <w:right w:val="none" w:sz="0" w:space="0" w:color="auto"/>
      </w:divBdr>
    </w:div>
    <w:div w:id="1545872975">
      <w:bodyDiv w:val="1"/>
      <w:marLeft w:val="0"/>
      <w:marRight w:val="0"/>
      <w:marTop w:val="0"/>
      <w:marBottom w:val="0"/>
      <w:divBdr>
        <w:top w:val="none" w:sz="0" w:space="0" w:color="auto"/>
        <w:left w:val="none" w:sz="0" w:space="0" w:color="auto"/>
        <w:bottom w:val="none" w:sz="0" w:space="0" w:color="auto"/>
        <w:right w:val="none" w:sz="0" w:space="0" w:color="auto"/>
      </w:divBdr>
    </w:div>
    <w:div w:id="1554152098">
      <w:bodyDiv w:val="1"/>
      <w:marLeft w:val="0"/>
      <w:marRight w:val="0"/>
      <w:marTop w:val="0"/>
      <w:marBottom w:val="0"/>
      <w:divBdr>
        <w:top w:val="none" w:sz="0" w:space="0" w:color="auto"/>
        <w:left w:val="none" w:sz="0" w:space="0" w:color="auto"/>
        <w:bottom w:val="none" w:sz="0" w:space="0" w:color="auto"/>
        <w:right w:val="none" w:sz="0" w:space="0" w:color="auto"/>
      </w:divBdr>
    </w:div>
    <w:div w:id="1576894347">
      <w:bodyDiv w:val="1"/>
      <w:marLeft w:val="0"/>
      <w:marRight w:val="0"/>
      <w:marTop w:val="0"/>
      <w:marBottom w:val="0"/>
      <w:divBdr>
        <w:top w:val="none" w:sz="0" w:space="0" w:color="auto"/>
        <w:left w:val="none" w:sz="0" w:space="0" w:color="auto"/>
        <w:bottom w:val="none" w:sz="0" w:space="0" w:color="auto"/>
        <w:right w:val="none" w:sz="0" w:space="0" w:color="auto"/>
      </w:divBdr>
    </w:div>
    <w:div w:id="1609848727">
      <w:bodyDiv w:val="1"/>
      <w:marLeft w:val="0"/>
      <w:marRight w:val="0"/>
      <w:marTop w:val="0"/>
      <w:marBottom w:val="0"/>
      <w:divBdr>
        <w:top w:val="none" w:sz="0" w:space="0" w:color="auto"/>
        <w:left w:val="none" w:sz="0" w:space="0" w:color="auto"/>
        <w:bottom w:val="none" w:sz="0" w:space="0" w:color="auto"/>
        <w:right w:val="none" w:sz="0" w:space="0" w:color="auto"/>
      </w:divBdr>
    </w:div>
    <w:div w:id="1639072246">
      <w:bodyDiv w:val="1"/>
      <w:marLeft w:val="0"/>
      <w:marRight w:val="0"/>
      <w:marTop w:val="0"/>
      <w:marBottom w:val="0"/>
      <w:divBdr>
        <w:top w:val="none" w:sz="0" w:space="0" w:color="auto"/>
        <w:left w:val="none" w:sz="0" w:space="0" w:color="auto"/>
        <w:bottom w:val="none" w:sz="0" w:space="0" w:color="auto"/>
        <w:right w:val="none" w:sz="0" w:space="0" w:color="auto"/>
      </w:divBdr>
    </w:div>
    <w:div w:id="1651208693">
      <w:bodyDiv w:val="1"/>
      <w:marLeft w:val="0"/>
      <w:marRight w:val="0"/>
      <w:marTop w:val="0"/>
      <w:marBottom w:val="0"/>
      <w:divBdr>
        <w:top w:val="none" w:sz="0" w:space="0" w:color="auto"/>
        <w:left w:val="none" w:sz="0" w:space="0" w:color="auto"/>
        <w:bottom w:val="none" w:sz="0" w:space="0" w:color="auto"/>
        <w:right w:val="none" w:sz="0" w:space="0" w:color="auto"/>
      </w:divBdr>
    </w:div>
    <w:div w:id="1707023406">
      <w:bodyDiv w:val="1"/>
      <w:marLeft w:val="0"/>
      <w:marRight w:val="0"/>
      <w:marTop w:val="0"/>
      <w:marBottom w:val="0"/>
      <w:divBdr>
        <w:top w:val="none" w:sz="0" w:space="0" w:color="auto"/>
        <w:left w:val="none" w:sz="0" w:space="0" w:color="auto"/>
        <w:bottom w:val="none" w:sz="0" w:space="0" w:color="auto"/>
        <w:right w:val="none" w:sz="0" w:space="0" w:color="auto"/>
      </w:divBdr>
    </w:div>
    <w:div w:id="1743329228">
      <w:bodyDiv w:val="1"/>
      <w:marLeft w:val="0"/>
      <w:marRight w:val="0"/>
      <w:marTop w:val="0"/>
      <w:marBottom w:val="0"/>
      <w:divBdr>
        <w:top w:val="none" w:sz="0" w:space="0" w:color="auto"/>
        <w:left w:val="none" w:sz="0" w:space="0" w:color="auto"/>
        <w:bottom w:val="none" w:sz="0" w:space="0" w:color="auto"/>
        <w:right w:val="none" w:sz="0" w:space="0" w:color="auto"/>
      </w:divBdr>
    </w:div>
    <w:div w:id="1747024710">
      <w:bodyDiv w:val="1"/>
      <w:marLeft w:val="0"/>
      <w:marRight w:val="0"/>
      <w:marTop w:val="0"/>
      <w:marBottom w:val="0"/>
      <w:divBdr>
        <w:top w:val="none" w:sz="0" w:space="0" w:color="auto"/>
        <w:left w:val="none" w:sz="0" w:space="0" w:color="auto"/>
        <w:bottom w:val="none" w:sz="0" w:space="0" w:color="auto"/>
        <w:right w:val="none" w:sz="0" w:space="0" w:color="auto"/>
      </w:divBdr>
    </w:div>
    <w:div w:id="1754282645">
      <w:bodyDiv w:val="1"/>
      <w:marLeft w:val="0"/>
      <w:marRight w:val="0"/>
      <w:marTop w:val="0"/>
      <w:marBottom w:val="0"/>
      <w:divBdr>
        <w:top w:val="none" w:sz="0" w:space="0" w:color="auto"/>
        <w:left w:val="none" w:sz="0" w:space="0" w:color="auto"/>
        <w:bottom w:val="none" w:sz="0" w:space="0" w:color="auto"/>
        <w:right w:val="none" w:sz="0" w:space="0" w:color="auto"/>
      </w:divBdr>
    </w:div>
    <w:div w:id="1790970496">
      <w:bodyDiv w:val="1"/>
      <w:marLeft w:val="0"/>
      <w:marRight w:val="0"/>
      <w:marTop w:val="0"/>
      <w:marBottom w:val="0"/>
      <w:divBdr>
        <w:top w:val="none" w:sz="0" w:space="0" w:color="auto"/>
        <w:left w:val="none" w:sz="0" w:space="0" w:color="auto"/>
        <w:bottom w:val="none" w:sz="0" w:space="0" w:color="auto"/>
        <w:right w:val="none" w:sz="0" w:space="0" w:color="auto"/>
      </w:divBdr>
    </w:div>
    <w:div w:id="1814447927">
      <w:bodyDiv w:val="1"/>
      <w:marLeft w:val="0"/>
      <w:marRight w:val="0"/>
      <w:marTop w:val="0"/>
      <w:marBottom w:val="0"/>
      <w:divBdr>
        <w:top w:val="none" w:sz="0" w:space="0" w:color="auto"/>
        <w:left w:val="none" w:sz="0" w:space="0" w:color="auto"/>
        <w:bottom w:val="none" w:sz="0" w:space="0" w:color="auto"/>
        <w:right w:val="none" w:sz="0" w:space="0" w:color="auto"/>
      </w:divBdr>
    </w:div>
    <w:div w:id="1823347589">
      <w:bodyDiv w:val="1"/>
      <w:marLeft w:val="0"/>
      <w:marRight w:val="0"/>
      <w:marTop w:val="0"/>
      <w:marBottom w:val="0"/>
      <w:divBdr>
        <w:top w:val="none" w:sz="0" w:space="0" w:color="auto"/>
        <w:left w:val="none" w:sz="0" w:space="0" w:color="auto"/>
        <w:bottom w:val="none" w:sz="0" w:space="0" w:color="auto"/>
        <w:right w:val="none" w:sz="0" w:space="0" w:color="auto"/>
      </w:divBdr>
    </w:div>
    <w:div w:id="1842117293">
      <w:bodyDiv w:val="1"/>
      <w:marLeft w:val="0"/>
      <w:marRight w:val="0"/>
      <w:marTop w:val="0"/>
      <w:marBottom w:val="0"/>
      <w:divBdr>
        <w:top w:val="none" w:sz="0" w:space="0" w:color="auto"/>
        <w:left w:val="none" w:sz="0" w:space="0" w:color="auto"/>
        <w:bottom w:val="none" w:sz="0" w:space="0" w:color="auto"/>
        <w:right w:val="none" w:sz="0" w:space="0" w:color="auto"/>
      </w:divBdr>
    </w:div>
    <w:div w:id="1878471208">
      <w:bodyDiv w:val="1"/>
      <w:marLeft w:val="0"/>
      <w:marRight w:val="0"/>
      <w:marTop w:val="0"/>
      <w:marBottom w:val="0"/>
      <w:divBdr>
        <w:top w:val="none" w:sz="0" w:space="0" w:color="auto"/>
        <w:left w:val="none" w:sz="0" w:space="0" w:color="auto"/>
        <w:bottom w:val="none" w:sz="0" w:space="0" w:color="auto"/>
        <w:right w:val="none" w:sz="0" w:space="0" w:color="auto"/>
      </w:divBdr>
    </w:div>
    <w:div w:id="1894611300">
      <w:bodyDiv w:val="1"/>
      <w:marLeft w:val="0"/>
      <w:marRight w:val="0"/>
      <w:marTop w:val="0"/>
      <w:marBottom w:val="0"/>
      <w:divBdr>
        <w:top w:val="none" w:sz="0" w:space="0" w:color="auto"/>
        <w:left w:val="none" w:sz="0" w:space="0" w:color="auto"/>
        <w:bottom w:val="none" w:sz="0" w:space="0" w:color="auto"/>
        <w:right w:val="none" w:sz="0" w:space="0" w:color="auto"/>
      </w:divBdr>
    </w:div>
    <w:div w:id="1898932929">
      <w:bodyDiv w:val="1"/>
      <w:marLeft w:val="0"/>
      <w:marRight w:val="0"/>
      <w:marTop w:val="0"/>
      <w:marBottom w:val="0"/>
      <w:divBdr>
        <w:top w:val="none" w:sz="0" w:space="0" w:color="auto"/>
        <w:left w:val="none" w:sz="0" w:space="0" w:color="auto"/>
        <w:bottom w:val="none" w:sz="0" w:space="0" w:color="auto"/>
        <w:right w:val="none" w:sz="0" w:space="0" w:color="auto"/>
      </w:divBdr>
    </w:div>
    <w:div w:id="1905329646">
      <w:bodyDiv w:val="1"/>
      <w:marLeft w:val="0"/>
      <w:marRight w:val="0"/>
      <w:marTop w:val="0"/>
      <w:marBottom w:val="0"/>
      <w:divBdr>
        <w:top w:val="none" w:sz="0" w:space="0" w:color="auto"/>
        <w:left w:val="none" w:sz="0" w:space="0" w:color="auto"/>
        <w:bottom w:val="none" w:sz="0" w:space="0" w:color="auto"/>
        <w:right w:val="none" w:sz="0" w:space="0" w:color="auto"/>
      </w:divBdr>
    </w:div>
    <w:div w:id="1906379534">
      <w:bodyDiv w:val="1"/>
      <w:marLeft w:val="0"/>
      <w:marRight w:val="0"/>
      <w:marTop w:val="0"/>
      <w:marBottom w:val="0"/>
      <w:divBdr>
        <w:top w:val="none" w:sz="0" w:space="0" w:color="auto"/>
        <w:left w:val="none" w:sz="0" w:space="0" w:color="auto"/>
        <w:bottom w:val="none" w:sz="0" w:space="0" w:color="auto"/>
        <w:right w:val="none" w:sz="0" w:space="0" w:color="auto"/>
      </w:divBdr>
    </w:div>
    <w:div w:id="1917279109">
      <w:bodyDiv w:val="1"/>
      <w:marLeft w:val="0"/>
      <w:marRight w:val="0"/>
      <w:marTop w:val="0"/>
      <w:marBottom w:val="0"/>
      <w:divBdr>
        <w:top w:val="none" w:sz="0" w:space="0" w:color="auto"/>
        <w:left w:val="none" w:sz="0" w:space="0" w:color="auto"/>
        <w:bottom w:val="none" w:sz="0" w:space="0" w:color="auto"/>
        <w:right w:val="none" w:sz="0" w:space="0" w:color="auto"/>
      </w:divBdr>
    </w:div>
    <w:div w:id="1919364383">
      <w:bodyDiv w:val="1"/>
      <w:marLeft w:val="0"/>
      <w:marRight w:val="0"/>
      <w:marTop w:val="0"/>
      <w:marBottom w:val="0"/>
      <w:divBdr>
        <w:top w:val="none" w:sz="0" w:space="0" w:color="auto"/>
        <w:left w:val="none" w:sz="0" w:space="0" w:color="auto"/>
        <w:bottom w:val="none" w:sz="0" w:space="0" w:color="auto"/>
        <w:right w:val="none" w:sz="0" w:space="0" w:color="auto"/>
      </w:divBdr>
    </w:div>
    <w:div w:id="1965573311">
      <w:bodyDiv w:val="1"/>
      <w:marLeft w:val="0"/>
      <w:marRight w:val="0"/>
      <w:marTop w:val="0"/>
      <w:marBottom w:val="0"/>
      <w:divBdr>
        <w:top w:val="none" w:sz="0" w:space="0" w:color="auto"/>
        <w:left w:val="none" w:sz="0" w:space="0" w:color="auto"/>
        <w:bottom w:val="none" w:sz="0" w:space="0" w:color="auto"/>
        <w:right w:val="none" w:sz="0" w:space="0" w:color="auto"/>
      </w:divBdr>
    </w:div>
    <w:div w:id="2005083525">
      <w:bodyDiv w:val="1"/>
      <w:marLeft w:val="0"/>
      <w:marRight w:val="0"/>
      <w:marTop w:val="0"/>
      <w:marBottom w:val="0"/>
      <w:divBdr>
        <w:top w:val="none" w:sz="0" w:space="0" w:color="auto"/>
        <w:left w:val="none" w:sz="0" w:space="0" w:color="auto"/>
        <w:bottom w:val="none" w:sz="0" w:space="0" w:color="auto"/>
        <w:right w:val="none" w:sz="0" w:space="0" w:color="auto"/>
      </w:divBdr>
    </w:div>
    <w:div w:id="2008365649">
      <w:bodyDiv w:val="1"/>
      <w:marLeft w:val="0"/>
      <w:marRight w:val="0"/>
      <w:marTop w:val="0"/>
      <w:marBottom w:val="0"/>
      <w:divBdr>
        <w:top w:val="none" w:sz="0" w:space="0" w:color="auto"/>
        <w:left w:val="none" w:sz="0" w:space="0" w:color="auto"/>
        <w:bottom w:val="none" w:sz="0" w:space="0" w:color="auto"/>
        <w:right w:val="none" w:sz="0" w:space="0" w:color="auto"/>
      </w:divBdr>
    </w:div>
    <w:div w:id="2009625876">
      <w:bodyDiv w:val="1"/>
      <w:marLeft w:val="0"/>
      <w:marRight w:val="0"/>
      <w:marTop w:val="0"/>
      <w:marBottom w:val="0"/>
      <w:divBdr>
        <w:top w:val="none" w:sz="0" w:space="0" w:color="auto"/>
        <w:left w:val="none" w:sz="0" w:space="0" w:color="auto"/>
        <w:bottom w:val="none" w:sz="0" w:space="0" w:color="auto"/>
        <w:right w:val="none" w:sz="0" w:space="0" w:color="auto"/>
      </w:divBdr>
    </w:div>
    <w:div w:id="2022976338">
      <w:bodyDiv w:val="1"/>
      <w:marLeft w:val="0"/>
      <w:marRight w:val="0"/>
      <w:marTop w:val="0"/>
      <w:marBottom w:val="0"/>
      <w:divBdr>
        <w:top w:val="none" w:sz="0" w:space="0" w:color="auto"/>
        <w:left w:val="none" w:sz="0" w:space="0" w:color="auto"/>
        <w:bottom w:val="none" w:sz="0" w:space="0" w:color="auto"/>
        <w:right w:val="none" w:sz="0" w:space="0" w:color="auto"/>
      </w:divBdr>
    </w:div>
    <w:div w:id="2034066805">
      <w:bodyDiv w:val="1"/>
      <w:marLeft w:val="0"/>
      <w:marRight w:val="0"/>
      <w:marTop w:val="0"/>
      <w:marBottom w:val="0"/>
      <w:divBdr>
        <w:top w:val="none" w:sz="0" w:space="0" w:color="auto"/>
        <w:left w:val="none" w:sz="0" w:space="0" w:color="auto"/>
        <w:bottom w:val="none" w:sz="0" w:space="0" w:color="auto"/>
        <w:right w:val="none" w:sz="0" w:space="0" w:color="auto"/>
      </w:divBdr>
    </w:div>
    <w:div w:id="2034189347">
      <w:bodyDiv w:val="1"/>
      <w:marLeft w:val="0"/>
      <w:marRight w:val="0"/>
      <w:marTop w:val="0"/>
      <w:marBottom w:val="0"/>
      <w:divBdr>
        <w:top w:val="none" w:sz="0" w:space="0" w:color="auto"/>
        <w:left w:val="none" w:sz="0" w:space="0" w:color="auto"/>
        <w:bottom w:val="none" w:sz="0" w:space="0" w:color="auto"/>
        <w:right w:val="none" w:sz="0" w:space="0" w:color="auto"/>
      </w:divBdr>
    </w:div>
    <w:div w:id="2060014714">
      <w:bodyDiv w:val="1"/>
      <w:marLeft w:val="0"/>
      <w:marRight w:val="0"/>
      <w:marTop w:val="0"/>
      <w:marBottom w:val="0"/>
      <w:divBdr>
        <w:top w:val="none" w:sz="0" w:space="0" w:color="auto"/>
        <w:left w:val="none" w:sz="0" w:space="0" w:color="auto"/>
        <w:bottom w:val="none" w:sz="0" w:space="0" w:color="auto"/>
        <w:right w:val="none" w:sz="0" w:space="0" w:color="auto"/>
      </w:divBdr>
    </w:div>
    <w:div w:id="2060549562">
      <w:bodyDiv w:val="1"/>
      <w:marLeft w:val="0"/>
      <w:marRight w:val="0"/>
      <w:marTop w:val="0"/>
      <w:marBottom w:val="0"/>
      <w:divBdr>
        <w:top w:val="none" w:sz="0" w:space="0" w:color="auto"/>
        <w:left w:val="none" w:sz="0" w:space="0" w:color="auto"/>
        <w:bottom w:val="none" w:sz="0" w:space="0" w:color="auto"/>
        <w:right w:val="none" w:sz="0" w:space="0" w:color="auto"/>
      </w:divBdr>
    </w:div>
    <w:div w:id="2062122533">
      <w:bodyDiv w:val="1"/>
      <w:marLeft w:val="0"/>
      <w:marRight w:val="0"/>
      <w:marTop w:val="0"/>
      <w:marBottom w:val="0"/>
      <w:divBdr>
        <w:top w:val="none" w:sz="0" w:space="0" w:color="auto"/>
        <w:left w:val="none" w:sz="0" w:space="0" w:color="auto"/>
        <w:bottom w:val="none" w:sz="0" w:space="0" w:color="auto"/>
        <w:right w:val="none" w:sz="0" w:space="0" w:color="auto"/>
      </w:divBdr>
    </w:div>
    <w:div w:id="2093575291">
      <w:bodyDiv w:val="1"/>
      <w:marLeft w:val="0"/>
      <w:marRight w:val="0"/>
      <w:marTop w:val="0"/>
      <w:marBottom w:val="0"/>
      <w:divBdr>
        <w:top w:val="none" w:sz="0" w:space="0" w:color="auto"/>
        <w:left w:val="none" w:sz="0" w:space="0" w:color="auto"/>
        <w:bottom w:val="none" w:sz="0" w:space="0" w:color="auto"/>
        <w:right w:val="none" w:sz="0" w:space="0" w:color="auto"/>
      </w:divBdr>
    </w:div>
    <w:div w:id="21316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033CF2-AD2E-43F5-B7E4-862EBD14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3922</Characters>
  <Application>Microsoft Office Word</Application>
  <DocSecurity>4</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华夏财富-夏樱芷</dc:creator>
  <cp:keywords/>
  <dc:description/>
  <cp:lastModifiedBy>ZHONGM</cp:lastModifiedBy>
  <cp:revision>2</cp:revision>
  <cp:lastPrinted>2021-07-19T08:13:00Z</cp:lastPrinted>
  <dcterms:created xsi:type="dcterms:W3CDTF">2021-12-30T16:03:00Z</dcterms:created>
  <dcterms:modified xsi:type="dcterms:W3CDTF">2021-12-30T16:03:00Z</dcterms:modified>
</cp:coreProperties>
</file>