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5F2778"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根据《公开募集证券投资基金运作管理办法》《公开募集证券投资基金信息披露管理办法》</w:t>
      </w:r>
      <w:r w:rsidRPr="008A4E6F">
        <w:rPr>
          <w:rFonts w:ascii="Times New Roman" w:eastAsiaTheme="minorEastAsia" w:hAnsiTheme="minorEastAsia" w:cs="Times New Roman" w:hint="eastAsia"/>
          <w:color w:val="auto"/>
          <w:kern w:val="2"/>
        </w:rPr>
        <w:t>及相关法律法规、各基金</w:t>
      </w:r>
      <w:r w:rsidRPr="00B52BD6">
        <w:rPr>
          <w:rFonts w:ascii="Times New Roman" w:eastAsiaTheme="minorEastAsia" w:hAnsiTheme="minorEastAsia" w:cs="Times New Roman"/>
          <w:color w:val="auto"/>
          <w:kern w:val="2"/>
        </w:rPr>
        <w:t>基金合同</w:t>
      </w:r>
      <w:r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Pr="008A4E6F">
        <w:rPr>
          <w:rFonts w:ascii="Times New Roman" w:eastAsiaTheme="minorEastAsia" w:hAnsiTheme="minorEastAsia" w:cs="Times New Roman" w:hint="eastAsia"/>
          <w:color w:val="auto"/>
          <w:kern w:val="2"/>
        </w:rPr>
        <w:t>在履行规定审批程序并经基金托管人同意后，</w:t>
      </w:r>
      <w:r w:rsidRPr="00182D9F">
        <w:rPr>
          <w:rFonts w:ascii="Times New Roman" w:eastAsiaTheme="minorEastAsia" w:hAnsiTheme="minorEastAsia" w:cs="Times New Roman"/>
          <w:color w:val="000000" w:themeColor="text1"/>
          <w:kern w:val="2"/>
        </w:rPr>
        <w:t>华夏基金管理有限公司（以下简称</w:t>
      </w:r>
      <w:r w:rsidRPr="002D116C">
        <w:rPr>
          <w:rFonts w:asciiTheme="minorEastAsia" w:eastAsiaTheme="minorEastAsia" w:hAnsiTheme="minorEastAsia" w:cs="Times New Roman"/>
          <w:color w:val="000000" w:themeColor="text1"/>
          <w:kern w:val="2"/>
        </w:rPr>
        <w:t>“本公司”</w:t>
      </w:r>
      <w:r w:rsidRPr="00182D9F">
        <w:rPr>
          <w:rFonts w:ascii="Times New Roman" w:eastAsiaTheme="minorEastAsia" w:hAnsiTheme="minorEastAsia" w:cs="Times New Roman"/>
          <w:color w:val="000000" w:themeColor="text1"/>
          <w:kern w:val="2"/>
        </w:rPr>
        <w:t>）旗下部分公募基金</w:t>
      </w:r>
      <w:r>
        <w:rPr>
          <w:rFonts w:ascii="Times New Roman" w:eastAsiaTheme="minorEastAsia" w:hAnsiTheme="minorEastAsia" w:cs="Times New Roman" w:hint="eastAsia"/>
          <w:color w:val="000000" w:themeColor="text1"/>
          <w:kern w:val="2"/>
        </w:rPr>
        <w:t>参与了</w:t>
      </w:r>
      <w:r w:rsidR="009B44E8" w:rsidRPr="009B44E8">
        <w:rPr>
          <w:rFonts w:ascii="Times New Roman" w:eastAsiaTheme="minorEastAsia" w:hAnsiTheme="minorEastAsia" w:cs="Times New Roman" w:hint="eastAsia"/>
          <w:color w:val="000000" w:themeColor="text1"/>
          <w:kern w:val="2"/>
        </w:rPr>
        <w:t>中国移动有限公司</w:t>
      </w:r>
      <w:r w:rsidRPr="004F33DC">
        <w:rPr>
          <w:rFonts w:ascii="Times New Roman" w:eastAsiaTheme="minorEastAsia" w:hAnsiTheme="minorEastAsia" w:cs="Times New Roman" w:hint="eastAsia"/>
          <w:color w:val="000000" w:themeColor="text1"/>
          <w:kern w:val="2"/>
        </w:rPr>
        <w:t>（以下简称“</w:t>
      </w:r>
      <w:r w:rsidR="009B44E8" w:rsidRPr="009B44E8">
        <w:rPr>
          <w:rFonts w:ascii="Times New Roman" w:eastAsiaTheme="minorEastAsia" w:hAnsiTheme="minorEastAsia" w:cs="Times New Roman" w:hint="eastAsia"/>
          <w:color w:val="000000" w:themeColor="text1"/>
          <w:kern w:val="2"/>
        </w:rPr>
        <w:t>中国移动</w:t>
      </w:r>
      <w:r w:rsidRPr="004F33DC">
        <w:rPr>
          <w:rFonts w:ascii="Times New Roman" w:eastAsiaTheme="minorEastAsia" w:hAnsiTheme="minorEastAsia" w:cs="Times New Roman" w:hint="eastAsia"/>
          <w:color w:val="000000" w:themeColor="text1"/>
          <w:kern w:val="2"/>
        </w:rPr>
        <w:t>”）</w:t>
      </w:r>
      <w:r>
        <w:rPr>
          <w:rFonts w:asciiTheme="minorEastAsia" w:eastAsiaTheme="minorEastAsia" w:hAnsiTheme="minorEastAsia" w:cs="Times New Roman" w:hint="eastAsia"/>
          <w:color w:val="auto"/>
          <w:kern w:val="2"/>
        </w:rPr>
        <w:t>首次公开发行</w:t>
      </w:r>
      <w:r w:rsidRPr="00182D9F">
        <w:rPr>
          <w:rFonts w:ascii="Times New Roman" w:eastAsiaTheme="minorEastAsia" w:hAnsiTheme="minorEastAsia" w:cs="Times New Roman"/>
          <w:color w:val="000000" w:themeColor="text1"/>
          <w:kern w:val="2"/>
        </w:rPr>
        <w:t>人民币普通股（</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imes New Roman" w:eastAsiaTheme="minorEastAsia" w:hAnsiTheme="minorEastAsia" w:cs="Times New Roman"/>
          <w:color w:val="000000" w:themeColor="text1"/>
          <w:kern w:val="2"/>
        </w:rPr>
        <w:t>的网下申购</w:t>
      </w:r>
      <w:r>
        <w:rPr>
          <w:rFonts w:ascii="Times New Roman" w:eastAsiaTheme="minorEastAsia" w:hAnsiTheme="minorEastAsia" w:cs="Times New Roman" w:hint="eastAsia"/>
          <w:color w:val="000000" w:themeColor="text1"/>
          <w:kern w:val="2"/>
        </w:rPr>
        <w:t>及</w:t>
      </w:r>
      <w:r w:rsidR="009B44E8" w:rsidRPr="009B44E8">
        <w:rPr>
          <w:rFonts w:ascii="Times New Roman" w:eastAsiaTheme="minorEastAsia" w:hAnsiTheme="minorEastAsia" w:cs="Times New Roman" w:hint="eastAsia"/>
          <w:color w:val="000000" w:themeColor="text1"/>
          <w:kern w:val="2"/>
        </w:rPr>
        <w:t>东吴证券股份有限公司</w:t>
      </w:r>
      <w:r>
        <w:rPr>
          <w:rFonts w:ascii="Times New Roman" w:eastAsiaTheme="minorEastAsia" w:hAnsiTheme="minorEastAsia" w:cs="Times New Roman" w:hint="eastAsia"/>
          <w:color w:val="000000" w:themeColor="text1"/>
          <w:kern w:val="2"/>
        </w:rPr>
        <w:t>（以下简称“</w:t>
      </w:r>
      <w:r w:rsidR="009B44E8" w:rsidRPr="009B44E8">
        <w:rPr>
          <w:rFonts w:ascii="Times New Roman" w:eastAsiaTheme="minorEastAsia" w:hAnsiTheme="minorEastAsia" w:cs="Times New Roman" w:hint="eastAsia"/>
          <w:color w:val="000000" w:themeColor="text1"/>
          <w:kern w:val="2"/>
        </w:rPr>
        <w:t>东吴证券</w:t>
      </w:r>
      <w:r>
        <w:rPr>
          <w:rFonts w:ascii="Times New Roman" w:eastAsiaTheme="minorEastAsia" w:hAnsiTheme="minorEastAsia" w:cs="Times New Roman" w:hint="eastAsia"/>
          <w:color w:val="000000" w:themeColor="text1"/>
          <w:kern w:val="2"/>
        </w:rPr>
        <w:t>”）的</w:t>
      </w:r>
      <w:r>
        <w:rPr>
          <w:rFonts w:ascii="Times New Roman" w:eastAsiaTheme="minorEastAsia" w:hAnsiTheme="minorEastAsia" w:cs="Times New Roman" w:hint="eastAsia"/>
          <w:color w:val="000000" w:themeColor="text1"/>
          <w:kern w:val="2"/>
        </w:rPr>
        <w:t>A</w:t>
      </w:r>
      <w:r>
        <w:rPr>
          <w:rFonts w:ascii="Times New Roman" w:eastAsiaTheme="minorEastAsia" w:hAnsiTheme="minorEastAsia" w:cs="Times New Roman" w:hint="eastAsia"/>
          <w:color w:val="000000" w:themeColor="text1"/>
          <w:kern w:val="2"/>
        </w:rPr>
        <w:t>股配股发行。</w:t>
      </w:r>
      <w:r w:rsidRPr="008A4E6F">
        <w:rPr>
          <w:rFonts w:ascii="Times New Roman" w:eastAsiaTheme="minorEastAsia" w:hAnsiTheme="minorEastAsia" w:cs="Times New Roman" w:hint="eastAsia"/>
          <w:color w:val="auto"/>
          <w:kern w:val="2"/>
        </w:rPr>
        <w:t>本公司控股股东</w:t>
      </w:r>
      <w:r w:rsidRPr="00593E09">
        <w:rPr>
          <w:rFonts w:ascii="Times New Roman" w:eastAsiaTheme="minorEastAsia" w:hAnsiTheme="minorEastAsia" w:cs="Times New Roman" w:hint="eastAsia"/>
          <w:color w:val="auto"/>
          <w:kern w:val="2"/>
        </w:rPr>
        <w:t>中信证券股份有限公司</w:t>
      </w:r>
      <w:r w:rsidRPr="008A4E6F">
        <w:rPr>
          <w:rFonts w:ascii="Times New Roman" w:eastAsiaTheme="minorEastAsia" w:hAnsiTheme="minorEastAsia" w:cs="Times New Roman" w:hint="eastAsia"/>
          <w:color w:val="auto"/>
          <w:kern w:val="2"/>
        </w:rPr>
        <w:t>为</w:t>
      </w:r>
      <w:r w:rsidR="009B44E8" w:rsidRPr="009B44E8">
        <w:rPr>
          <w:rFonts w:ascii="Times New Roman" w:eastAsiaTheme="minorEastAsia" w:hAnsiTheme="minorEastAsia" w:cs="Times New Roman" w:hint="eastAsia"/>
          <w:color w:val="000000" w:themeColor="text1"/>
          <w:kern w:val="2"/>
        </w:rPr>
        <w:t>中国移动</w:t>
      </w:r>
      <w:r>
        <w:rPr>
          <w:rFonts w:ascii="Times New Roman" w:eastAsiaTheme="minorEastAsia" w:hAnsiTheme="minorEastAsia" w:cs="Times New Roman" w:hint="eastAsia"/>
          <w:color w:val="000000" w:themeColor="text1"/>
          <w:kern w:val="2"/>
        </w:rPr>
        <w:t>本次发行的</w:t>
      </w:r>
      <w:r w:rsidR="009B44E8" w:rsidRPr="009B44E8">
        <w:rPr>
          <w:rFonts w:ascii="Times New Roman" w:eastAsiaTheme="minorEastAsia" w:hAnsiTheme="minorEastAsia" w:cs="Times New Roman" w:hint="eastAsia"/>
          <w:color w:val="auto"/>
          <w:kern w:val="2"/>
        </w:rPr>
        <w:t>联席保荐机构（联席主承销商）</w:t>
      </w:r>
      <w:r w:rsidR="00F0751A">
        <w:rPr>
          <w:rFonts w:ascii="Times New Roman" w:eastAsiaTheme="minorEastAsia" w:hAnsiTheme="minorEastAsia" w:cs="Times New Roman" w:hint="eastAsia"/>
          <w:color w:val="auto"/>
          <w:kern w:val="2"/>
        </w:rPr>
        <w:t>之一</w:t>
      </w:r>
      <w:r w:rsidR="009B44E8">
        <w:rPr>
          <w:rFonts w:ascii="Times New Roman" w:eastAsiaTheme="minorEastAsia" w:hAnsiTheme="minorEastAsia" w:cs="Times New Roman" w:hint="eastAsia"/>
          <w:color w:val="auto"/>
          <w:kern w:val="2"/>
        </w:rPr>
        <w:t>，</w:t>
      </w:r>
      <w:r w:rsidR="009B44E8" w:rsidRPr="009B44E8">
        <w:rPr>
          <w:rFonts w:ascii="Times New Roman" w:eastAsiaTheme="minorEastAsia" w:hAnsiTheme="minorEastAsia" w:cs="Times New Roman" w:hint="eastAsia"/>
          <w:color w:val="auto"/>
          <w:kern w:val="2"/>
        </w:rPr>
        <w:t>本公司旗下部分公募基金托管人中国银行股份有限公司的重大关联方中银国际证券股份有限公司</w:t>
      </w:r>
      <w:r w:rsidR="009B44E8">
        <w:rPr>
          <w:rFonts w:ascii="Times New Roman" w:eastAsiaTheme="minorEastAsia" w:hAnsiTheme="minorEastAsia" w:cs="Times New Roman" w:hint="eastAsia"/>
          <w:color w:val="auto"/>
          <w:kern w:val="2"/>
        </w:rPr>
        <w:t>为中国移动</w:t>
      </w:r>
      <w:r w:rsidR="009B44E8">
        <w:rPr>
          <w:rFonts w:ascii="Times New Roman" w:eastAsiaTheme="minorEastAsia" w:hAnsiTheme="minorEastAsia" w:cs="Times New Roman" w:hint="eastAsia"/>
          <w:color w:val="000000" w:themeColor="text1"/>
          <w:kern w:val="2"/>
        </w:rPr>
        <w:t>本次发行的</w:t>
      </w:r>
      <w:r w:rsidR="009B44E8">
        <w:rPr>
          <w:rFonts w:ascii="Times New Roman" w:eastAsiaTheme="minorEastAsia" w:hAnsiTheme="minorEastAsia" w:cs="Times New Roman" w:hint="eastAsia"/>
          <w:color w:val="auto"/>
          <w:kern w:val="2"/>
        </w:rPr>
        <w:t>联席主承销商之一</w:t>
      </w:r>
      <w:r w:rsidR="009B44E8">
        <w:rPr>
          <w:rFonts w:ascii="Times New Roman" w:eastAsiaTheme="minorEastAsia" w:hAnsiTheme="minorEastAsia" w:cs="Times New Roman" w:hint="eastAsia"/>
          <w:color w:val="000000" w:themeColor="text1"/>
          <w:kern w:val="2"/>
        </w:rPr>
        <w:t>。</w:t>
      </w:r>
      <w:r w:rsidR="009B44E8" w:rsidRPr="009B44E8">
        <w:rPr>
          <w:rFonts w:ascii="Times New Roman" w:eastAsiaTheme="minorEastAsia" w:hAnsiTheme="minorEastAsia" w:cs="Times New Roman" w:hint="eastAsia"/>
          <w:color w:val="000000" w:themeColor="text1"/>
          <w:kern w:val="2"/>
        </w:rPr>
        <w:t>东吴证券</w:t>
      </w:r>
      <w:r>
        <w:rPr>
          <w:rFonts w:ascii="Times New Roman" w:eastAsiaTheme="minorEastAsia" w:hAnsiTheme="minorEastAsia" w:cs="Times New Roman" w:hint="eastAsia"/>
          <w:color w:val="000000" w:themeColor="text1"/>
          <w:kern w:val="2"/>
        </w:rPr>
        <w:t>本次发行的</w:t>
      </w:r>
      <w:r w:rsidRPr="00C861BC">
        <w:rPr>
          <w:rFonts w:ascii="Times New Roman" w:eastAsiaTheme="minorEastAsia" w:hAnsiTheme="minorEastAsia" w:cs="Times New Roman" w:hint="eastAsia"/>
          <w:color w:val="auto"/>
          <w:kern w:val="2"/>
        </w:rPr>
        <w:t>联席主承销商</w:t>
      </w:r>
      <w:r w:rsidR="009B44E8" w:rsidRPr="009B44E8">
        <w:rPr>
          <w:rFonts w:ascii="Times New Roman" w:eastAsiaTheme="minorEastAsia" w:hAnsiTheme="minorEastAsia" w:cs="Times New Roman" w:hint="eastAsia"/>
          <w:color w:val="auto"/>
          <w:kern w:val="2"/>
        </w:rPr>
        <w:t>红塔证券股份有限公司</w:t>
      </w:r>
      <w:r w:rsidR="009B44E8">
        <w:rPr>
          <w:rFonts w:ascii="Times New Roman" w:eastAsiaTheme="minorEastAsia" w:hAnsiTheme="minorEastAsia" w:cs="Times New Roman" w:hint="eastAsia"/>
          <w:color w:val="auto"/>
          <w:kern w:val="2"/>
        </w:rPr>
        <w:t>为本公司旗下部分公募基金的托管人</w:t>
      </w:r>
      <w:r w:rsidR="009B44E8" w:rsidRPr="006D580E">
        <w:rPr>
          <w:rFonts w:ascii="Times New Roman" w:eastAsiaTheme="minorEastAsia" w:hAnsiTheme="minorEastAsia" w:cs="Times New Roman" w:hint="eastAsia"/>
          <w:color w:val="auto"/>
          <w:kern w:val="2"/>
        </w:rPr>
        <w:t>国信证券股份有限公司</w:t>
      </w:r>
      <w:r w:rsidR="009B44E8">
        <w:rPr>
          <w:rFonts w:ascii="Times New Roman" w:eastAsiaTheme="minorEastAsia" w:hAnsiTheme="minorEastAsia" w:cs="Times New Roman" w:hint="eastAsia"/>
          <w:color w:val="auto"/>
          <w:kern w:val="2"/>
        </w:rPr>
        <w:t>（以下简称“国信证券”）的重大关联方</w:t>
      </w:r>
      <w:r>
        <w:rPr>
          <w:rFonts w:ascii="Times New Roman" w:eastAsiaTheme="minorEastAsia" w:hAnsiTheme="minorEastAsia" w:cs="Times New Roman" w:hint="eastAsia"/>
          <w:color w:val="auto"/>
          <w:kern w:val="2"/>
        </w:rPr>
        <w:t>。</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00F0751A" w:rsidRPr="009B44E8">
        <w:rPr>
          <w:rFonts w:ascii="Times New Roman" w:eastAsiaTheme="minorEastAsia" w:hAnsiTheme="minorEastAsia" w:cs="Times New Roman" w:hint="eastAsia"/>
          <w:color w:val="000000" w:themeColor="text1"/>
          <w:kern w:val="2"/>
        </w:rPr>
        <w:t>中国移动</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F0751A" w:rsidP="00085226">
      <w:pPr>
        <w:pStyle w:val="Default"/>
        <w:spacing w:line="360" w:lineRule="auto"/>
        <w:ind w:firstLineChars="200" w:firstLine="480"/>
        <w:rPr>
          <w:rFonts w:ascii="Times New Roman" w:eastAsiaTheme="minorEastAsia" w:hAnsiTheme="minorEastAsia" w:cs="Times New Roman"/>
        </w:rPr>
      </w:pPr>
      <w:r w:rsidRPr="009B44E8">
        <w:rPr>
          <w:rFonts w:ascii="Times New Roman" w:eastAsiaTheme="minorEastAsia" w:hAnsiTheme="minorEastAsia" w:cs="Times New Roman" w:hint="eastAsia"/>
          <w:color w:val="000000" w:themeColor="text1"/>
          <w:kern w:val="2"/>
        </w:rPr>
        <w:t>中国移动</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Pr="00F0751A">
        <w:rPr>
          <w:rFonts w:ascii="Times New Roman" w:eastAsiaTheme="minorEastAsia" w:cs="Times New Roman"/>
        </w:rPr>
        <w:t>57.58</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Pr="00F0751A">
        <w:rPr>
          <w:rFonts w:ascii="Times New Roman" w:eastAsiaTheme="minorEastAsia" w:hAnsiTheme="minorEastAsia" w:cs="Times New Roman" w:hint="eastAsia"/>
        </w:rPr>
        <w:t>发行人和联席保荐机构（联席主承销商）</w:t>
      </w:r>
      <w:r>
        <w:rPr>
          <w:rFonts w:ascii="Times New Roman" w:eastAsiaTheme="minorEastAsia" w:hAnsiTheme="minorEastAsia" w:cs="Times New Roman" w:hint="eastAsia"/>
        </w:rPr>
        <w:t>、</w:t>
      </w:r>
      <w:r w:rsidRPr="00F0751A">
        <w:rPr>
          <w:rFonts w:ascii="Times New Roman" w:eastAsiaTheme="minorEastAsia" w:hAnsiTheme="minorEastAsia" w:cs="Times New Roman" w:hint="eastAsia"/>
        </w:rPr>
        <w:t>联席主承销商根据初步询价结果，综合考虑发行人基本面、可比公司估值水平、所处行业、市场情况、募集资金需求及承销风险等因素协商确定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Pr="009B44E8">
        <w:rPr>
          <w:rFonts w:ascii="Times New Roman" w:eastAsiaTheme="minorEastAsia" w:hAnsiTheme="minorEastAsia" w:cs="Times New Roman" w:hint="eastAsia"/>
          <w:color w:val="000000" w:themeColor="text1"/>
          <w:kern w:val="2"/>
        </w:rPr>
        <w:t>中国移动</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276"/>
        <w:gridCol w:w="1134"/>
        <w:gridCol w:w="1332"/>
      </w:tblGrid>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center"/>
              <w:rPr>
                <w:color w:val="000000"/>
                <w:kern w:val="0"/>
                <w:szCs w:val="21"/>
              </w:rPr>
            </w:pPr>
            <w:r w:rsidRPr="00F0751A">
              <w:rPr>
                <w:rFonts w:hAnsi="宋体"/>
                <w:color w:val="000000"/>
                <w:kern w:val="0"/>
                <w:szCs w:val="21"/>
              </w:rPr>
              <w:t>基金名称</w:t>
            </w:r>
          </w:p>
        </w:tc>
        <w:tc>
          <w:tcPr>
            <w:tcW w:w="1276" w:type="dxa"/>
            <w:shd w:val="clear" w:color="auto" w:fill="auto"/>
            <w:noWrap/>
            <w:vAlign w:val="center"/>
            <w:hideMark/>
          </w:tcPr>
          <w:p w:rsidR="00F0751A" w:rsidRPr="00F0751A" w:rsidRDefault="00F0751A" w:rsidP="00F0751A">
            <w:pPr>
              <w:widowControl/>
              <w:jc w:val="center"/>
              <w:rPr>
                <w:color w:val="000000"/>
                <w:kern w:val="0"/>
                <w:szCs w:val="21"/>
              </w:rPr>
            </w:pPr>
            <w:r w:rsidRPr="00F0751A">
              <w:rPr>
                <w:rFonts w:hAnsi="宋体"/>
                <w:color w:val="000000"/>
                <w:kern w:val="0"/>
                <w:szCs w:val="21"/>
              </w:rPr>
              <w:t>获配证券</w:t>
            </w:r>
          </w:p>
          <w:p w:rsidR="00F0751A" w:rsidRPr="00F0751A" w:rsidRDefault="00F0751A" w:rsidP="00F0751A">
            <w:pPr>
              <w:jc w:val="center"/>
              <w:rPr>
                <w:color w:val="000000"/>
                <w:kern w:val="0"/>
                <w:szCs w:val="21"/>
              </w:rPr>
            </w:pPr>
            <w:r w:rsidRPr="00F0751A">
              <w:rPr>
                <w:rFonts w:hAnsi="宋体"/>
                <w:color w:val="000000"/>
                <w:kern w:val="0"/>
                <w:szCs w:val="21"/>
              </w:rPr>
              <w:t>名称</w:t>
            </w:r>
          </w:p>
        </w:tc>
        <w:tc>
          <w:tcPr>
            <w:tcW w:w="1134" w:type="dxa"/>
            <w:shd w:val="clear" w:color="auto" w:fill="auto"/>
            <w:vAlign w:val="center"/>
            <w:hideMark/>
          </w:tcPr>
          <w:p w:rsidR="00F0751A" w:rsidRPr="00F0751A" w:rsidRDefault="00F0751A" w:rsidP="00F0751A">
            <w:pPr>
              <w:widowControl/>
              <w:jc w:val="center"/>
              <w:rPr>
                <w:color w:val="000000"/>
                <w:kern w:val="0"/>
                <w:szCs w:val="21"/>
              </w:rPr>
            </w:pPr>
            <w:r w:rsidRPr="00F0751A">
              <w:rPr>
                <w:rFonts w:hAnsi="宋体"/>
                <w:color w:val="000000"/>
                <w:kern w:val="0"/>
                <w:szCs w:val="21"/>
              </w:rPr>
              <w:t>获配数量</w:t>
            </w:r>
          </w:p>
          <w:p w:rsidR="00F0751A" w:rsidRPr="00F0751A" w:rsidRDefault="00F0751A" w:rsidP="00F0751A">
            <w:pPr>
              <w:jc w:val="center"/>
              <w:rPr>
                <w:color w:val="000000"/>
                <w:kern w:val="0"/>
                <w:szCs w:val="21"/>
              </w:rPr>
            </w:pPr>
            <w:r w:rsidRPr="00F0751A">
              <w:rPr>
                <w:rFonts w:hAnsi="宋体"/>
                <w:color w:val="000000"/>
                <w:kern w:val="0"/>
                <w:szCs w:val="21"/>
              </w:rPr>
              <w:t>（股）</w:t>
            </w:r>
          </w:p>
        </w:tc>
        <w:tc>
          <w:tcPr>
            <w:tcW w:w="1332" w:type="dxa"/>
            <w:shd w:val="clear" w:color="auto" w:fill="auto"/>
            <w:vAlign w:val="center"/>
            <w:hideMark/>
          </w:tcPr>
          <w:p w:rsidR="00F0751A" w:rsidRPr="00F0751A" w:rsidRDefault="00F0751A" w:rsidP="00F0751A">
            <w:pPr>
              <w:widowControl/>
              <w:jc w:val="center"/>
              <w:rPr>
                <w:color w:val="000000"/>
                <w:kern w:val="0"/>
                <w:szCs w:val="21"/>
              </w:rPr>
            </w:pPr>
            <w:r w:rsidRPr="00F0751A">
              <w:rPr>
                <w:rFonts w:hAnsi="宋体"/>
                <w:color w:val="000000"/>
                <w:kern w:val="0"/>
                <w:szCs w:val="21"/>
              </w:rPr>
              <w:t>获配金额</w:t>
            </w:r>
          </w:p>
          <w:p w:rsidR="00F0751A" w:rsidRPr="00F0751A" w:rsidRDefault="00F0751A" w:rsidP="00F0751A">
            <w:pPr>
              <w:jc w:val="center"/>
              <w:rPr>
                <w:color w:val="000000"/>
                <w:kern w:val="0"/>
                <w:szCs w:val="21"/>
              </w:rPr>
            </w:pPr>
            <w:r w:rsidRPr="00F0751A">
              <w:rPr>
                <w:rFonts w:hAnsi="宋体"/>
                <w:color w:val="000000"/>
                <w:kern w:val="0"/>
                <w:szCs w:val="21"/>
              </w:rPr>
              <w:t>（元）</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华夏睿阳一年持有期混合型证券投资基金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华夏睿磐泰荣混合型证券投资基金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华夏常阳三年定期开放混合型证券投资基金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华夏线上经济主题精选混合型证券投资基金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华夏中证</w:t>
            </w:r>
            <w:r w:rsidRPr="00F0751A">
              <w:rPr>
                <w:color w:val="000000"/>
                <w:kern w:val="0"/>
                <w:szCs w:val="21"/>
              </w:rPr>
              <w:t>500</w:t>
            </w:r>
            <w:r w:rsidRPr="00F0751A">
              <w:rPr>
                <w:rFonts w:hAnsi="宋体"/>
                <w:color w:val="000000"/>
                <w:kern w:val="0"/>
                <w:szCs w:val="21"/>
              </w:rPr>
              <w:t>指数增强型证券投资基金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华夏安阳</w:t>
            </w:r>
            <w:r w:rsidRPr="00F0751A">
              <w:rPr>
                <w:color w:val="000000"/>
                <w:kern w:val="0"/>
                <w:szCs w:val="21"/>
              </w:rPr>
              <w:t>6</w:t>
            </w:r>
            <w:r w:rsidRPr="00F0751A">
              <w:rPr>
                <w:rFonts w:hAnsi="宋体"/>
                <w:color w:val="000000"/>
                <w:kern w:val="0"/>
                <w:szCs w:val="21"/>
              </w:rPr>
              <w:t>个月持有期混合型证券投资基金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华夏兴阳一年持有期混合型证券投资基金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华夏睿磐泰茂混合型证券投资基金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华夏睿磐泰利混合型证券投资基金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华夏盛世精选混合型证券投资基金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华夏新锦升灵活配置混合型证券投资基金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华夏睿磐泰兴混合型证券投资基金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华夏科技前沿</w:t>
            </w:r>
            <w:r w:rsidRPr="00F0751A">
              <w:rPr>
                <w:color w:val="000000"/>
                <w:kern w:val="0"/>
                <w:szCs w:val="21"/>
              </w:rPr>
              <w:t>6</w:t>
            </w:r>
            <w:r w:rsidRPr="00F0751A">
              <w:rPr>
                <w:rFonts w:hAnsi="宋体"/>
                <w:color w:val="000000"/>
                <w:kern w:val="0"/>
                <w:szCs w:val="21"/>
              </w:rPr>
              <w:t>个月定期开放混合型证券投资基金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华夏鸿阳</w:t>
            </w:r>
            <w:r w:rsidRPr="00F0751A">
              <w:rPr>
                <w:color w:val="000000"/>
                <w:kern w:val="0"/>
                <w:szCs w:val="21"/>
              </w:rPr>
              <w:t>6</w:t>
            </w:r>
            <w:r w:rsidRPr="00F0751A">
              <w:rPr>
                <w:rFonts w:hAnsi="宋体"/>
                <w:color w:val="000000"/>
                <w:kern w:val="0"/>
                <w:szCs w:val="21"/>
              </w:rPr>
              <w:t>个月持有期混合型证券投资基金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华夏网购精选灵活配置混合型证券投资基金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lastRenderedPageBreak/>
              <w:t>华夏核心资产混合型证券投资基金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华夏时代前沿一年持有期混合型证券投资基金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华夏科技龙头两年定期开放混合型证券投资基金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华夏中证</w:t>
            </w:r>
            <w:r w:rsidRPr="00F0751A">
              <w:rPr>
                <w:color w:val="000000"/>
                <w:kern w:val="0"/>
                <w:szCs w:val="21"/>
              </w:rPr>
              <w:t>500</w:t>
            </w:r>
            <w:r w:rsidRPr="00F0751A">
              <w:rPr>
                <w:rFonts w:hAnsi="宋体"/>
                <w:color w:val="000000"/>
                <w:kern w:val="0"/>
                <w:szCs w:val="21"/>
              </w:rPr>
              <w:t>指数智选增强型证券投资基金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华夏智胜价值成长股票型发起式证券投资基金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华夏创新前沿股票型证券投资基金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华夏港股前沿经济混合型证券投资基金（</w:t>
            </w:r>
            <w:r w:rsidRPr="00F0751A">
              <w:rPr>
                <w:color w:val="000000"/>
                <w:kern w:val="0"/>
                <w:szCs w:val="21"/>
              </w:rPr>
              <w:t>QDII</w:t>
            </w:r>
            <w:r w:rsidRPr="00F0751A">
              <w:rPr>
                <w:rFonts w:hAnsi="宋体"/>
                <w:color w:val="000000"/>
                <w:kern w:val="0"/>
                <w:szCs w:val="21"/>
              </w:rPr>
              <w:t>）</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上证</w:t>
            </w:r>
            <w:r w:rsidRPr="00F0751A">
              <w:rPr>
                <w:color w:val="000000"/>
                <w:kern w:val="0"/>
                <w:szCs w:val="21"/>
              </w:rPr>
              <w:t>50</w:t>
            </w:r>
            <w:r w:rsidRPr="00F0751A">
              <w:rPr>
                <w:rFonts w:hAnsi="宋体"/>
                <w:color w:val="000000"/>
                <w:kern w:val="0"/>
                <w:szCs w:val="21"/>
              </w:rPr>
              <w:t>交易型开放式指数证券投资基金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华夏领先股票型证券投资基金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华夏蓝筹核心混合型证券投资基金（</w:t>
            </w:r>
            <w:r w:rsidRPr="00F0751A">
              <w:rPr>
                <w:color w:val="000000"/>
                <w:kern w:val="0"/>
                <w:szCs w:val="21"/>
              </w:rPr>
              <w:t>LOF</w:t>
            </w:r>
            <w:r w:rsidRPr="00F0751A">
              <w:rPr>
                <w:rFonts w:hAnsi="宋体"/>
                <w:color w:val="000000"/>
                <w:kern w:val="0"/>
                <w:szCs w:val="21"/>
              </w:rPr>
              <w:t>）</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华夏平稳增长混合型证券投资基金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华夏消费升级灵活配置混合型证券投资基金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华夏创业板两年定期开放混合型证券投资基金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华夏中证</w:t>
            </w:r>
            <w:r w:rsidRPr="00F0751A">
              <w:rPr>
                <w:color w:val="000000"/>
                <w:kern w:val="0"/>
                <w:szCs w:val="21"/>
              </w:rPr>
              <w:t>5G</w:t>
            </w:r>
            <w:r w:rsidRPr="00F0751A">
              <w:rPr>
                <w:rFonts w:hAnsi="宋体"/>
                <w:color w:val="000000"/>
                <w:kern w:val="0"/>
                <w:szCs w:val="21"/>
              </w:rPr>
              <w:t>通信主题交易型开放式指数证券投资基金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华夏中证科创创业</w:t>
            </w:r>
            <w:r w:rsidRPr="00F0751A">
              <w:rPr>
                <w:color w:val="000000"/>
                <w:kern w:val="0"/>
                <w:szCs w:val="21"/>
              </w:rPr>
              <w:t>50</w:t>
            </w:r>
            <w:r w:rsidRPr="00F0751A">
              <w:rPr>
                <w:rFonts w:hAnsi="宋体"/>
                <w:color w:val="000000"/>
                <w:kern w:val="0"/>
                <w:szCs w:val="21"/>
              </w:rPr>
              <w:t>交易型开放式指数证券投资基金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华夏中证新能源汽车交易型开放式指数证券投资基金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华夏移动互联灵活配置混合型证券投资基金（</w:t>
            </w:r>
            <w:r w:rsidRPr="00F0751A">
              <w:rPr>
                <w:color w:val="000000"/>
                <w:kern w:val="0"/>
                <w:szCs w:val="21"/>
              </w:rPr>
              <w:t>QDII</w:t>
            </w:r>
            <w:r w:rsidRPr="00F0751A">
              <w:rPr>
                <w:rFonts w:hAnsi="宋体"/>
                <w:color w:val="000000"/>
                <w:kern w:val="0"/>
                <w:szCs w:val="21"/>
              </w:rPr>
              <w:t>）</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华夏消费龙头混合型证券投资基金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华夏安泰对冲策略</w:t>
            </w:r>
            <w:r w:rsidRPr="00F0751A">
              <w:rPr>
                <w:color w:val="000000"/>
                <w:kern w:val="0"/>
                <w:szCs w:val="21"/>
              </w:rPr>
              <w:t>3</w:t>
            </w:r>
            <w:r w:rsidRPr="00F0751A">
              <w:rPr>
                <w:rFonts w:hAnsi="宋体"/>
                <w:color w:val="000000"/>
                <w:kern w:val="0"/>
                <w:szCs w:val="21"/>
              </w:rPr>
              <w:t>个月定期开放灵活配置混合型发起式证券投资基金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华夏中证细分食品饮料产业主题交易型开放式指数证券投资基金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r w:rsidR="00F0751A" w:rsidRPr="00F0751A" w:rsidTr="007E58F9">
        <w:trPr>
          <w:trHeight w:val="20"/>
        </w:trPr>
        <w:tc>
          <w:tcPr>
            <w:tcW w:w="5104"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华夏策略精选灵活配置混合型证券投资基金</w:t>
            </w:r>
          </w:p>
        </w:tc>
        <w:tc>
          <w:tcPr>
            <w:tcW w:w="1276" w:type="dxa"/>
            <w:shd w:val="clear" w:color="auto" w:fill="auto"/>
            <w:noWrap/>
            <w:vAlign w:val="center"/>
            <w:hideMark/>
          </w:tcPr>
          <w:p w:rsidR="00F0751A" w:rsidRPr="00F0751A" w:rsidRDefault="00F0751A" w:rsidP="00F0751A">
            <w:pPr>
              <w:widowControl/>
              <w:jc w:val="left"/>
              <w:rPr>
                <w:color w:val="000000"/>
                <w:kern w:val="0"/>
                <w:szCs w:val="21"/>
              </w:rPr>
            </w:pPr>
            <w:r w:rsidRPr="00F0751A">
              <w:rPr>
                <w:rFonts w:hAnsi="宋体"/>
                <w:color w:val="000000"/>
                <w:kern w:val="0"/>
                <w:szCs w:val="21"/>
              </w:rPr>
              <w:t>中国移动</w:t>
            </w:r>
          </w:p>
        </w:tc>
        <w:tc>
          <w:tcPr>
            <w:tcW w:w="1134"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124,803</w:t>
            </w:r>
          </w:p>
        </w:tc>
        <w:tc>
          <w:tcPr>
            <w:tcW w:w="1332" w:type="dxa"/>
            <w:shd w:val="clear" w:color="auto" w:fill="auto"/>
            <w:vAlign w:val="center"/>
            <w:hideMark/>
          </w:tcPr>
          <w:p w:rsidR="00F0751A" w:rsidRPr="00F0751A" w:rsidRDefault="00F0751A" w:rsidP="00F0751A">
            <w:pPr>
              <w:widowControl/>
              <w:jc w:val="right"/>
              <w:rPr>
                <w:color w:val="333333"/>
                <w:kern w:val="0"/>
                <w:szCs w:val="21"/>
              </w:rPr>
            </w:pPr>
            <w:r w:rsidRPr="00F0751A">
              <w:rPr>
                <w:color w:val="333333"/>
                <w:kern w:val="0"/>
                <w:szCs w:val="21"/>
              </w:rPr>
              <w:t>7,186,156.74</w:t>
            </w:r>
          </w:p>
        </w:tc>
      </w:tr>
    </w:tbl>
    <w:p w:rsidR="007E36A0" w:rsidRDefault="005832F0" w:rsidP="007E36A0">
      <w:pPr>
        <w:pStyle w:val="Default"/>
        <w:spacing w:line="360" w:lineRule="auto"/>
        <w:ind w:firstLineChars="200" w:firstLine="480"/>
        <w:outlineLvl w:val="0"/>
        <w:rPr>
          <w:rFonts w:asciiTheme="minorEastAsia" w:eastAsiaTheme="minorEastAsia" w:hAnsiTheme="minorEastAsia" w:cs="Times New Roman"/>
          <w:color w:val="auto"/>
          <w:kern w:val="2"/>
        </w:rPr>
      </w:pPr>
      <w:r w:rsidRPr="00FA1544">
        <w:rPr>
          <w:rFonts w:ascii="Times New Roman" w:eastAsiaTheme="minorEastAsia" w:hAnsiTheme="minorEastAsia" w:cs="Times New Roman" w:hint="eastAsia"/>
          <w:color w:val="000000" w:themeColor="text1"/>
          <w:kern w:val="2"/>
        </w:rPr>
        <w:t>二、</w:t>
      </w:r>
      <w:r w:rsidR="007E36A0" w:rsidRPr="00B52BD6">
        <w:rPr>
          <w:rFonts w:asciiTheme="minorEastAsia" w:eastAsiaTheme="minorEastAsia" w:hAnsiTheme="minorEastAsia" w:cs="Times New Roman" w:hint="eastAsia"/>
          <w:color w:val="auto"/>
          <w:kern w:val="2"/>
        </w:rPr>
        <w:t>参与</w:t>
      </w:r>
      <w:r w:rsidR="007E36A0" w:rsidRPr="007E36A0">
        <w:rPr>
          <w:rFonts w:ascii="Times New Roman" w:eastAsiaTheme="minorEastAsia" w:hAnsiTheme="minorEastAsia" w:cs="Times New Roman" w:hint="eastAsia"/>
          <w:color w:val="000000" w:themeColor="text1"/>
          <w:kern w:val="2"/>
        </w:rPr>
        <w:t>东吴证券</w:t>
      </w:r>
      <w:r w:rsidR="007E36A0">
        <w:rPr>
          <w:rFonts w:ascii="Times New Roman" w:eastAsiaTheme="minorEastAsia" w:hAnsiTheme="minorEastAsia" w:cs="Times New Roman" w:hint="eastAsia"/>
          <w:color w:val="000000" w:themeColor="text1"/>
          <w:kern w:val="2"/>
        </w:rPr>
        <w:t>A</w:t>
      </w:r>
      <w:r w:rsidR="007E36A0">
        <w:rPr>
          <w:rFonts w:ascii="Times New Roman" w:eastAsiaTheme="minorEastAsia" w:hAnsiTheme="minorEastAsia" w:cs="Times New Roman" w:hint="eastAsia"/>
          <w:color w:val="000000" w:themeColor="text1"/>
          <w:kern w:val="2"/>
        </w:rPr>
        <w:t>股</w:t>
      </w:r>
      <w:r w:rsidR="007E36A0" w:rsidRPr="00C861BC">
        <w:rPr>
          <w:rFonts w:ascii="Times New Roman" w:eastAsiaTheme="minorEastAsia" w:hAnsiTheme="minorEastAsia" w:cs="Times New Roman" w:hint="eastAsia"/>
          <w:color w:val="000000" w:themeColor="text1"/>
          <w:kern w:val="2"/>
        </w:rPr>
        <w:t>配股发行</w:t>
      </w:r>
      <w:r w:rsidR="007E36A0">
        <w:rPr>
          <w:rFonts w:asciiTheme="minorEastAsia" w:eastAsiaTheme="minorEastAsia" w:hAnsiTheme="minorEastAsia" w:cs="Times New Roman" w:hint="eastAsia"/>
          <w:color w:val="auto"/>
          <w:kern w:val="2"/>
        </w:rPr>
        <w:t>情况</w:t>
      </w:r>
    </w:p>
    <w:p w:rsidR="007E36A0" w:rsidRDefault="007E36A0" w:rsidP="007E36A0">
      <w:pPr>
        <w:pStyle w:val="Default"/>
        <w:spacing w:line="360" w:lineRule="auto"/>
        <w:ind w:firstLineChars="200" w:firstLine="480"/>
        <w:rPr>
          <w:rFonts w:ascii="Times New Roman" w:eastAsiaTheme="minorEastAsia" w:hAnsiTheme="minorEastAsia" w:cs="Times New Roman"/>
          <w:color w:val="auto"/>
          <w:kern w:val="2"/>
        </w:rPr>
      </w:pPr>
      <w:r w:rsidRPr="007E36A0">
        <w:rPr>
          <w:rFonts w:ascii="Times New Roman" w:eastAsiaTheme="minorEastAsia" w:hAnsiTheme="minorEastAsia" w:cs="Times New Roman" w:hint="eastAsia"/>
          <w:color w:val="000000" w:themeColor="text1"/>
          <w:kern w:val="2"/>
        </w:rPr>
        <w:t>东吴证券</w:t>
      </w:r>
      <w:r w:rsidRPr="00A72139">
        <w:rPr>
          <w:rFonts w:ascii="Times New Roman" w:eastAsiaTheme="minorEastAsia" w:hAnsiTheme="minorEastAsia" w:cs="Times New Roman"/>
          <w:color w:val="auto"/>
          <w:kern w:val="2"/>
        </w:rPr>
        <w:t>本</w:t>
      </w:r>
      <w:r w:rsidRPr="00F0008A">
        <w:rPr>
          <w:rFonts w:ascii="Times New Roman" w:eastAsiaTheme="minorEastAsia" w:hAnsiTheme="minorEastAsia" w:cs="Times New Roman"/>
          <w:color w:val="000000" w:themeColor="text1"/>
          <w:kern w:val="2"/>
        </w:rPr>
        <w:t>次</w:t>
      </w:r>
      <w:r w:rsidR="00D471EB" w:rsidRPr="00F0008A">
        <w:rPr>
          <w:rFonts w:ascii="Times New Roman" w:eastAsiaTheme="minorEastAsia" w:hAnsiTheme="minorEastAsia" w:cs="Times New Roman" w:hint="eastAsia"/>
          <w:color w:val="000000" w:themeColor="text1"/>
          <w:kern w:val="2"/>
        </w:rPr>
        <w:t>向</w:t>
      </w:r>
      <w:r w:rsidR="00097CDF" w:rsidRPr="00F0008A">
        <w:rPr>
          <w:rFonts w:ascii="Times New Roman" w:eastAsiaTheme="minorEastAsia" w:hAnsiTheme="minorEastAsia" w:cs="Times New Roman" w:hint="eastAsia"/>
          <w:color w:val="000000" w:themeColor="text1"/>
          <w:kern w:val="2"/>
        </w:rPr>
        <w:t>截至</w:t>
      </w:r>
      <w:r w:rsidRPr="00F0008A">
        <w:rPr>
          <w:rFonts w:ascii="Times New Roman" w:eastAsiaTheme="minorEastAsia" w:hAnsiTheme="minorEastAsia" w:cs="Times New Roman" w:hint="eastAsia"/>
          <w:color w:val="000000" w:themeColor="text1"/>
          <w:kern w:val="2"/>
        </w:rPr>
        <w:t>2021</w:t>
      </w:r>
      <w:r w:rsidRPr="00F0008A">
        <w:rPr>
          <w:rFonts w:ascii="Times New Roman" w:eastAsiaTheme="minorEastAsia" w:hAnsiTheme="minorEastAsia" w:cs="Times New Roman" w:hint="eastAsia"/>
          <w:color w:val="000000" w:themeColor="text1"/>
          <w:kern w:val="2"/>
        </w:rPr>
        <w:t>年</w:t>
      </w:r>
      <w:r w:rsidRPr="00F0008A">
        <w:rPr>
          <w:rFonts w:ascii="Times New Roman" w:eastAsiaTheme="minorEastAsia" w:hAnsiTheme="minorEastAsia" w:cs="Times New Roman" w:hint="eastAsia"/>
          <w:color w:val="000000" w:themeColor="text1"/>
          <w:kern w:val="2"/>
        </w:rPr>
        <w:t>12</w:t>
      </w:r>
      <w:r w:rsidRPr="00F0008A">
        <w:rPr>
          <w:rFonts w:ascii="Times New Roman" w:eastAsiaTheme="minorEastAsia" w:hAnsiTheme="minorEastAsia" w:cs="Times New Roman" w:hint="eastAsia"/>
          <w:color w:val="000000" w:themeColor="text1"/>
          <w:kern w:val="2"/>
        </w:rPr>
        <w:t>月</w:t>
      </w:r>
      <w:r w:rsidRPr="00F0008A">
        <w:rPr>
          <w:rFonts w:ascii="Times New Roman" w:eastAsiaTheme="minorEastAsia" w:hAnsiTheme="minorEastAsia" w:cs="Times New Roman" w:hint="eastAsia"/>
          <w:color w:val="000000" w:themeColor="text1"/>
          <w:kern w:val="2"/>
        </w:rPr>
        <w:t>14</w:t>
      </w:r>
      <w:r w:rsidRPr="00F0008A">
        <w:rPr>
          <w:rFonts w:ascii="Times New Roman" w:eastAsiaTheme="minorEastAsia" w:hAnsiTheme="minorEastAsia" w:cs="Times New Roman" w:hint="eastAsia"/>
          <w:color w:val="000000" w:themeColor="text1"/>
          <w:kern w:val="2"/>
        </w:rPr>
        <w:t>日</w:t>
      </w:r>
      <w:r w:rsidR="00097CDF" w:rsidRPr="00F0008A">
        <w:rPr>
          <w:rFonts w:ascii="Times New Roman" w:eastAsiaTheme="minorEastAsia" w:hAnsiTheme="minorEastAsia" w:cs="Times New Roman" w:hint="eastAsia"/>
          <w:color w:val="000000" w:themeColor="text1"/>
          <w:kern w:val="2"/>
        </w:rPr>
        <w:t>（</w:t>
      </w:r>
      <w:r w:rsidRPr="00F0008A">
        <w:rPr>
          <w:rFonts w:ascii="Times New Roman" w:eastAsiaTheme="minorEastAsia" w:hAnsiTheme="minorEastAsia" w:cs="Times New Roman"/>
          <w:color w:val="000000" w:themeColor="text1"/>
          <w:kern w:val="2"/>
        </w:rPr>
        <w:t>股权登记日</w:t>
      </w:r>
      <w:r w:rsidR="00097CDF" w:rsidRPr="00F0008A">
        <w:rPr>
          <w:rFonts w:ascii="Times New Roman" w:eastAsiaTheme="minorEastAsia" w:hAnsiTheme="minorEastAsia" w:cs="Times New Roman" w:hint="eastAsia"/>
          <w:color w:val="000000" w:themeColor="text1"/>
          <w:kern w:val="2"/>
        </w:rPr>
        <w:t>）</w:t>
      </w:r>
      <w:r w:rsidR="00097CDF" w:rsidRPr="00F0008A">
        <w:rPr>
          <w:rFonts w:ascii="Times New Roman" w:eastAsiaTheme="minorEastAsia" w:hAnsiTheme="minorEastAsia" w:cs="Times New Roman"/>
          <w:color w:val="000000" w:themeColor="text1"/>
          <w:kern w:val="2"/>
        </w:rPr>
        <w:t>下午上海证券交易所收市后，在中国证券登记结算有限责任公司上海分公司登记在册的东吴证券全体股东</w:t>
      </w:r>
      <w:r w:rsidR="00A45201" w:rsidRPr="007E36A0">
        <w:rPr>
          <w:rFonts w:ascii="Times New Roman" w:eastAsiaTheme="minorEastAsia" w:hAnsiTheme="minorEastAsia" w:cs="Times New Roman" w:hint="eastAsia"/>
          <w:color w:val="auto"/>
          <w:kern w:val="2"/>
        </w:rPr>
        <w:t>（不包括公司回购专用账户）</w:t>
      </w:r>
      <w:r w:rsidRPr="00F0008A">
        <w:rPr>
          <w:rFonts w:ascii="Times New Roman" w:eastAsiaTheme="minorEastAsia" w:hAnsiTheme="minorEastAsia" w:cs="Times New Roman"/>
          <w:color w:val="000000" w:themeColor="text1"/>
          <w:kern w:val="2"/>
        </w:rPr>
        <w:t>，</w:t>
      </w:r>
      <w:r w:rsidRPr="007E36A0">
        <w:rPr>
          <w:rFonts w:ascii="Times New Roman" w:eastAsiaTheme="minorEastAsia" w:hAnsiTheme="minorEastAsia" w:cs="Times New Roman" w:hint="eastAsia"/>
          <w:color w:val="auto"/>
          <w:kern w:val="2"/>
        </w:rPr>
        <w:t>按每</w:t>
      </w:r>
      <w:r w:rsidRPr="007E36A0">
        <w:rPr>
          <w:rFonts w:ascii="Times New Roman" w:eastAsiaTheme="minorEastAsia" w:hAnsiTheme="minorEastAsia" w:cs="Times New Roman" w:hint="eastAsia"/>
          <w:color w:val="auto"/>
          <w:kern w:val="2"/>
        </w:rPr>
        <w:t>10</w:t>
      </w:r>
      <w:r w:rsidRPr="007E36A0">
        <w:rPr>
          <w:rFonts w:ascii="Times New Roman" w:eastAsiaTheme="minorEastAsia" w:hAnsiTheme="minorEastAsia" w:cs="Times New Roman" w:hint="eastAsia"/>
          <w:color w:val="auto"/>
          <w:kern w:val="2"/>
        </w:rPr>
        <w:t>股配</w:t>
      </w:r>
      <w:r w:rsidRPr="007E36A0">
        <w:rPr>
          <w:rFonts w:ascii="Times New Roman" w:eastAsiaTheme="minorEastAsia" w:hAnsiTheme="minorEastAsia" w:cs="Times New Roman" w:hint="eastAsia"/>
          <w:color w:val="auto"/>
          <w:kern w:val="2"/>
        </w:rPr>
        <w:t>3</w:t>
      </w:r>
      <w:r w:rsidRPr="007E36A0">
        <w:rPr>
          <w:rFonts w:ascii="Times New Roman" w:eastAsiaTheme="minorEastAsia" w:hAnsiTheme="minorEastAsia" w:cs="Times New Roman" w:hint="eastAsia"/>
          <w:color w:val="auto"/>
          <w:kern w:val="2"/>
        </w:rPr>
        <w:t>股的比例</w:t>
      </w:r>
      <w:r w:rsidR="00A45201">
        <w:rPr>
          <w:rFonts w:ascii="Times New Roman" w:eastAsiaTheme="minorEastAsia" w:hAnsiTheme="minorEastAsia" w:cs="Times New Roman" w:hint="eastAsia"/>
          <w:color w:val="auto"/>
          <w:kern w:val="2"/>
        </w:rPr>
        <w:t>进行配售。</w:t>
      </w:r>
      <w:r w:rsidRPr="00A72139">
        <w:rPr>
          <w:rFonts w:ascii="Times New Roman" w:eastAsiaTheme="minorEastAsia" w:hAnsiTheme="minorEastAsia" w:cs="Times New Roman"/>
          <w:color w:val="auto"/>
          <w:kern w:val="2"/>
        </w:rPr>
        <w:t>本次</w:t>
      </w:r>
      <w:r w:rsidRPr="00CB3729">
        <w:rPr>
          <w:rFonts w:ascii="Times New Roman" w:eastAsiaTheme="minorEastAsia" w:cs="Times New Roman"/>
          <w:color w:val="auto"/>
          <w:kern w:val="2"/>
        </w:rPr>
        <w:t>A</w:t>
      </w:r>
      <w:r w:rsidRPr="00A72139">
        <w:rPr>
          <w:rFonts w:asciiTheme="minorEastAsia" w:eastAsiaTheme="minorEastAsia" w:hAnsiTheme="minorEastAsia" w:cs="Times New Roman"/>
          <w:color w:val="auto"/>
          <w:kern w:val="2"/>
        </w:rPr>
        <w:t>股</w:t>
      </w:r>
      <w:r w:rsidRPr="00A72139">
        <w:rPr>
          <w:rFonts w:ascii="Times New Roman" w:eastAsiaTheme="minorEastAsia" w:hAnsiTheme="minorEastAsia" w:cs="Times New Roman"/>
          <w:color w:val="auto"/>
          <w:kern w:val="2"/>
        </w:rPr>
        <w:t>配股代码为</w:t>
      </w:r>
      <w:r w:rsidRPr="00A72139">
        <w:rPr>
          <w:rFonts w:asciiTheme="minorEastAsia" w:eastAsiaTheme="minorEastAsia" w:hAnsiTheme="minorEastAsia" w:cs="Times New Roman"/>
          <w:color w:val="auto"/>
          <w:kern w:val="2"/>
        </w:rPr>
        <w:t>“</w:t>
      </w:r>
      <w:r w:rsidRPr="007E36A0">
        <w:rPr>
          <w:rFonts w:ascii="Times New Roman" w:eastAsiaTheme="minorEastAsia" w:cs="Times New Roman"/>
        </w:rPr>
        <w:t>760555</w:t>
      </w:r>
      <w:r w:rsidRPr="00A72139">
        <w:rPr>
          <w:rFonts w:asciiTheme="minorEastAsia" w:eastAsiaTheme="minorEastAsia" w:hAnsiTheme="minorEastAsia" w:cs="Times New Roman"/>
          <w:color w:val="auto"/>
          <w:kern w:val="2"/>
        </w:rPr>
        <w:t>”</w:t>
      </w:r>
      <w:r w:rsidRPr="00A72139">
        <w:rPr>
          <w:rFonts w:ascii="Times New Roman" w:eastAsiaTheme="minorEastAsia" w:hAnsiTheme="minorEastAsia" w:cs="Times New Roman"/>
          <w:color w:val="auto"/>
          <w:kern w:val="2"/>
        </w:rPr>
        <w:t>，配股简称为</w:t>
      </w:r>
      <w:r w:rsidRPr="00A72139">
        <w:rPr>
          <w:rFonts w:asciiTheme="minorEastAsia" w:eastAsiaTheme="minorEastAsia" w:hAnsiTheme="minorEastAsia" w:cs="Times New Roman"/>
          <w:color w:val="auto"/>
          <w:kern w:val="2"/>
        </w:rPr>
        <w:t>“</w:t>
      </w:r>
      <w:r w:rsidRPr="007E36A0">
        <w:rPr>
          <w:rFonts w:ascii="Times New Roman" w:eastAsiaTheme="minorEastAsia" w:hAnsiTheme="minorEastAsia" w:cs="Times New Roman" w:hint="eastAsia"/>
          <w:color w:val="auto"/>
          <w:kern w:val="2"/>
        </w:rPr>
        <w:t>东吴配股</w:t>
      </w:r>
      <w:r w:rsidRPr="00A72139">
        <w:rPr>
          <w:rFonts w:asciiTheme="minorEastAsia" w:eastAsiaTheme="minorEastAsia" w:hAnsiTheme="minorEastAsia" w:cs="Times New Roman"/>
          <w:color w:val="auto"/>
          <w:kern w:val="2"/>
        </w:rPr>
        <w:t>”，</w:t>
      </w:r>
      <w:r w:rsidRPr="00A72139">
        <w:rPr>
          <w:rFonts w:ascii="Times New Roman" w:eastAsiaTheme="minorEastAsia" w:hAnsiTheme="minorEastAsia" w:cs="Times New Roman"/>
          <w:color w:val="auto"/>
          <w:kern w:val="2"/>
        </w:rPr>
        <w:t>配股价格为</w:t>
      </w:r>
      <w:r w:rsidRPr="007E36A0">
        <w:rPr>
          <w:rFonts w:ascii="Times New Roman" w:eastAsiaTheme="minorEastAsia" w:cs="Times New Roman"/>
        </w:rPr>
        <w:t>7.19</w:t>
      </w:r>
      <w:r w:rsidRPr="00A72139">
        <w:rPr>
          <w:rFonts w:ascii="Times New Roman" w:eastAsiaTheme="minorEastAsia" w:hAnsiTheme="minorEastAsia" w:cs="Times New Roman"/>
          <w:color w:val="auto"/>
          <w:kern w:val="2"/>
        </w:rPr>
        <w:t>元</w:t>
      </w:r>
      <w:r w:rsidRPr="00A72139">
        <w:rPr>
          <w:rFonts w:ascii="Times New Roman" w:eastAsiaTheme="minorEastAsia" w:cs="Times New Roman"/>
          <w:color w:val="auto"/>
          <w:kern w:val="2"/>
        </w:rPr>
        <w:t>/</w:t>
      </w:r>
      <w:r w:rsidRPr="00A72139">
        <w:rPr>
          <w:rFonts w:ascii="Times New Roman" w:eastAsiaTheme="minorEastAsia" w:hAnsiTheme="minorEastAsia" w:cs="Times New Roman"/>
          <w:color w:val="auto"/>
          <w:kern w:val="2"/>
        </w:rPr>
        <w:t>股，配股价格</w:t>
      </w:r>
      <w:r w:rsidRPr="007E36A0">
        <w:rPr>
          <w:rFonts w:ascii="Times New Roman" w:eastAsiaTheme="minorEastAsia" w:hAnsiTheme="minorEastAsia" w:cs="Times New Roman" w:hint="eastAsia"/>
          <w:color w:val="auto"/>
          <w:kern w:val="2"/>
        </w:rPr>
        <w:t>参照公司股票在二级市场上的价格、市盈率状况及公司发展需要</w:t>
      </w:r>
      <w:r w:rsidR="00EB47EB">
        <w:rPr>
          <w:rFonts w:ascii="Times New Roman" w:eastAsiaTheme="minorEastAsia" w:hAnsiTheme="minorEastAsia" w:cs="Times New Roman" w:hint="eastAsia"/>
          <w:color w:val="auto"/>
          <w:kern w:val="2"/>
        </w:rPr>
        <w:t>，</w:t>
      </w:r>
      <w:r w:rsidRPr="007E36A0">
        <w:rPr>
          <w:rFonts w:ascii="Times New Roman" w:eastAsiaTheme="minorEastAsia" w:hAnsiTheme="minorEastAsia" w:cs="Times New Roman" w:hint="eastAsia"/>
          <w:color w:val="auto"/>
          <w:kern w:val="2"/>
        </w:rPr>
        <w:t>综合考虑公司的发展前景和本次募集资金计划的资金需求量</w:t>
      </w:r>
      <w:r w:rsidR="00F0008A">
        <w:rPr>
          <w:rFonts w:ascii="Times New Roman" w:eastAsiaTheme="minorEastAsia" w:hAnsiTheme="minorEastAsia" w:cs="Times New Roman" w:hint="eastAsia"/>
          <w:color w:val="auto"/>
          <w:kern w:val="2"/>
        </w:rPr>
        <w:t>，</w:t>
      </w:r>
      <w:r w:rsidRPr="007E36A0">
        <w:rPr>
          <w:rFonts w:ascii="Times New Roman" w:eastAsiaTheme="minorEastAsia" w:hAnsiTheme="minorEastAsia" w:cs="Times New Roman" w:hint="eastAsia"/>
          <w:color w:val="auto"/>
          <w:kern w:val="2"/>
        </w:rPr>
        <w:t>由发行人与保荐机构（主承销商）协商确定</w:t>
      </w:r>
      <w:r>
        <w:rPr>
          <w:rFonts w:ascii="Times New Roman" w:eastAsiaTheme="minorEastAsia" w:hAnsiTheme="minorEastAsia" w:cs="Times New Roman" w:hint="eastAsia"/>
          <w:color w:val="auto"/>
          <w:kern w:val="2"/>
        </w:rPr>
        <w:t>。</w:t>
      </w:r>
      <w:r w:rsidRPr="00C861BC">
        <w:rPr>
          <w:rFonts w:ascii="Times New Roman" w:eastAsiaTheme="minorEastAsia" w:hAnsiTheme="minorEastAsia" w:cs="Times New Roman" w:hint="eastAsia"/>
          <w:color w:val="auto"/>
          <w:kern w:val="2"/>
        </w:rPr>
        <w:t>现将本公司旗下</w:t>
      </w:r>
      <w:r>
        <w:rPr>
          <w:rFonts w:ascii="Times New Roman" w:eastAsiaTheme="minorEastAsia" w:hAnsiTheme="minorEastAsia" w:cs="Times New Roman" w:hint="eastAsia"/>
          <w:color w:val="auto"/>
          <w:kern w:val="2"/>
        </w:rPr>
        <w:t>国信证券托管的</w:t>
      </w:r>
      <w:r w:rsidRPr="00C861BC">
        <w:rPr>
          <w:rFonts w:ascii="Times New Roman" w:eastAsiaTheme="minorEastAsia" w:hAnsiTheme="minorEastAsia" w:cs="Times New Roman" w:hint="eastAsia"/>
          <w:color w:val="auto"/>
          <w:kern w:val="2"/>
        </w:rPr>
        <w:t>公募基金参与</w:t>
      </w:r>
      <w:r w:rsidRPr="007E36A0">
        <w:rPr>
          <w:rFonts w:ascii="Times New Roman" w:eastAsiaTheme="minorEastAsia" w:hAnsiTheme="minorEastAsia" w:cs="Times New Roman" w:hint="eastAsia"/>
          <w:color w:val="000000" w:themeColor="text1"/>
          <w:kern w:val="2"/>
        </w:rPr>
        <w:t>东吴证券</w:t>
      </w:r>
      <w:r w:rsidRPr="00C861BC">
        <w:rPr>
          <w:rFonts w:ascii="Times New Roman" w:eastAsiaTheme="minorEastAsia" w:hAnsiTheme="minorEastAsia" w:cs="Times New Roman" w:hint="eastAsia"/>
          <w:color w:val="auto"/>
          <w:kern w:val="2"/>
        </w:rPr>
        <w:t>本次</w:t>
      </w:r>
      <w:r w:rsidRPr="00C861BC">
        <w:rPr>
          <w:rFonts w:ascii="Times New Roman" w:eastAsiaTheme="minorEastAsia" w:hAnsiTheme="minorEastAsia" w:cs="Times New Roman" w:hint="eastAsia"/>
          <w:color w:val="auto"/>
          <w:kern w:val="2"/>
        </w:rPr>
        <w:t>A</w:t>
      </w:r>
      <w:r w:rsidRPr="00C861BC">
        <w:rPr>
          <w:rFonts w:ascii="Times New Roman" w:eastAsiaTheme="minorEastAsia" w:hAnsiTheme="minorEastAsia" w:cs="Times New Roman" w:hint="eastAsia"/>
          <w:color w:val="auto"/>
          <w:kern w:val="2"/>
        </w:rPr>
        <w:t>股配股发行的相关信息公告如下：</w:t>
      </w:r>
      <w:bookmarkStart w:id="0" w:name="_GoBack"/>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276"/>
        <w:gridCol w:w="1417"/>
        <w:gridCol w:w="1474"/>
      </w:tblGrid>
      <w:tr w:rsidR="007E36A0" w:rsidRPr="00F0751A" w:rsidTr="007E36A0">
        <w:trPr>
          <w:trHeight w:val="20"/>
        </w:trPr>
        <w:tc>
          <w:tcPr>
            <w:tcW w:w="4679" w:type="dxa"/>
            <w:shd w:val="clear" w:color="auto" w:fill="auto"/>
            <w:noWrap/>
            <w:vAlign w:val="center"/>
            <w:hideMark/>
          </w:tcPr>
          <w:p w:rsidR="007E36A0" w:rsidRPr="00F0751A" w:rsidRDefault="007E36A0" w:rsidP="008E6F9F">
            <w:pPr>
              <w:widowControl/>
              <w:jc w:val="center"/>
              <w:rPr>
                <w:color w:val="000000"/>
                <w:kern w:val="0"/>
                <w:szCs w:val="21"/>
              </w:rPr>
            </w:pPr>
            <w:r w:rsidRPr="00F0751A">
              <w:rPr>
                <w:rFonts w:hAnsi="宋体"/>
                <w:color w:val="000000"/>
                <w:kern w:val="0"/>
                <w:szCs w:val="21"/>
              </w:rPr>
              <w:t>基金名称</w:t>
            </w:r>
          </w:p>
        </w:tc>
        <w:tc>
          <w:tcPr>
            <w:tcW w:w="1276" w:type="dxa"/>
            <w:shd w:val="clear" w:color="auto" w:fill="auto"/>
            <w:noWrap/>
            <w:vAlign w:val="center"/>
            <w:hideMark/>
          </w:tcPr>
          <w:p w:rsidR="007E36A0" w:rsidRPr="00F0751A" w:rsidRDefault="007E36A0" w:rsidP="008E6F9F">
            <w:pPr>
              <w:widowControl/>
              <w:jc w:val="center"/>
              <w:rPr>
                <w:color w:val="000000"/>
                <w:kern w:val="0"/>
                <w:szCs w:val="21"/>
              </w:rPr>
            </w:pPr>
            <w:r w:rsidRPr="00F0751A">
              <w:rPr>
                <w:rFonts w:hAnsi="宋体"/>
                <w:color w:val="000000"/>
                <w:kern w:val="0"/>
                <w:szCs w:val="21"/>
              </w:rPr>
              <w:t>获配证券</w:t>
            </w:r>
          </w:p>
          <w:p w:rsidR="007E36A0" w:rsidRPr="00F0751A" w:rsidRDefault="007E36A0" w:rsidP="008E6F9F">
            <w:pPr>
              <w:jc w:val="center"/>
              <w:rPr>
                <w:color w:val="000000"/>
                <w:kern w:val="0"/>
                <w:szCs w:val="21"/>
              </w:rPr>
            </w:pPr>
            <w:r w:rsidRPr="00F0751A">
              <w:rPr>
                <w:rFonts w:hAnsi="宋体"/>
                <w:color w:val="000000"/>
                <w:kern w:val="0"/>
                <w:szCs w:val="21"/>
              </w:rPr>
              <w:t>名称</w:t>
            </w:r>
          </w:p>
        </w:tc>
        <w:tc>
          <w:tcPr>
            <w:tcW w:w="1417" w:type="dxa"/>
            <w:shd w:val="clear" w:color="auto" w:fill="auto"/>
            <w:vAlign w:val="center"/>
            <w:hideMark/>
          </w:tcPr>
          <w:p w:rsidR="007E36A0" w:rsidRPr="00F0751A" w:rsidRDefault="007E36A0" w:rsidP="008E6F9F">
            <w:pPr>
              <w:widowControl/>
              <w:jc w:val="center"/>
              <w:rPr>
                <w:color w:val="000000"/>
                <w:kern w:val="0"/>
                <w:szCs w:val="21"/>
              </w:rPr>
            </w:pPr>
            <w:r w:rsidRPr="00F0751A">
              <w:rPr>
                <w:rFonts w:hAnsi="宋体"/>
                <w:color w:val="000000"/>
                <w:kern w:val="0"/>
                <w:szCs w:val="21"/>
              </w:rPr>
              <w:t>获配数量</w:t>
            </w:r>
          </w:p>
          <w:p w:rsidR="007E36A0" w:rsidRPr="00F0751A" w:rsidRDefault="007E36A0" w:rsidP="008E6F9F">
            <w:pPr>
              <w:jc w:val="center"/>
              <w:rPr>
                <w:color w:val="000000"/>
                <w:kern w:val="0"/>
                <w:szCs w:val="21"/>
              </w:rPr>
            </w:pPr>
            <w:r w:rsidRPr="00F0751A">
              <w:rPr>
                <w:rFonts w:hAnsi="宋体"/>
                <w:color w:val="000000"/>
                <w:kern w:val="0"/>
                <w:szCs w:val="21"/>
              </w:rPr>
              <w:t>（股）</w:t>
            </w:r>
          </w:p>
        </w:tc>
        <w:tc>
          <w:tcPr>
            <w:tcW w:w="1474" w:type="dxa"/>
            <w:shd w:val="clear" w:color="auto" w:fill="auto"/>
            <w:vAlign w:val="center"/>
            <w:hideMark/>
          </w:tcPr>
          <w:p w:rsidR="007E36A0" w:rsidRPr="00F0751A" w:rsidRDefault="007E36A0" w:rsidP="008E6F9F">
            <w:pPr>
              <w:widowControl/>
              <w:jc w:val="center"/>
              <w:rPr>
                <w:color w:val="000000"/>
                <w:kern w:val="0"/>
                <w:szCs w:val="21"/>
              </w:rPr>
            </w:pPr>
            <w:r w:rsidRPr="00F0751A">
              <w:rPr>
                <w:rFonts w:hAnsi="宋体"/>
                <w:color w:val="000000"/>
                <w:kern w:val="0"/>
                <w:szCs w:val="21"/>
              </w:rPr>
              <w:t>获配金额</w:t>
            </w:r>
          </w:p>
          <w:p w:rsidR="007E36A0" w:rsidRPr="00F0751A" w:rsidRDefault="007E36A0" w:rsidP="008E6F9F">
            <w:pPr>
              <w:jc w:val="center"/>
              <w:rPr>
                <w:color w:val="000000"/>
                <w:kern w:val="0"/>
                <w:szCs w:val="21"/>
              </w:rPr>
            </w:pPr>
            <w:r w:rsidRPr="00F0751A">
              <w:rPr>
                <w:rFonts w:hAnsi="宋体"/>
                <w:color w:val="000000"/>
                <w:kern w:val="0"/>
                <w:szCs w:val="21"/>
              </w:rPr>
              <w:t>（元）</w:t>
            </w:r>
          </w:p>
        </w:tc>
      </w:tr>
      <w:tr w:rsidR="007E36A0" w:rsidRPr="00F0751A" w:rsidTr="007E36A0">
        <w:trPr>
          <w:trHeight w:val="20"/>
        </w:trPr>
        <w:tc>
          <w:tcPr>
            <w:tcW w:w="4679" w:type="dxa"/>
            <w:shd w:val="clear" w:color="auto" w:fill="auto"/>
            <w:noWrap/>
            <w:vAlign w:val="bottom"/>
            <w:hideMark/>
          </w:tcPr>
          <w:p w:rsidR="007E36A0" w:rsidRPr="00F0751A" w:rsidRDefault="007E36A0" w:rsidP="008E6F9F">
            <w:pPr>
              <w:widowControl/>
              <w:jc w:val="left"/>
              <w:rPr>
                <w:color w:val="000000"/>
                <w:kern w:val="0"/>
                <w:szCs w:val="21"/>
              </w:rPr>
            </w:pPr>
            <w:r w:rsidRPr="00F0751A">
              <w:rPr>
                <w:rFonts w:hAnsi="宋体"/>
                <w:color w:val="000000"/>
                <w:kern w:val="0"/>
                <w:szCs w:val="21"/>
              </w:rPr>
              <w:t>华夏中证</w:t>
            </w:r>
            <w:r w:rsidRPr="00F0751A">
              <w:rPr>
                <w:color w:val="000000"/>
                <w:kern w:val="0"/>
                <w:szCs w:val="21"/>
              </w:rPr>
              <w:t>500</w:t>
            </w:r>
            <w:r w:rsidRPr="00F0751A">
              <w:rPr>
                <w:rFonts w:hAnsi="宋体"/>
                <w:color w:val="000000"/>
                <w:kern w:val="0"/>
                <w:szCs w:val="21"/>
              </w:rPr>
              <w:t>指数智选增强型证券投资基金</w:t>
            </w:r>
          </w:p>
        </w:tc>
        <w:tc>
          <w:tcPr>
            <w:tcW w:w="1276" w:type="dxa"/>
            <w:shd w:val="clear" w:color="auto" w:fill="auto"/>
            <w:noWrap/>
            <w:vAlign w:val="bottom"/>
            <w:hideMark/>
          </w:tcPr>
          <w:p w:rsidR="007E36A0" w:rsidRPr="00F0751A" w:rsidRDefault="007E36A0" w:rsidP="008E6F9F">
            <w:pPr>
              <w:widowControl/>
              <w:jc w:val="left"/>
              <w:rPr>
                <w:color w:val="000000"/>
                <w:kern w:val="0"/>
                <w:szCs w:val="21"/>
              </w:rPr>
            </w:pPr>
            <w:r w:rsidRPr="007E36A0">
              <w:rPr>
                <w:rFonts w:eastAsiaTheme="minorEastAsia" w:hAnsiTheme="minorEastAsia" w:hint="eastAsia"/>
                <w:color w:val="000000" w:themeColor="text1"/>
              </w:rPr>
              <w:t>东吴证券</w:t>
            </w:r>
          </w:p>
        </w:tc>
        <w:tc>
          <w:tcPr>
            <w:tcW w:w="1417" w:type="dxa"/>
            <w:shd w:val="clear" w:color="auto" w:fill="auto"/>
            <w:vAlign w:val="bottom"/>
            <w:hideMark/>
          </w:tcPr>
          <w:p w:rsidR="007E36A0" w:rsidRPr="007E36A0" w:rsidRDefault="007E36A0" w:rsidP="007E36A0">
            <w:r w:rsidRPr="007E36A0">
              <w:t xml:space="preserve">420,930.00 </w:t>
            </w:r>
          </w:p>
        </w:tc>
        <w:tc>
          <w:tcPr>
            <w:tcW w:w="1474" w:type="dxa"/>
            <w:shd w:val="clear" w:color="auto" w:fill="auto"/>
            <w:vAlign w:val="bottom"/>
            <w:hideMark/>
          </w:tcPr>
          <w:p w:rsidR="007E36A0" w:rsidRPr="007E36A0" w:rsidRDefault="007E36A0" w:rsidP="007E36A0">
            <w:r w:rsidRPr="007E36A0">
              <w:t xml:space="preserve">3,026,486.70 </w:t>
            </w:r>
          </w:p>
        </w:tc>
      </w:tr>
    </w:tbl>
    <w:p w:rsidR="00624130" w:rsidRDefault="00624130" w:rsidP="007E36A0">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2A6027" w:rsidRDefault="002A6027" w:rsidP="007E36A0">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lastRenderedPageBreak/>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CE2E66">
        <w:rPr>
          <w:rFonts w:ascii="宋体" w:hAnsi="宋体"/>
          <w:color w:val="000000"/>
          <w:sz w:val="24"/>
        </w:rPr>
        <w:t>十二</w:t>
      </w:r>
      <w:r w:rsidR="002C2308" w:rsidRPr="00B52BD6">
        <w:rPr>
          <w:rFonts w:hAnsi="宋体"/>
          <w:color w:val="000000"/>
          <w:sz w:val="24"/>
        </w:rPr>
        <w:t>月</w:t>
      </w:r>
      <w:r w:rsidR="002A0E18">
        <w:rPr>
          <w:rFonts w:hAnsi="宋体" w:hint="eastAsia"/>
          <w:color w:val="000000"/>
          <w:sz w:val="24"/>
        </w:rPr>
        <w:t>二十五</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5F" w:rsidRDefault="0004115F">
      <w:r>
        <w:separator/>
      </w:r>
    </w:p>
  </w:endnote>
  <w:endnote w:type="continuationSeparator" w:id="0">
    <w:p w:rsidR="0004115F" w:rsidRDefault="00041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20A88"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20A88" w:rsidP="000933A1">
    <w:pPr>
      <w:pStyle w:val="a4"/>
      <w:jc w:val="center"/>
    </w:pPr>
    <w:r w:rsidRPr="00420A88">
      <w:fldChar w:fldCharType="begin"/>
    </w:r>
    <w:r w:rsidR="00E955E5">
      <w:instrText xml:space="preserve"> PAGE   \* MERGEFORMAT </w:instrText>
    </w:r>
    <w:r w:rsidRPr="00420A88">
      <w:fldChar w:fldCharType="separate"/>
    </w:r>
    <w:r w:rsidR="00E40293" w:rsidRPr="00E40293">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5F" w:rsidRDefault="0004115F">
      <w:r>
        <w:separator/>
      </w:r>
    </w:p>
  </w:footnote>
  <w:footnote w:type="continuationSeparator" w:id="0">
    <w:p w:rsidR="0004115F" w:rsidRDefault="00041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115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97CDF"/>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0E18"/>
    <w:rsid w:val="002A144A"/>
    <w:rsid w:val="002A2618"/>
    <w:rsid w:val="002A263F"/>
    <w:rsid w:val="002A3B6A"/>
    <w:rsid w:val="002A6027"/>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97319"/>
    <w:rsid w:val="003A0AC8"/>
    <w:rsid w:val="003A1CA7"/>
    <w:rsid w:val="003A44B8"/>
    <w:rsid w:val="003A5DC1"/>
    <w:rsid w:val="003A7326"/>
    <w:rsid w:val="003A7596"/>
    <w:rsid w:val="003B0005"/>
    <w:rsid w:val="003B1C62"/>
    <w:rsid w:val="003B52FA"/>
    <w:rsid w:val="003B5E35"/>
    <w:rsid w:val="003B647D"/>
    <w:rsid w:val="003B6985"/>
    <w:rsid w:val="003C39B4"/>
    <w:rsid w:val="003C3D0B"/>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3356"/>
    <w:rsid w:val="00403E50"/>
    <w:rsid w:val="0040455D"/>
    <w:rsid w:val="00404A7C"/>
    <w:rsid w:val="004054A7"/>
    <w:rsid w:val="00411EAA"/>
    <w:rsid w:val="0041241D"/>
    <w:rsid w:val="00414407"/>
    <w:rsid w:val="004155AF"/>
    <w:rsid w:val="00420A88"/>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6DF3"/>
    <w:rsid w:val="005C73A0"/>
    <w:rsid w:val="005D26FA"/>
    <w:rsid w:val="005D6173"/>
    <w:rsid w:val="005E2B89"/>
    <w:rsid w:val="005E5C7B"/>
    <w:rsid w:val="005F0C13"/>
    <w:rsid w:val="005F0D14"/>
    <w:rsid w:val="005F1977"/>
    <w:rsid w:val="005F22F5"/>
    <w:rsid w:val="005F2778"/>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36A0"/>
    <w:rsid w:val="007E52A8"/>
    <w:rsid w:val="007E58F9"/>
    <w:rsid w:val="007E781F"/>
    <w:rsid w:val="007F19DB"/>
    <w:rsid w:val="007F2B6C"/>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E4415"/>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44E8"/>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5201"/>
    <w:rsid w:val="00A47DD9"/>
    <w:rsid w:val="00A54FC6"/>
    <w:rsid w:val="00A554A3"/>
    <w:rsid w:val="00A55675"/>
    <w:rsid w:val="00A56DF7"/>
    <w:rsid w:val="00A57BF3"/>
    <w:rsid w:val="00A65825"/>
    <w:rsid w:val="00A677C6"/>
    <w:rsid w:val="00A72139"/>
    <w:rsid w:val="00A732BC"/>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0D72"/>
    <w:rsid w:val="00AF16C4"/>
    <w:rsid w:val="00AF1C2F"/>
    <w:rsid w:val="00AF3E00"/>
    <w:rsid w:val="00AF6863"/>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4332"/>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2E66"/>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6AF2"/>
    <w:rsid w:val="00D17575"/>
    <w:rsid w:val="00D17649"/>
    <w:rsid w:val="00D220DF"/>
    <w:rsid w:val="00D26751"/>
    <w:rsid w:val="00D329B3"/>
    <w:rsid w:val="00D32FCA"/>
    <w:rsid w:val="00D35197"/>
    <w:rsid w:val="00D4046B"/>
    <w:rsid w:val="00D40E4E"/>
    <w:rsid w:val="00D423F2"/>
    <w:rsid w:val="00D451A0"/>
    <w:rsid w:val="00D451ED"/>
    <w:rsid w:val="00D457F8"/>
    <w:rsid w:val="00D471EB"/>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240F"/>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0293"/>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47EB"/>
    <w:rsid w:val="00EB5AAD"/>
    <w:rsid w:val="00EB77D4"/>
    <w:rsid w:val="00EC232D"/>
    <w:rsid w:val="00ED1A2E"/>
    <w:rsid w:val="00ED1C28"/>
    <w:rsid w:val="00ED2832"/>
    <w:rsid w:val="00ED697D"/>
    <w:rsid w:val="00EE04A5"/>
    <w:rsid w:val="00EE365F"/>
    <w:rsid w:val="00EE3AA5"/>
    <w:rsid w:val="00EE5593"/>
    <w:rsid w:val="00EE6B53"/>
    <w:rsid w:val="00EF1F00"/>
    <w:rsid w:val="00EF404F"/>
    <w:rsid w:val="00F0008A"/>
    <w:rsid w:val="00F01021"/>
    <w:rsid w:val="00F03E8C"/>
    <w:rsid w:val="00F03EEE"/>
    <w:rsid w:val="00F0751A"/>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4EF"/>
    <w:rsid w:val="00F81A97"/>
    <w:rsid w:val="00F84CA3"/>
    <w:rsid w:val="00F90A47"/>
    <w:rsid w:val="00F911B9"/>
    <w:rsid w:val="00F91A6D"/>
    <w:rsid w:val="00F92CA1"/>
    <w:rsid w:val="00F9647C"/>
    <w:rsid w:val="00FA059B"/>
    <w:rsid w:val="00FA1544"/>
    <w:rsid w:val="00FA2009"/>
    <w:rsid w:val="00FA4B88"/>
    <w:rsid w:val="00FB1579"/>
    <w:rsid w:val="00FB27D3"/>
    <w:rsid w:val="00FB7A38"/>
    <w:rsid w:val="00FC25C6"/>
    <w:rsid w:val="00FC4AFE"/>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361325604">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69133182">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59517038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AA79F-16BE-4614-A36F-09BB5E87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2301</Characters>
  <Application>Microsoft Office Word</Application>
  <DocSecurity>4</DocSecurity>
  <Lines>19</Lines>
  <Paragraphs>5</Paragraphs>
  <ScaleCrop>false</ScaleCrop>
  <Company>CHINAAMC</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2021-12-24T16:01:00Z</dcterms:created>
  <dcterms:modified xsi:type="dcterms:W3CDTF">2021-12-24T16:01:00Z</dcterms:modified>
</cp:coreProperties>
</file>