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A9" w:rsidRDefault="00BB3D8E" w:rsidP="00260CA9">
      <w:pPr>
        <w:jc w:val="center"/>
        <w:rPr>
          <w:b/>
          <w:sz w:val="28"/>
          <w:szCs w:val="28"/>
        </w:rPr>
      </w:pPr>
      <w:r w:rsidRPr="00BB3D8E">
        <w:rPr>
          <w:rFonts w:hint="eastAsia"/>
          <w:b/>
          <w:sz w:val="28"/>
          <w:szCs w:val="28"/>
        </w:rPr>
        <w:t>西部利得基金管理有限公司关于</w:t>
      </w:r>
      <w:r w:rsidR="00260CA9">
        <w:rPr>
          <w:rFonts w:hint="eastAsia"/>
          <w:b/>
          <w:sz w:val="28"/>
          <w:szCs w:val="28"/>
        </w:rPr>
        <w:t>旗下部分公开募集证券投资基金</w:t>
      </w:r>
    </w:p>
    <w:p w:rsidR="001C0A0F" w:rsidRPr="00BB3D8E" w:rsidRDefault="00260CA9" w:rsidP="00260CA9">
      <w:pPr>
        <w:jc w:val="center"/>
        <w:rPr>
          <w:b/>
          <w:sz w:val="28"/>
          <w:szCs w:val="28"/>
        </w:rPr>
      </w:pPr>
      <w:r>
        <w:rPr>
          <w:rFonts w:hint="eastAsia"/>
          <w:b/>
          <w:sz w:val="28"/>
          <w:szCs w:val="28"/>
        </w:rPr>
        <w:t>可投资于北京证券交易所股票</w:t>
      </w:r>
      <w:r w:rsidR="00BB3D8E" w:rsidRPr="00BB3D8E">
        <w:rPr>
          <w:rFonts w:hint="eastAsia"/>
          <w:b/>
          <w:sz w:val="28"/>
          <w:szCs w:val="28"/>
        </w:rPr>
        <w:t>的公告</w:t>
      </w:r>
    </w:p>
    <w:p w:rsidR="00BB3D8E" w:rsidRDefault="00BB3D8E"/>
    <w:p w:rsidR="00FC1DCA" w:rsidRDefault="00FC1DCA" w:rsidP="00FC1DCA">
      <w:pPr>
        <w:spacing w:line="360" w:lineRule="auto"/>
        <w:ind w:firstLineChars="200" w:firstLine="420"/>
      </w:pPr>
      <w:r>
        <w:rPr>
          <w:rFonts w:hint="eastAsia"/>
        </w:rPr>
        <w:t>北京证券交易所（以下简称“北交所”）上市的股票是国内依法发行上市的股票。根据《中华人民共和国证券投资基金法》等法律法规规定和基金合同的约定，西部利得基金管理有限公司（以下简称“本公司”）旗下部分公开募集证券投资基金（以下简称“公募基金”）可投资于北交所上市</w:t>
      </w:r>
      <w:r w:rsidR="00552601">
        <w:rPr>
          <w:rFonts w:hint="eastAsia"/>
        </w:rPr>
        <w:t>交易</w:t>
      </w:r>
      <w:r>
        <w:rPr>
          <w:rFonts w:hint="eastAsia"/>
        </w:rPr>
        <w:t>的股票。可投资北交所股票的</w:t>
      </w:r>
      <w:r w:rsidR="00E52438">
        <w:rPr>
          <w:rFonts w:hint="eastAsia"/>
        </w:rPr>
        <w:t>基金列表详见附件</w:t>
      </w:r>
      <w:r>
        <w:rPr>
          <w:rFonts w:hint="eastAsia"/>
        </w:rPr>
        <w:t>。现将有关情况说明如下：</w:t>
      </w:r>
    </w:p>
    <w:p w:rsidR="00FC1DCA" w:rsidRDefault="00FC1DCA" w:rsidP="00FC1DCA">
      <w:pPr>
        <w:spacing w:line="360" w:lineRule="auto"/>
        <w:ind w:firstLineChars="200" w:firstLine="420"/>
      </w:pPr>
      <w:r>
        <w:rPr>
          <w:rFonts w:hint="eastAsia"/>
        </w:rPr>
        <w:t>一、北交所上市的股票是国内依法发行、上市的股票，符合《中华人民共和国证券投资基金法》第七十二条第（一）款规定，属于</w:t>
      </w:r>
      <w:r w:rsidR="00552601">
        <w:rPr>
          <w:rFonts w:hint="eastAsia"/>
        </w:rPr>
        <w:t>“</w:t>
      </w:r>
      <w:r>
        <w:rPr>
          <w:rFonts w:hint="eastAsia"/>
        </w:rPr>
        <w:t>上市交易的股票</w:t>
      </w:r>
      <w:r w:rsidR="00552601">
        <w:rPr>
          <w:rFonts w:hint="eastAsia"/>
        </w:rPr>
        <w:t>”</w:t>
      </w:r>
      <w:r>
        <w:rPr>
          <w:rFonts w:hint="eastAsia"/>
        </w:rPr>
        <w:t>。</w:t>
      </w:r>
    </w:p>
    <w:p w:rsidR="00FC1DCA" w:rsidRDefault="00FC1DCA" w:rsidP="00FC1DCA">
      <w:pPr>
        <w:spacing w:line="360" w:lineRule="auto"/>
        <w:ind w:firstLineChars="200" w:firstLine="420"/>
      </w:pPr>
      <w:r>
        <w:rPr>
          <w:rFonts w:hint="eastAsia"/>
        </w:rPr>
        <w:t>二、本公司旗下公募基金可根据各自基金合同的约定，并在遵守基金合同所约定的投资目标、投资范围、投资策略、投资限制、风险收益特征和相关风险控制指标的前提下参与北交所股票的投资。</w:t>
      </w:r>
    </w:p>
    <w:p w:rsidR="00094FDD" w:rsidRPr="00094FDD" w:rsidRDefault="00094FDD" w:rsidP="00FC1DCA">
      <w:pPr>
        <w:spacing w:line="360" w:lineRule="auto"/>
        <w:ind w:firstLineChars="200" w:firstLine="422"/>
        <w:rPr>
          <w:b/>
        </w:rPr>
      </w:pPr>
      <w:r w:rsidRPr="00094FDD">
        <w:rPr>
          <w:rFonts w:hint="eastAsia"/>
          <w:b/>
        </w:rPr>
        <w:t>今后，若本公司旗下新增基金符合法律法规要求和基金合同的有关约定，亦可以投资北交所发行上市的股票，届时本公司将不再另行公告。</w:t>
      </w:r>
    </w:p>
    <w:p w:rsidR="00FC1DCA" w:rsidRDefault="00552601" w:rsidP="00FC1DCA">
      <w:pPr>
        <w:spacing w:line="360" w:lineRule="auto"/>
        <w:ind w:firstLineChars="200" w:firstLine="422"/>
      </w:pPr>
      <w:r w:rsidRPr="00552601">
        <w:rPr>
          <w:rFonts w:hint="eastAsia"/>
          <w:b/>
        </w:rPr>
        <w:t>相关</w:t>
      </w:r>
      <w:r w:rsidR="00FC1DCA" w:rsidRPr="00552601">
        <w:rPr>
          <w:rFonts w:hint="eastAsia"/>
          <w:b/>
        </w:rPr>
        <w:t>公募基金可根据投资策略需要或市场环境变化，选择将部分基金资产投资于北交所股票或选择不将基金资产投资于北交所股票，基</w:t>
      </w:r>
      <w:r w:rsidR="00FC1DCA" w:rsidRPr="00FC1DCA">
        <w:rPr>
          <w:rFonts w:hint="eastAsia"/>
          <w:b/>
        </w:rPr>
        <w:t>金资产并非必然投资于北交所股票</w:t>
      </w:r>
      <w:r w:rsidR="00FC1DCA">
        <w:rPr>
          <w:rFonts w:hint="eastAsia"/>
        </w:rPr>
        <w:t>。</w:t>
      </w:r>
    </w:p>
    <w:p w:rsidR="00FC1DCA" w:rsidRDefault="00FC1DCA" w:rsidP="00FC1DCA">
      <w:pPr>
        <w:spacing w:line="360" w:lineRule="auto"/>
        <w:ind w:firstLineChars="200" w:firstLine="420"/>
      </w:pPr>
      <w:r>
        <w:rPr>
          <w:rFonts w:hint="eastAsia"/>
        </w:rPr>
        <w:t>三、本公司在投资北交所股票过程中，将根据审慎原则，保持基金投资风格的一致性，并做好流动性风险管理工作。</w:t>
      </w:r>
    </w:p>
    <w:p w:rsidR="00FC1DCA" w:rsidRPr="00FC1DCA" w:rsidRDefault="00FC1DCA" w:rsidP="00FC1DCA">
      <w:pPr>
        <w:spacing w:line="360" w:lineRule="auto"/>
        <w:ind w:firstLineChars="200" w:firstLine="422"/>
        <w:rPr>
          <w:b/>
        </w:rPr>
      </w:pPr>
      <w:r w:rsidRPr="00FC1DCA">
        <w:rPr>
          <w:rFonts w:hint="eastAsia"/>
          <w:b/>
        </w:rPr>
        <w:t>北交所股票具有下列投资风险，敬请投资者注意：</w:t>
      </w:r>
    </w:p>
    <w:p w:rsidR="00FC1DCA" w:rsidRDefault="00FC1DCA" w:rsidP="00FC1DCA">
      <w:pPr>
        <w:spacing w:line="360" w:lineRule="auto"/>
        <w:ind w:firstLineChars="200" w:firstLine="420"/>
      </w:pPr>
      <w:r>
        <w:rPr>
          <w:rFonts w:hint="eastAsia"/>
        </w:rPr>
        <w:t>北交所上市企业为创新型中小企业，普遍具有初创性、技术新、研发投入大、前景不确定、业绩波动大、风险高等特征，相对于沪深</w:t>
      </w:r>
      <w:r w:rsidR="00953EC2">
        <w:rPr>
          <w:rFonts w:hint="eastAsia"/>
        </w:rPr>
        <w:t>证券</w:t>
      </w:r>
      <w:bookmarkStart w:id="0" w:name="_GoBack"/>
      <w:bookmarkEnd w:id="0"/>
      <w:r>
        <w:rPr>
          <w:rFonts w:hint="eastAsia"/>
        </w:rPr>
        <w:t>交易所上市企业，北交所上市企业的经营风险、盈利风险、技术风险、流动性风险、退市风险、股价大幅波动风险等整体上更为突出，且投资于北交所股票还存在市场制度、交易规则等差异可能带来的风险。</w:t>
      </w:r>
    </w:p>
    <w:p w:rsidR="00FC1DCA" w:rsidRDefault="00FC1DCA" w:rsidP="00FC1DCA">
      <w:pPr>
        <w:spacing w:line="360" w:lineRule="auto"/>
        <w:ind w:firstLineChars="200" w:firstLine="420"/>
      </w:pPr>
      <w:r>
        <w:rPr>
          <w:rFonts w:hint="eastAsia"/>
        </w:rPr>
        <w:t>基金资产投资于北交所股票的特有风险包括但不限于上市公司经营风险、股价大幅波动风险、流动性风险、转板风险、退市风险、系统性风险、集中度风险、政策风险和监管规则变化风险等。</w:t>
      </w:r>
    </w:p>
    <w:p w:rsidR="00FC1DCA" w:rsidRDefault="00FC1DCA" w:rsidP="00FC1DCA">
      <w:pPr>
        <w:spacing w:line="360" w:lineRule="auto"/>
        <w:ind w:firstLineChars="200" w:firstLine="420"/>
      </w:pPr>
      <w:r>
        <w:rPr>
          <w:rFonts w:hint="eastAsia"/>
        </w:rPr>
        <w:t>（一）上市公司经营风险</w:t>
      </w:r>
    </w:p>
    <w:p w:rsidR="00FC1DCA" w:rsidRDefault="00031511" w:rsidP="00FC1DCA">
      <w:pPr>
        <w:spacing w:line="360" w:lineRule="auto"/>
        <w:ind w:firstLineChars="200" w:firstLine="420"/>
      </w:pPr>
      <w:r w:rsidRPr="00031511">
        <w:rPr>
          <w:rFonts w:hint="eastAsia"/>
        </w:rPr>
        <w:t>北交所上市企业为创新型中小企业，该类企业往往具有规模小、对技术依赖高、迭代快、</w:t>
      </w:r>
      <w:r w:rsidRPr="00031511">
        <w:rPr>
          <w:rFonts w:hint="eastAsia"/>
        </w:rPr>
        <w:lastRenderedPageBreak/>
        <w:t>议价能力不强等特点，抗市场风险和行业风险能力较弱，存在因产品、经营模式、相关政策变化而出现经营失败的风险；另一方面，部分中小企业可能尚处于初步发展阶段，业务收入、现金流及盈利水平等具有较大不确定性，或面临较大波动，个股投资风险加大。因此，基金在追求北交所上市企业带来收益的同时，须承受北交所上市中小企业不确定性更大的风险，基金投资于北交所上市企业面临无法盈利甚至可能导致较大亏损的风险。</w:t>
      </w:r>
    </w:p>
    <w:p w:rsidR="00FC1DCA" w:rsidRDefault="00FC1DCA" w:rsidP="00FC1DCA">
      <w:pPr>
        <w:spacing w:line="360" w:lineRule="auto"/>
        <w:ind w:firstLineChars="200" w:firstLine="420"/>
      </w:pPr>
      <w:r>
        <w:rPr>
          <w:rFonts w:hint="eastAsia"/>
        </w:rPr>
        <w:t>（二）股价大幅波动风险</w:t>
      </w:r>
    </w:p>
    <w:p w:rsidR="00FC1DCA" w:rsidRDefault="00FC1DCA" w:rsidP="00FC1DCA">
      <w:pPr>
        <w:spacing w:line="360" w:lineRule="auto"/>
        <w:ind w:firstLineChars="200" w:firstLine="420"/>
      </w:pPr>
      <w:r>
        <w:rPr>
          <w:rFonts w:hint="eastAsia"/>
        </w:rPr>
        <w:t>相较于沪深证券交易所，北交所竞价交易设置了更宽的涨跌幅限制，股票上市交易首日不设涨跌幅限制，其后涨跌幅限制为</w:t>
      </w:r>
      <w:r>
        <w:rPr>
          <w:rFonts w:hint="eastAsia"/>
        </w:rPr>
        <w:t>30%</w:t>
      </w:r>
      <w:r>
        <w:rPr>
          <w:rFonts w:hint="eastAsia"/>
        </w:rPr>
        <w:t>，股价大幅波动的风险可能大于</w:t>
      </w:r>
      <w:r>
        <w:rPr>
          <w:rFonts w:hint="eastAsia"/>
        </w:rPr>
        <w:t>A</w:t>
      </w:r>
      <w:r>
        <w:rPr>
          <w:rFonts w:hint="eastAsia"/>
        </w:rPr>
        <w:t>股其他板块，由此可能导致基金净值较大幅度的波动。</w:t>
      </w:r>
    </w:p>
    <w:p w:rsidR="00FC1DCA" w:rsidRDefault="00FC1DCA" w:rsidP="00FC1DCA">
      <w:pPr>
        <w:spacing w:line="360" w:lineRule="auto"/>
        <w:ind w:firstLineChars="200" w:firstLine="420"/>
      </w:pPr>
      <w:r>
        <w:rPr>
          <w:rFonts w:hint="eastAsia"/>
        </w:rPr>
        <w:t>（三）流动性风险</w:t>
      </w:r>
    </w:p>
    <w:p w:rsidR="00FC1DCA" w:rsidRDefault="001B7E9D" w:rsidP="00FC1DCA">
      <w:pPr>
        <w:spacing w:line="360" w:lineRule="auto"/>
        <w:ind w:firstLineChars="200" w:firstLine="420"/>
      </w:pPr>
      <w:r w:rsidRPr="001B7E9D">
        <w:rPr>
          <w:rFonts w:hint="eastAsia"/>
        </w:rPr>
        <w:t>北交所投资门槛较高，初期参与的主体可能较少；此外，由于北交所上市企业规模小，部分企业股权较为集中，由此可能导致整体流动性相对较弱，若投资者在特定阶段对个券形成一致预期，由此可能导致基金面临无法及时变现及其他相关流动性风险</w:t>
      </w:r>
      <w:r w:rsidR="00953EC2">
        <w:rPr>
          <w:rFonts w:hint="eastAsia"/>
        </w:rPr>
        <w:t>。</w:t>
      </w:r>
    </w:p>
    <w:p w:rsidR="00FC1DCA" w:rsidRDefault="00FC1DCA" w:rsidP="00FC1DCA">
      <w:pPr>
        <w:spacing w:line="360" w:lineRule="auto"/>
        <w:ind w:firstLineChars="200" w:firstLine="420"/>
      </w:pPr>
      <w:r>
        <w:rPr>
          <w:rFonts w:hint="eastAsia"/>
        </w:rPr>
        <w:t>（四）转板风险</w:t>
      </w:r>
    </w:p>
    <w:p w:rsidR="00FC1DCA" w:rsidRDefault="00FC1DCA" w:rsidP="00FC1DCA">
      <w:pPr>
        <w:spacing w:line="360" w:lineRule="auto"/>
        <w:ind w:firstLineChars="200" w:firstLine="420"/>
      </w:pPr>
      <w:r>
        <w:rPr>
          <w:rFonts w:hint="eastAsia"/>
        </w:rPr>
        <w:t>北交所上市公司在满足相关法律法规和证监会规定的基本上市条件并符合交易所规定的具体上市条件的，可申请转板上市。无论北交所上市公司是否转板成功，均可能引起基金净值波动。</w:t>
      </w:r>
    </w:p>
    <w:p w:rsidR="00FC1DCA" w:rsidRDefault="00FC1DCA" w:rsidP="00FC1DCA">
      <w:pPr>
        <w:spacing w:line="360" w:lineRule="auto"/>
        <w:ind w:firstLineChars="200" w:firstLine="420"/>
      </w:pPr>
      <w:r>
        <w:rPr>
          <w:rFonts w:hint="eastAsia"/>
        </w:rPr>
        <w:t>（五）退市风险</w:t>
      </w:r>
    </w:p>
    <w:p w:rsidR="00FC1DCA" w:rsidRDefault="00FC1DCA" w:rsidP="00FC1DCA">
      <w:pPr>
        <w:spacing w:line="360" w:lineRule="auto"/>
        <w:ind w:firstLineChars="200" w:firstLine="420"/>
      </w:pPr>
      <w:r>
        <w:rPr>
          <w:rFonts w:hint="eastAsia"/>
        </w:rPr>
        <w:t>北交所上市公司后续经营期间如果触及相关法律法规、证监会及交易所等规定的退市情形，可能面临被终止上市的风险，从而可能给基金净值带来不利影响。</w:t>
      </w:r>
    </w:p>
    <w:p w:rsidR="00FC1DCA" w:rsidRDefault="00FC1DCA" w:rsidP="00FC1DCA">
      <w:pPr>
        <w:spacing w:line="360" w:lineRule="auto"/>
        <w:ind w:firstLineChars="200" w:firstLine="420"/>
      </w:pPr>
      <w:r>
        <w:rPr>
          <w:rFonts w:hint="eastAsia"/>
        </w:rPr>
        <w:t>（六）系统性风险</w:t>
      </w:r>
    </w:p>
    <w:p w:rsidR="00FC1DCA" w:rsidRDefault="00FC1DCA" w:rsidP="00FC1DCA">
      <w:pPr>
        <w:spacing w:line="360" w:lineRule="auto"/>
        <w:ind w:firstLineChars="200" w:firstLine="420"/>
      </w:pPr>
      <w:r>
        <w:rPr>
          <w:rFonts w:hint="eastAsia"/>
        </w:rPr>
        <w:t>因北交所上市公司大部分为新兴产业公司，其商业模式、盈利风险、业绩波动等特征较为相似，基金难以通过分散投资降低投资风险，若股票价格同向波动，将引起基金净值波动。</w:t>
      </w:r>
    </w:p>
    <w:p w:rsidR="00FC1DCA" w:rsidRDefault="00FC1DCA" w:rsidP="00FC1DCA">
      <w:pPr>
        <w:spacing w:line="360" w:lineRule="auto"/>
        <w:ind w:firstLineChars="200" w:firstLine="420"/>
      </w:pPr>
      <w:r>
        <w:rPr>
          <w:rFonts w:hint="eastAsia"/>
        </w:rPr>
        <w:t>同时，北交所上市公司平移自新三板精选层，从历史来看整体估值受政策阶段性影响较大，所以北交所个股估值相关性较高，政策空窗期或市场表现不佳时，系统性风险将更为显著。</w:t>
      </w:r>
    </w:p>
    <w:p w:rsidR="00FC1DCA" w:rsidRDefault="00FC1DCA" w:rsidP="00FC1DCA">
      <w:pPr>
        <w:spacing w:line="360" w:lineRule="auto"/>
        <w:ind w:firstLineChars="200" w:firstLine="420"/>
      </w:pPr>
      <w:r>
        <w:rPr>
          <w:rFonts w:hint="eastAsia"/>
        </w:rPr>
        <w:t>（七）集中度风险</w:t>
      </w:r>
    </w:p>
    <w:p w:rsidR="00FC1DCA" w:rsidRDefault="00FC1DCA" w:rsidP="00FC1DCA">
      <w:pPr>
        <w:spacing w:line="360" w:lineRule="auto"/>
        <w:ind w:firstLineChars="200" w:firstLine="420"/>
      </w:pPr>
      <w:r>
        <w:rPr>
          <w:rFonts w:hint="eastAsia"/>
        </w:rPr>
        <w:t>北交所为新设交易所，初期可投资标的较少，投资者容易集中投资于少量个股，市场可能存在高集中度状况。</w:t>
      </w:r>
    </w:p>
    <w:p w:rsidR="00FC1DCA" w:rsidRDefault="00FC1DCA" w:rsidP="00FC1DCA">
      <w:pPr>
        <w:spacing w:line="360" w:lineRule="auto"/>
        <w:ind w:firstLineChars="200" w:firstLine="420"/>
      </w:pPr>
      <w:r>
        <w:rPr>
          <w:rFonts w:hint="eastAsia"/>
        </w:rPr>
        <w:t>（八）政策风险</w:t>
      </w:r>
    </w:p>
    <w:p w:rsidR="00FC1DCA" w:rsidRDefault="00FC1DCA" w:rsidP="00FC1DCA">
      <w:pPr>
        <w:spacing w:line="360" w:lineRule="auto"/>
        <w:ind w:firstLineChars="200" w:firstLine="420"/>
      </w:pPr>
      <w:r>
        <w:rPr>
          <w:rFonts w:hint="eastAsia"/>
        </w:rPr>
        <w:lastRenderedPageBreak/>
        <w:t>国家对高新技术、专精特新企业扶持力度及重视程度的变化会对北交所上市公司带来较大影响，国际经济形势变化对专精特新产业及北交所个股也会带来政策影响。</w:t>
      </w:r>
    </w:p>
    <w:p w:rsidR="00FC1DCA" w:rsidRDefault="00FC1DCA" w:rsidP="00FC1DCA">
      <w:pPr>
        <w:spacing w:line="360" w:lineRule="auto"/>
        <w:ind w:firstLineChars="200" w:firstLine="420"/>
      </w:pPr>
      <w:r>
        <w:rPr>
          <w:rFonts w:hint="eastAsia"/>
        </w:rPr>
        <w:t>（九）监管规则变化的风险</w:t>
      </w:r>
    </w:p>
    <w:p w:rsidR="00FC1DCA" w:rsidRDefault="00FC1DCA" w:rsidP="00FC1DCA">
      <w:pPr>
        <w:spacing w:line="360" w:lineRule="auto"/>
        <w:ind w:firstLineChars="200" w:firstLine="420"/>
      </w:pPr>
      <w:r>
        <w:rPr>
          <w:rFonts w:hint="eastAsia"/>
        </w:rPr>
        <w:t>北交所相关法律、行政法规、部门规章、规范性文件和交易所业务规则，可能根据市场情况进行修订和完善，或者补充制定新的法律法规和业务规则，可能对基金投资运作产生影响，或导致基金投资运作相应调整变化。</w:t>
      </w:r>
    </w:p>
    <w:p w:rsidR="00FC1DCA" w:rsidRDefault="00FC1DCA" w:rsidP="00FC1DCA">
      <w:pPr>
        <w:spacing w:line="360" w:lineRule="auto"/>
        <w:ind w:firstLineChars="200" w:firstLine="420"/>
      </w:pPr>
    </w:p>
    <w:p w:rsidR="00FC1DCA" w:rsidRDefault="00FC1DCA" w:rsidP="00FC1DCA">
      <w:pPr>
        <w:spacing w:line="360" w:lineRule="auto"/>
        <w:ind w:firstLineChars="200" w:firstLine="420"/>
      </w:pPr>
      <w:r>
        <w:rPr>
          <w:rFonts w:hint="eastAsia"/>
        </w:rPr>
        <w:t>本公司承诺以诚实信用、勤勉尽责的原则管理和运用基金资产，但不保证基金一定盈利，也不保证最低收益，敬请投资者注意投资风险。投资者在办理基金申购、交易等相关业务前，应仔细阅读各基金的基金合同、招募说明书（更新）</w:t>
      </w:r>
      <w:r w:rsidR="00C3629E">
        <w:rPr>
          <w:rFonts w:hint="eastAsia"/>
        </w:rPr>
        <w:t>、基金产品资料概要（更新）</w:t>
      </w:r>
      <w:r>
        <w:rPr>
          <w:rFonts w:hint="eastAsia"/>
        </w:rPr>
        <w:t>及相关业务规则等文件。</w:t>
      </w:r>
    </w:p>
    <w:p w:rsidR="00FC1DCA" w:rsidRDefault="00FC1DCA" w:rsidP="00FC1DCA">
      <w:pPr>
        <w:spacing w:line="360" w:lineRule="auto"/>
        <w:ind w:firstLineChars="200" w:firstLine="420"/>
      </w:pPr>
    </w:p>
    <w:p w:rsidR="00BB3D8E" w:rsidRDefault="00FC1DCA" w:rsidP="00FC1DCA">
      <w:pPr>
        <w:spacing w:line="360" w:lineRule="auto"/>
        <w:ind w:firstLineChars="200" w:firstLine="420"/>
      </w:pPr>
      <w:r>
        <w:rPr>
          <w:rFonts w:hint="eastAsia"/>
        </w:rPr>
        <w:t>特此公告。</w:t>
      </w:r>
    </w:p>
    <w:p w:rsidR="00F66F26" w:rsidRDefault="00F66F26" w:rsidP="00FC1DCA">
      <w:pPr>
        <w:spacing w:line="360" w:lineRule="auto"/>
        <w:ind w:firstLineChars="200" w:firstLine="420"/>
      </w:pPr>
    </w:p>
    <w:p w:rsidR="00F66F26" w:rsidRDefault="00F66F26" w:rsidP="00E52438">
      <w:pPr>
        <w:spacing w:line="360" w:lineRule="auto"/>
        <w:ind w:firstLineChars="200" w:firstLine="420"/>
        <w:jc w:val="right"/>
      </w:pPr>
      <w:r>
        <w:rPr>
          <w:rFonts w:hint="eastAsia"/>
        </w:rPr>
        <w:t>西部利得基金管理有限公司</w:t>
      </w:r>
    </w:p>
    <w:p w:rsidR="00E52438" w:rsidRDefault="00F66F26" w:rsidP="00E52438">
      <w:pPr>
        <w:spacing w:line="360" w:lineRule="auto"/>
        <w:ind w:firstLineChars="200" w:firstLine="420"/>
        <w:jc w:val="right"/>
      </w:pPr>
      <w:r>
        <w:t>202</w:t>
      </w:r>
      <w:r w:rsidR="00E52438">
        <w:t>1</w:t>
      </w:r>
      <w:r>
        <w:rPr>
          <w:rFonts w:hint="eastAsia"/>
        </w:rPr>
        <w:t>年</w:t>
      </w:r>
      <w:r w:rsidR="00E52438">
        <w:rPr>
          <w:rFonts w:hint="eastAsia"/>
        </w:rPr>
        <w:t>1</w:t>
      </w:r>
      <w:r>
        <w:rPr>
          <w:rFonts w:hint="eastAsia"/>
        </w:rPr>
        <w:t>2</w:t>
      </w:r>
      <w:r>
        <w:rPr>
          <w:rFonts w:hint="eastAsia"/>
        </w:rPr>
        <w:t>月</w:t>
      </w:r>
      <w:r w:rsidR="00E52438">
        <w:rPr>
          <w:rFonts w:hint="eastAsia"/>
        </w:rPr>
        <w:t>2</w:t>
      </w:r>
      <w:r w:rsidR="00612D45">
        <w:rPr>
          <w:rFonts w:hint="eastAsia"/>
        </w:rPr>
        <w:t>4</w:t>
      </w:r>
      <w:r>
        <w:rPr>
          <w:rFonts w:hint="eastAsia"/>
        </w:rPr>
        <w:t>日</w:t>
      </w:r>
      <w:r w:rsidR="00E52438">
        <w:br w:type="page"/>
      </w:r>
    </w:p>
    <w:p w:rsidR="00F66F26" w:rsidRDefault="00E52438" w:rsidP="00E52438">
      <w:pPr>
        <w:spacing w:line="360" w:lineRule="auto"/>
      </w:pPr>
      <w:r>
        <w:rPr>
          <w:rFonts w:hint="eastAsia"/>
        </w:rPr>
        <w:t>附件：西部利得基金管理有限公司旗下可投资北交所股票的基金列表</w:t>
      </w:r>
    </w:p>
    <w:tbl>
      <w:tblPr>
        <w:tblW w:w="5000" w:type="pct"/>
        <w:tblLook w:val="04A0"/>
      </w:tblPr>
      <w:tblGrid>
        <w:gridCol w:w="1013"/>
        <w:gridCol w:w="1377"/>
        <w:gridCol w:w="6132"/>
      </w:tblGrid>
      <w:tr w:rsidR="009932B8" w:rsidRPr="00FE3A12" w:rsidTr="009932B8">
        <w:trPr>
          <w:trHeight w:val="330"/>
        </w:trPr>
        <w:tc>
          <w:tcPr>
            <w:tcW w:w="594" w:type="pct"/>
            <w:tcBorders>
              <w:top w:val="single" w:sz="4" w:space="0" w:color="auto"/>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序号</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基金代码</w:t>
            </w:r>
          </w:p>
        </w:tc>
        <w:tc>
          <w:tcPr>
            <w:tcW w:w="3598" w:type="pct"/>
            <w:tcBorders>
              <w:top w:val="single" w:sz="4" w:space="0" w:color="auto"/>
              <w:left w:val="nil"/>
              <w:bottom w:val="single" w:sz="4" w:space="0" w:color="auto"/>
              <w:right w:val="single" w:sz="4" w:space="0" w:color="auto"/>
            </w:tcBorders>
            <w:shd w:val="clear" w:color="auto" w:fill="auto"/>
            <w:noWrap/>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基金名称</w:t>
            </w:r>
          </w:p>
        </w:tc>
      </w:tr>
      <w:tr w:rsidR="009932B8" w:rsidRPr="00FE3A12" w:rsidTr="009932B8">
        <w:trPr>
          <w:trHeight w:val="330"/>
        </w:trPr>
        <w:tc>
          <w:tcPr>
            <w:tcW w:w="594" w:type="pct"/>
            <w:tcBorders>
              <w:top w:val="single" w:sz="4" w:space="0" w:color="auto"/>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502000</w:t>
            </w:r>
          </w:p>
        </w:tc>
        <w:tc>
          <w:tcPr>
            <w:tcW w:w="3598" w:type="pct"/>
            <w:tcBorders>
              <w:top w:val="single" w:sz="4" w:space="0" w:color="auto"/>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西部利得中证500指数增强型证券投资基金（LOF）</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673090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西部利得个股精选股票型证券投资基金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3</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673100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西部利得沪深300指数增强型证券投资基金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4</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501059</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西部利得中证国有企业红利指数增强型证券投资基金(LOF)</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5</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671030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西部利得事件驱动股票型证券投资基金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6</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159814</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西部利得创业板大盘交易型开放式指数证券投资基金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7</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011832</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西部利得中证人工智能主题指数增强型证券投资基金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8</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159708</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西部利得深证红利交易型开放式指数证券投资基金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9</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012554</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西部利得创业板大盘交易型开放式指数证券投资基金联接基金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10</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671010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西部利得策略优选混合型证券投资基金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11</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673010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西部利得新动向灵活配置混合型证券投资基金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12</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673020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西部利得成长精选灵活配置混合型证券投资基金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13</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673030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西部利得多策略优选灵活配置混合型证券投资基金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14</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673050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西部利得新盈灵活配置混合型证券投资基金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15</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673040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西部利得行业主题优选灵活配置混合型证券投资基金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16</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673060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西部利得景瑞灵活配置混合型证券投资基金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17</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673071</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西部利得新动力灵活配置混合型证券投资基金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18</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673081</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西部利得祥运灵活配置混合型证券投资基金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19</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673120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西部利得新富灵活配置混合型证券投资基金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20</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673110</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西部利得新润灵活配置混合型证券投资基金</w:t>
            </w:r>
          </w:p>
        </w:tc>
      </w:tr>
      <w:tr w:rsidR="009932B8" w:rsidRPr="00FE3A12" w:rsidTr="009932B8">
        <w:trPr>
          <w:trHeight w:val="330"/>
        </w:trPr>
        <w:tc>
          <w:tcPr>
            <w:tcW w:w="594" w:type="pct"/>
            <w:tcBorders>
              <w:top w:val="single" w:sz="4" w:space="0" w:color="auto"/>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21</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673141</w:t>
            </w:r>
          </w:p>
        </w:tc>
        <w:tc>
          <w:tcPr>
            <w:tcW w:w="3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西部利得景程灵活配置混合型证券投资基金</w:t>
            </w:r>
          </w:p>
        </w:tc>
      </w:tr>
      <w:tr w:rsidR="009932B8" w:rsidRPr="00FE3A12" w:rsidTr="009932B8">
        <w:trPr>
          <w:trHeight w:val="330"/>
        </w:trPr>
        <w:tc>
          <w:tcPr>
            <w:tcW w:w="594" w:type="pct"/>
            <w:tcBorders>
              <w:top w:val="single" w:sz="4" w:space="0" w:color="auto"/>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000006</w:t>
            </w:r>
          </w:p>
        </w:tc>
        <w:tc>
          <w:tcPr>
            <w:tcW w:w="3598" w:type="pct"/>
            <w:tcBorders>
              <w:top w:val="single" w:sz="4" w:space="0" w:color="auto"/>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西部利得量化成长混合型发起式证券投资基金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23</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008541</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西部利得新享混合型证券投资基金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24</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008861</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西部利得港股通新机遇灵活配置混合型证券投资基金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25</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008543</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西部利得新瑞混合型证券投资基金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26</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007423</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西部利得聚禾灵活配置混合型证券投资基金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27</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010779</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西部利得量化优选一年持有期混合型证券投资基金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28</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010373</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西部利得聚兴一年定期开放混合型证券投资基金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29</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012975</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西部利得碳中和混合型发起式证券投资基金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30</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675011</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西部利得稳健双利债券型证券投资基金</w:t>
            </w:r>
          </w:p>
        </w:tc>
      </w:tr>
      <w:tr w:rsidR="009932B8" w:rsidRPr="00FE3A12" w:rsidTr="009932B8">
        <w:trPr>
          <w:trHeight w:val="330"/>
        </w:trPr>
        <w:tc>
          <w:tcPr>
            <w:tcW w:w="594" w:type="pct"/>
            <w:tcBorders>
              <w:top w:val="nil"/>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31</w:t>
            </w:r>
          </w:p>
        </w:tc>
        <w:tc>
          <w:tcPr>
            <w:tcW w:w="808" w:type="pct"/>
            <w:tcBorders>
              <w:top w:val="nil"/>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675081</w:t>
            </w:r>
          </w:p>
        </w:tc>
        <w:tc>
          <w:tcPr>
            <w:tcW w:w="3598" w:type="pct"/>
            <w:tcBorders>
              <w:top w:val="nil"/>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西部利得祥盈债券型证券投资基金</w:t>
            </w:r>
          </w:p>
        </w:tc>
      </w:tr>
      <w:tr w:rsidR="009932B8" w:rsidRPr="00FE3A12" w:rsidTr="009932B8">
        <w:trPr>
          <w:trHeight w:val="330"/>
        </w:trPr>
        <w:tc>
          <w:tcPr>
            <w:tcW w:w="594" w:type="pct"/>
            <w:tcBorders>
              <w:top w:val="nil"/>
              <w:left w:val="single" w:sz="4" w:space="0" w:color="auto"/>
              <w:bottom w:val="nil"/>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32</w:t>
            </w:r>
          </w:p>
        </w:tc>
        <w:tc>
          <w:tcPr>
            <w:tcW w:w="808" w:type="pct"/>
            <w:tcBorders>
              <w:top w:val="nil"/>
              <w:left w:val="single" w:sz="4" w:space="0" w:color="auto"/>
              <w:bottom w:val="nil"/>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675121</w:t>
            </w:r>
          </w:p>
        </w:tc>
        <w:tc>
          <w:tcPr>
            <w:tcW w:w="3598" w:type="pct"/>
            <w:tcBorders>
              <w:top w:val="nil"/>
              <w:left w:val="nil"/>
              <w:bottom w:val="nil"/>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西部利得汇逸债券型证券投资基金</w:t>
            </w:r>
          </w:p>
        </w:tc>
      </w:tr>
      <w:tr w:rsidR="009932B8" w:rsidRPr="00FE3A12" w:rsidTr="009932B8">
        <w:trPr>
          <w:trHeight w:val="330"/>
        </w:trPr>
        <w:tc>
          <w:tcPr>
            <w:tcW w:w="594" w:type="pct"/>
            <w:tcBorders>
              <w:top w:val="single" w:sz="4" w:space="0" w:color="auto"/>
              <w:left w:val="single" w:sz="4" w:space="0" w:color="auto"/>
              <w:bottom w:val="single" w:sz="4" w:space="0" w:color="auto"/>
              <w:right w:val="single" w:sz="4" w:space="0" w:color="auto"/>
            </w:tcBorders>
            <w:vAlign w:val="center"/>
          </w:tcPr>
          <w:p w:rsidR="009932B8" w:rsidRPr="00FE3A12" w:rsidRDefault="009932B8" w:rsidP="009932B8">
            <w:pPr>
              <w:widowControl/>
              <w:jc w:val="center"/>
              <w:rPr>
                <w:rFonts w:ascii="宋体" w:eastAsia="宋体" w:hAnsi="宋体" w:cs="宋体"/>
                <w:color w:val="000000"/>
                <w:kern w:val="0"/>
                <w:szCs w:val="21"/>
              </w:rPr>
            </w:pPr>
            <w:r w:rsidRPr="00FE3A12">
              <w:rPr>
                <w:rFonts w:ascii="宋体" w:eastAsia="宋体" w:hAnsi="宋体" w:cs="宋体" w:hint="eastAsia"/>
                <w:color w:val="000000"/>
                <w:kern w:val="0"/>
                <w:szCs w:val="21"/>
              </w:rPr>
              <w:t>33</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010102</w:t>
            </w:r>
          </w:p>
        </w:tc>
        <w:tc>
          <w:tcPr>
            <w:tcW w:w="3598" w:type="pct"/>
            <w:tcBorders>
              <w:top w:val="single" w:sz="4" w:space="0" w:color="auto"/>
              <w:left w:val="nil"/>
              <w:bottom w:val="single" w:sz="4" w:space="0" w:color="auto"/>
              <w:right w:val="single" w:sz="4" w:space="0" w:color="auto"/>
            </w:tcBorders>
            <w:shd w:val="clear" w:color="auto" w:fill="auto"/>
            <w:noWrap/>
            <w:vAlign w:val="center"/>
            <w:hideMark/>
          </w:tcPr>
          <w:p w:rsidR="009932B8" w:rsidRPr="009932B8" w:rsidRDefault="009932B8" w:rsidP="009932B8">
            <w:pPr>
              <w:widowControl/>
              <w:jc w:val="center"/>
              <w:rPr>
                <w:rFonts w:ascii="宋体" w:eastAsia="宋体" w:hAnsi="宋体" w:cs="宋体"/>
                <w:color w:val="000000"/>
                <w:kern w:val="0"/>
                <w:szCs w:val="21"/>
              </w:rPr>
            </w:pPr>
            <w:r w:rsidRPr="009932B8">
              <w:rPr>
                <w:rFonts w:ascii="宋体" w:eastAsia="宋体" w:hAnsi="宋体" w:cs="宋体" w:hint="eastAsia"/>
                <w:color w:val="000000"/>
                <w:kern w:val="0"/>
                <w:szCs w:val="21"/>
              </w:rPr>
              <w:t>西部利得鑫泓增强债券型证券投资基金</w:t>
            </w:r>
          </w:p>
        </w:tc>
      </w:tr>
    </w:tbl>
    <w:p w:rsidR="00E52438" w:rsidRPr="009932B8" w:rsidRDefault="00D61694" w:rsidP="00D61694">
      <w:pPr>
        <w:spacing w:line="360" w:lineRule="auto"/>
        <w:ind w:firstLineChars="200" w:firstLine="422"/>
      </w:pPr>
      <w:r>
        <w:rPr>
          <w:rFonts w:hint="eastAsia"/>
          <w:b/>
        </w:rPr>
        <w:t>注：</w:t>
      </w:r>
      <w:r w:rsidRPr="00094FDD">
        <w:rPr>
          <w:rFonts w:hint="eastAsia"/>
          <w:b/>
        </w:rPr>
        <w:t>今后，若本公司旗下新增基金符合法律法规要求和基金合同的有关约定，亦可以投资北交所发行上市的股票，届时本公司将不再另行公告。</w:t>
      </w:r>
    </w:p>
    <w:sectPr w:rsidR="00E52438" w:rsidRPr="009932B8" w:rsidSect="005579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EA3" w:rsidRDefault="00300EA3" w:rsidP="000A61E7">
      <w:r>
        <w:separator/>
      </w:r>
    </w:p>
  </w:endnote>
  <w:endnote w:type="continuationSeparator" w:id="0">
    <w:p w:rsidR="00300EA3" w:rsidRDefault="00300EA3" w:rsidP="000A6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EA3" w:rsidRDefault="00300EA3" w:rsidP="000A61E7">
      <w:r>
        <w:separator/>
      </w:r>
    </w:p>
  </w:footnote>
  <w:footnote w:type="continuationSeparator" w:id="0">
    <w:p w:rsidR="00300EA3" w:rsidRDefault="00300EA3" w:rsidP="000A6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D8E"/>
    <w:rsid w:val="00031511"/>
    <w:rsid w:val="00094E95"/>
    <w:rsid w:val="00094FDD"/>
    <w:rsid w:val="000A61E7"/>
    <w:rsid w:val="001B7E9D"/>
    <w:rsid w:val="001C0A0F"/>
    <w:rsid w:val="00260CA9"/>
    <w:rsid w:val="00300EA3"/>
    <w:rsid w:val="00345924"/>
    <w:rsid w:val="003D569A"/>
    <w:rsid w:val="00552601"/>
    <w:rsid w:val="0055795C"/>
    <w:rsid w:val="00612D45"/>
    <w:rsid w:val="006F6833"/>
    <w:rsid w:val="00953EC2"/>
    <w:rsid w:val="009932B8"/>
    <w:rsid w:val="009F18A0"/>
    <w:rsid w:val="00B156B0"/>
    <w:rsid w:val="00BB3D8E"/>
    <w:rsid w:val="00C3629E"/>
    <w:rsid w:val="00CC007F"/>
    <w:rsid w:val="00D61694"/>
    <w:rsid w:val="00E52438"/>
    <w:rsid w:val="00F66F26"/>
    <w:rsid w:val="00FC1DCA"/>
    <w:rsid w:val="00FE3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5C"/>
    <w:pPr>
      <w:widowControl w:val="0"/>
      <w:jc w:val="both"/>
    </w:pPr>
  </w:style>
  <w:style w:type="paragraph" w:styleId="1">
    <w:name w:val="heading 1"/>
    <w:basedOn w:val="a"/>
    <w:next w:val="a"/>
    <w:link w:val="1Char"/>
    <w:uiPriority w:val="9"/>
    <w:qFormat/>
    <w:rsid w:val="00BB3D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3D8E"/>
    <w:rPr>
      <w:b/>
      <w:bCs/>
      <w:kern w:val="44"/>
      <w:sz w:val="44"/>
      <w:szCs w:val="44"/>
    </w:rPr>
  </w:style>
  <w:style w:type="paragraph" w:styleId="a3">
    <w:name w:val="header"/>
    <w:basedOn w:val="a"/>
    <w:link w:val="Char"/>
    <w:uiPriority w:val="99"/>
    <w:unhideWhenUsed/>
    <w:rsid w:val="000A6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61E7"/>
    <w:rPr>
      <w:sz w:val="18"/>
      <w:szCs w:val="18"/>
    </w:rPr>
  </w:style>
  <w:style w:type="paragraph" w:styleId="a4">
    <w:name w:val="footer"/>
    <w:basedOn w:val="a"/>
    <w:link w:val="Char0"/>
    <w:uiPriority w:val="99"/>
    <w:unhideWhenUsed/>
    <w:rsid w:val="000A61E7"/>
    <w:pPr>
      <w:tabs>
        <w:tab w:val="center" w:pos="4153"/>
        <w:tab w:val="right" w:pos="8306"/>
      </w:tabs>
      <w:snapToGrid w:val="0"/>
      <w:jc w:val="left"/>
    </w:pPr>
    <w:rPr>
      <w:sz w:val="18"/>
      <w:szCs w:val="18"/>
    </w:rPr>
  </w:style>
  <w:style w:type="character" w:customStyle="1" w:styleId="Char0">
    <w:name w:val="页脚 Char"/>
    <w:basedOn w:val="a0"/>
    <w:link w:val="a4"/>
    <w:uiPriority w:val="99"/>
    <w:rsid w:val="000A61E7"/>
    <w:rPr>
      <w:sz w:val="18"/>
      <w:szCs w:val="18"/>
    </w:rPr>
  </w:style>
  <w:style w:type="paragraph" w:styleId="a5">
    <w:name w:val="Balloon Text"/>
    <w:basedOn w:val="a"/>
    <w:link w:val="Char1"/>
    <w:uiPriority w:val="99"/>
    <w:semiHidden/>
    <w:unhideWhenUsed/>
    <w:rsid w:val="00094FDD"/>
    <w:rPr>
      <w:sz w:val="18"/>
      <w:szCs w:val="18"/>
    </w:rPr>
  </w:style>
  <w:style w:type="character" w:customStyle="1" w:styleId="Char1">
    <w:name w:val="批注框文本 Char"/>
    <w:basedOn w:val="a0"/>
    <w:link w:val="a5"/>
    <w:uiPriority w:val="99"/>
    <w:semiHidden/>
    <w:rsid w:val="00094FDD"/>
    <w:rPr>
      <w:sz w:val="18"/>
      <w:szCs w:val="18"/>
    </w:rPr>
  </w:style>
</w:styles>
</file>

<file path=word/webSettings.xml><?xml version="1.0" encoding="utf-8"?>
<w:webSettings xmlns:r="http://schemas.openxmlformats.org/officeDocument/2006/relationships" xmlns:w="http://schemas.openxmlformats.org/wordprocessingml/2006/main">
  <w:divs>
    <w:div w:id="8146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2719</Characters>
  <Application>Microsoft Office Word</Application>
  <DocSecurity>4</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王可馨</dc:creator>
  <cp:keywords/>
  <dc:description/>
  <cp:lastModifiedBy>ZHONGM</cp:lastModifiedBy>
  <cp:revision>2</cp:revision>
  <dcterms:created xsi:type="dcterms:W3CDTF">2021-12-23T16:02:00Z</dcterms:created>
  <dcterms:modified xsi:type="dcterms:W3CDTF">2021-12-23T16:02:00Z</dcterms:modified>
</cp:coreProperties>
</file>