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B" w:rsidRPr="00B832BF" w:rsidRDefault="001420EB" w:rsidP="00CC37A0">
      <w:pPr>
        <w:widowControl/>
        <w:spacing w:line="555" w:lineRule="atLeast"/>
        <w:jc w:val="center"/>
        <w:outlineLvl w:val="0"/>
        <w:rPr>
          <w:rFonts w:ascii="黑体" w:eastAsia="黑体" w:hAnsi="宋体" w:cs="宋体"/>
          <w:color w:val="000000"/>
          <w:kern w:val="36"/>
          <w:sz w:val="30"/>
          <w:szCs w:val="30"/>
        </w:rPr>
      </w:pPr>
      <w:r w:rsidRPr="00B832BF">
        <w:rPr>
          <w:rFonts w:ascii="黑体" w:eastAsia="黑体" w:hAnsi="宋体" w:cs="宋体" w:hint="eastAsia"/>
          <w:color w:val="000000"/>
          <w:kern w:val="36"/>
          <w:sz w:val="30"/>
          <w:szCs w:val="30"/>
        </w:rPr>
        <w:t>富国基金管理有限公司关于旗下</w:t>
      </w:r>
      <w:r w:rsidR="00106014">
        <w:rPr>
          <w:rFonts w:ascii="黑体" w:eastAsia="黑体" w:hAnsi="宋体" w:cs="宋体" w:hint="eastAsia"/>
          <w:color w:val="000000"/>
          <w:kern w:val="36"/>
          <w:sz w:val="30"/>
          <w:szCs w:val="30"/>
        </w:rPr>
        <w:t>部分</w:t>
      </w:r>
      <w:r w:rsidR="00AB2340">
        <w:rPr>
          <w:rFonts w:ascii="黑体" w:eastAsia="黑体" w:hAnsi="宋体" w:cs="宋体" w:hint="eastAsia"/>
          <w:color w:val="000000"/>
          <w:kern w:val="36"/>
          <w:sz w:val="30"/>
          <w:szCs w:val="30"/>
        </w:rPr>
        <w:t>证券投资</w:t>
      </w:r>
      <w:r w:rsidRPr="00B832BF">
        <w:rPr>
          <w:rFonts w:ascii="黑体" w:eastAsia="黑体" w:hAnsi="宋体" w:cs="宋体" w:hint="eastAsia"/>
          <w:color w:val="000000"/>
          <w:kern w:val="36"/>
          <w:sz w:val="30"/>
          <w:szCs w:val="30"/>
        </w:rPr>
        <w:t>基金投资非公开发行股票的公告</w:t>
      </w:r>
    </w:p>
    <w:p w:rsidR="001420EB" w:rsidRPr="00F862D6" w:rsidRDefault="001779E6" w:rsidP="00B644CA">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富国基金管理有限公司</w:t>
      </w:r>
      <w:r>
        <w:rPr>
          <w:rFonts w:ascii="宋体" w:eastAsia="宋体" w:hAnsi="宋体" w:cs="宋体"/>
          <w:color w:val="auto"/>
        </w:rPr>
        <w:t>(以下简称“本公司”)旗下部分证券投资基金参加了北京首旅酒店(集团)股份有限公司（股票简称：首旅酒店，证券代码：600258）、王府井集团股份有限公司（股票简称：王府井，证券代码：600859）非公开发行股票的认购。</w:t>
      </w:r>
      <w:r w:rsidR="00C87F17" w:rsidRPr="00C87F17">
        <w:rPr>
          <w:rFonts w:ascii="宋体" w:eastAsia="宋体" w:hAnsi="宋体" w:cs="宋体" w:hint="eastAsia"/>
          <w:color w:val="auto"/>
        </w:rPr>
        <w:t>北京首旅酒店（集团）股份有限公司</w:t>
      </w:r>
      <w:r w:rsidR="00C87F17">
        <w:rPr>
          <w:rFonts w:ascii="宋体" w:eastAsia="宋体" w:hAnsi="宋体" w:cs="宋体" w:hint="eastAsia"/>
          <w:color w:val="auto"/>
        </w:rPr>
        <w:t>已发布《</w:t>
      </w:r>
      <w:r w:rsidR="00C87F17" w:rsidRPr="00C87F17">
        <w:rPr>
          <w:rFonts w:ascii="宋体" w:eastAsia="宋体" w:hAnsi="宋体" w:cs="宋体" w:hint="eastAsia"/>
          <w:color w:val="auto"/>
        </w:rPr>
        <w:t>北京首旅酒店(集团)股份有限公司关于非公开发行股票结果暨股本变动公告</w:t>
      </w:r>
      <w:r w:rsidR="00C87F17">
        <w:rPr>
          <w:rFonts w:ascii="宋体" w:eastAsia="宋体" w:hAnsi="宋体" w:cs="宋体" w:hint="eastAsia"/>
          <w:color w:val="auto"/>
        </w:rPr>
        <w:t>》、</w:t>
      </w:r>
      <w:r w:rsidR="00C87F17" w:rsidRPr="00C87F17">
        <w:rPr>
          <w:rFonts w:ascii="宋体" w:eastAsia="宋体" w:hAnsi="宋体" w:cs="宋体" w:hint="eastAsia"/>
          <w:color w:val="auto"/>
        </w:rPr>
        <w:t>王府井集团股份有限公司</w:t>
      </w:r>
      <w:r w:rsidR="00C87F17">
        <w:rPr>
          <w:rFonts w:ascii="宋体" w:eastAsia="宋体" w:hAnsi="宋体" w:cs="宋体" w:hint="eastAsia"/>
          <w:color w:val="auto"/>
        </w:rPr>
        <w:t>已发布《</w:t>
      </w:r>
      <w:r w:rsidR="00C87F17" w:rsidRPr="00C87F17">
        <w:rPr>
          <w:rFonts w:ascii="宋体" w:eastAsia="宋体" w:hAnsi="宋体" w:cs="宋体" w:hint="eastAsia"/>
          <w:color w:val="auto"/>
        </w:rPr>
        <w:t>王府井关于公司换股吸收合并北京首商集团股份有限公司并募集配套资金暨关联交易之非公开发行股票发行结果暨股本变动的公告</w:t>
      </w:r>
      <w:r w:rsidR="00C87F17">
        <w:rPr>
          <w:rFonts w:ascii="宋体" w:eastAsia="宋体" w:hAnsi="宋体" w:cs="宋体" w:hint="eastAsia"/>
          <w:color w:val="auto"/>
        </w:rPr>
        <w:t>》，公布了本次非公开发行结果。</w:t>
      </w:r>
      <w:r>
        <w:rPr>
          <w:rFonts w:ascii="宋体" w:eastAsia="宋体" w:hAnsi="宋体" w:cs="宋体"/>
          <w:color w:val="auto"/>
        </w:rPr>
        <w:t>根据中国证监会《关于基金投资非公开发行股票等流通受限证券有关问题的通知》等有关规定，本公司现将旗下证券投资基金投资此非公开发行股票的相关情况公告如下：</w:t>
      </w:r>
    </w:p>
    <w:tbl>
      <w:tblPr>
        <w:tblW w:w="11494" w:type="dxa"/>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7"/>
        <w:gridCol w:w="1277"/>
        <w:gridCol w:w="1277"/>
        <w:gridCol w:w="1419"/>
        <w:gridCol w:w="1133"/>
        <w:gridCol w:w="1847"/>
        <w:gridCol w:w="993"/>
        <w:gridCol w:w="751"/>
      </w:tblGrid>
      <w:tr w:rsidR="00B644CA" w:rsidRPr="00047BD8" w:rsidTr="00B644CA">
        <w:trPr>
          <w:trHeight w:val="1206"/>
          <w:jc w:val="center"/>
        </w:trPr>
        <w:tc>
          <w:tcPr>
            <w:tcW w:w="2797"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基金名称</w:t>
            </w:r>
          </w:p>
        </w:tc>
        <w:tc>
          <w:tcPr>
            <w:tcW w:w="1277" w:type="dxa"/>
          </w:tcPr>
          <w:p w:rsidR="00B644CA" w:rsidRDefault="00B644CA" w:rsidP="002E69BE">
            <w:pPr>
              <w:widowControl/>
              <w:spacing w:before="100" w:beforeAutospacing="1" w:after="375" w:line="360" w:lineRule="atLeast"/>
              <w:jc w:val="center"/>
              <w:rPr>
                <w:rFonts w:ascii="宋体" w:hAnsi="宋体" w:cs="宋体"/>
                <w:kern w:val="0"/>
                <w:szCs w:val="21"/>
              </w:rPr>
            </w:pPr>
          </w:p>
          <w:p w:rsidR="00B644CA" w:rsidRPr="00047BD8" w:rsidRDefault="00B644CA" w:rsidP="002E69BE">
            <w:pPr>
              <w:widowControl/>
              <w:spacing w:before="100" w:beforeAutospacing="1" w:after="375" w:line="360" w:lineRule="atLeast"/>
              <w:jc w:val="center"/>
              <w:rPr>
                <w:rFonts w:ascii="宋体" w:hAnsi="宋体" w:cs="宋体" w:hint="eastAsia"/>
                <w:kern w:val="0"/>
                <w:szCs w:val="21"/>
              </w:rPr>
            </w:pPr>
            <w:r>
              <w:rPr>
                <w:rFonts w:ascii="宋体" w:hAnsi="宋体" w:cs="宋体" w:hint="eastAsia"/>
                <w:kern w:val="0"/>
                <w:szCs w:val="21"/>
              </w:rPr>
              <w:t>证券名称</w:t>
            </w:r>
          </w:p>
        </w:tc>
        <w:tc>
          <w:tcPr>
            <w:tcW w:w="127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认购数量</w:t>
            </w:r>
            <w:r w:rsidRPr="00047BD8">
              <w:rPr>
                <w:rFonts w:ascii="宋体" w:hAnsi="宋体" w:cs="宋体"/>
                <w:kern w:val="0"/>
                <w:szCs w:val="21"/>
              </w:rPr>
              <w:t>(</w:t>
            </w:r>
            <w:r w:rsidRPr="00047BD8">
              <w:rPr>
                <w:rFonts w:ascii="宋体" w:hAnsi="宋体" w:cs="宋体" w:hint="eastAsia"/>
                <w:kern w:val="0"/>
                <w:szCs w:val="21"/>
              </w:rPr>
              <w:t>股</w:t>
            </w:r>
            <w:r w:rsidRPr="00047BD8">
              <w:rPr>
                <w:rFonts w:ascii="宋体" w:hAnsi="宋体" w:cs="宋体"/>
                <w:kern w:val="0"/>
                <w:szCs w:val="21"/>
              </w:rPr>
              <w:t>)</w:t>
            </w:r>
          </w:p>
        </w:tc>
        <w:tc>
          <w:tcPr>
            <w:tcW w:w="1419"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总成本</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1133" w:type="dxa"/>
            <w:vAlign w:val="center"/>
          </w:tcPr>
          <w:p w:rsidR="00B644CA" w:rsidRPr="00047BD8" w:rsidRDefault="00B644CA" w:rsidP="007A5AFC">
            <w:pPr>
              <w:widowControl/>
              <w:spacing w:before="100" w:beforeAutospacing="1" w:after="375" w:line="360" w:lineRule="auto"/>
              <w:jc w:val="center"/>
              <w:rPr>
                <w:rFonts w:ascii="宋体" w:cs="宋体"/>
                <w:kern w:val="0"/>
                <w:szCs w:val="21"/>
              </w:rPr>
            </w:pPr>
            <w:r w:rsidRPr="00047BD8">
              <w:rPr>
                <w:rFonts w:ascii="宋体" w:hAnsi="宋体" w:cs="宋体" w:hint="eastAsia"/>
                <w:kern w:val="0"/>
                <w:szCs w:val="21"/>
              </w:rPr>
              <w:t>总成本占基金资产净值比例</w:t>
            </w:r>
            <w:r>
              <w:rPr>
                <w:rFonts w:ascii="宋体" w:hAnsi="宋体" w:cs="宋体" w:hint="eastAsia"/>
                <w:kern w:val="0"/>
                <w:szCs w:val="21"/>
              </w:rPr>
              <w:t>（%）</w:t>
            </w:r>
          </w:p>
        </w:tc>
        <w:tc>
          <w:tcPr>
            <w:tcW w:w="184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账面价值</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3"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账面价值占基金资产净值比例</w:t>
            </w:r>
            <w:r>
              <w:rPr>
                <w:rFonts w:ascii="宋体" w:hAnsi="宋体" w:cs="宋体" w:hint="eastAsia"/>
                <w:kern w:val="0"/>
                <w:szCs w:val="21"/>
              </w:rPr>
              <w:t>（%）</w:t>
            </w:r>
          </w:p>
        </w:tc>
        <w:tc>
          <w:tcPr>
            <w:tcW w:w="751"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限售期（月）</w:t>
            </w:r>
          </w:p>
        </w:tc>
      </w:tr>
      <w:tr w:rsidR="00E7660F" w:rsidRPr="00047BD8" w:rsidTr="00B644CA">
        <w:trPr>
          <w:trHeight w:val="546"/>
          <w:jc w:val="center"/>
        </w:trPr>
        <w:tc>
          <w:tcPr>
            <w:tcW w:w="2797" w:type="dxa"/>
          </w:tcPr>
          <w:p w:rsidR="00E7660F" w:rsidRPr="00AF56D5" w:rsidRDefault="001779E6" w:rsidP="00B14051">
            <w:pPr>
              <w:rPr>
                <w:rFonts w:hint="eastAsia"/>
              </w:rPr>
            </w:pPr>
            <w:r>
              <w:rPr>
                <w:rFonts w:hint="eastAsia"/>
              </w:rPr>
              <w:t>富国低碳新经济混合型证券投资基金</w:t>
            </w:r>
          </w:p>
        </w:tc>
        <w:tc>
          <w:tcPr>
            <w:tcW w:w="1277" w:type="dxa"/>
          </w:tcPr>
          <w:p w:rsidR="00E7660F" w:rsidRPr="009B5061" w:rsidRDefault="001779E6" w:rsidP="001D0C33">
            <w:pPr>
              <w:jc w:val="center"/>
            </w:pPr>
            <w:r>
              <w:rPr>
                <w:rFonts w:hint="eastAsia"/>
              </w:rPr>
              <w:t>首旅酒店</w:t>
            </w:r>
          </w:p>
        </w:tc>
        <w:tc>
          <w:tcPr>
            <w:tcW w:w="1277" w:type="dxa"/>
          </w:tcPr>
          <w:p w:rsidR="00E7660F" w:rsidRPr="009B5061" w:rsidRDefault="001779E6" w:rsidP="001D0C33">
            <w:pPr>
              <w:jc w:val="right"/>
            </w:pPr>
            <w:r>
              <w:t>2,239,140.00</w:t>
            </w:r>
          </w:p>
        </w:tc>
        <w:tc>
          <w:tcPr>
            <w:tcW w:w="1419" w:type="dxa"/>
          </w:tcPr>
          <w:p w:rsidR="00E7660F" w:rsidRPr="007073CE" w:rsidRDefault="001779E6" w:rsidP="001D0C33">
            <w:pPr>
              <w:jc w:val="right"/>
            </w:pPr>
            <w:r>
              <w:t>49,999,996.20</w:t>
            </w:r>
          </w:p>
        </w:tc>
        <w:tc>
          <w:tcPr>
            <w:tcW w:w="1133" w:type="dxa"/>
          </w:tcPr>
          <w:p w:rsidR="00E7660F" w:rsidRPr="004F46FD" w:rsidRDefault="001779E6" w:rsidP="001D0C33">
            <w:pPr>
              <w:jc w:val="right"/>
            </w:pPr>
            <w:r>
              <w:t>0.9135</w:t>
            </w:r>
          </w:p>
        </w:tc>
        <w:tc>
          <w:tcPr>
            <w:tcW w:w="1847" w:type="dxa"/>
          </w:tcPr>
          <w:p w:rsidR="00E7660F" w:rsidRPr="00393B05" w:rsidRDefault="001779E6" w:rsidP="001D0C33">
            <w:pPr>
              <w:jc w:val="right"/>
            </w:pPr>
            <w:r>
              <w:t>48,522,163.80</w:t>
            </w:r>
          </w:p>
        </w:tc>
        <w:tc>
          <w:tcPr>
            <w:tcW w:w="993" w:type="dxa"/>
          </w:tcPr>
          <w:p w:rsidR="00E7660F" w:rsidRPr="00E3665A" w:rsidRDefault="001779E6" w:rsidP="001D0C33">
            <w:pPr>
              <w:jc w:val="right"/>
            </w:pPr>
            <w:r>
              <w:t>0.8865</w:t>
            </w:r>
          </w:p>
        </w:tc>
        <w:tc>
          <w:tcPr>
            <w:tcW w:w="751" w:type="dxa"/>
            <w:vAlign w:val="center"/>
          </w:tcPr>
          <w:p w:rsidR="00E7660F" w:rsidRPr="00B95123" w:rsidRDefault="001779E6" w:rsidP="00753AC8">
            <w:pPr>
              <w:jc w:val="center"/>
              <w:rPr>
                <w:rFonts w:ascii="??" w:hAnsi="??" w:cs="宋体" w:hint="eastAsia"/>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富国高端制造行业股票型证券投资基金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671,742.00</w:t>
            </w:r>
          </w:p>
        </w:tc>
        <w:tc>
          <w:tcPr>
            <w:tcW w:w="1419" w:type="dxa"/>
          </w:tcPr>
          <w:p w:rsidR="001779E6" w:rsidRDefault="001779E6" w:rsidP="001D0C33">
            <w:pPr>
              <w:jc w:val="right"/>
            </w:pPr>
            <w:r>
              <w:t>14,999,998.86</w:t>
            </w:r>
          </w:p>
        </w:tc>
        <w:tc>
          <w:tcPr>
            <w:tcW w:w="1133" w:type="dxa"/>
          </w:tcPr>
          <w:p w:rsidR="001779E6" w:rsidRDefault="001779E6" w:rsidP="001D0C33">
            <w:pPr>
              <w:jc w:val="right"/>
            </w:pPr>
            <w:r>
              <w:t>1.0060</w:t>
            </w:r>
          </w:p>
        </w:tc>
        <w:tc>
          <w:tcPr>
            <w:tcW w:w="1847" w:type="dxa"/>
          </w:tcPr>
          <w:p w:rsidR="001779E6" w:rsidRDefault="001779E6" w:rsidP="001D0C33">
            <w:pPr>
              <w:jc w:val="right"/>
            </w:pPr>
            <w:r>
              <w:t>14,556,649.14</w:t>
            </w:r>
          </w:p>
        </w:tc>
        <w:tc>
          <w:tcPr>
            <w:tcW w:w="993" w:type="dxa"/>
          </w:tcPr>
          <w:p w:rsidR="001779E6" w:rsidRDefault="001779E6" w:rsidP="001D0C33">
            <w:pPr>
              <w:jc w:val="right"/>
            </w:pPr>
            <w:r>
              <w:t>0.9763</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富国高质量混合型证券投资基金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447,828.00</w:t>
            </w:r>
          </w:p>
        </w:tc>
        <w:tc>
          <w:tcPr>
            <w:tcW w:w="1419" w:type="dxa"/>
          </w:tcPr>
          <w:p w:rsidR="001779E6" w:rsidRDefault="001779E6" w:rsidP="001D0C33">
            <w:pPr>
              <w:jc w:val="right"/>
            </w:pPr>
            <w:r>
              <w:t>9,999,999.24</w:t>
            </w:r>
          </w:p>
        </w:tc>
        <w:tc>
          <w:tcPr>
            <w:tcW w:w="1133" w:type="dxa"/>
          </w:tcPr>
          <w:p w:rsidR="001779E6" w:rsidRDefault="001779E6" w:rsidP="001D0C33">
            <w:pPr>
              <w:jc w:val="right"/>
            </w:pPr>
            <w:r>
              <w:t>0.3254</w:t>
            </w:r>
          </w:p>
        </w:tc>
        <w:tc>
          <w:tcPr>
            <w:tcW w:w="1847" w:type="dxa"/>
          </w:tcPr>
          <w:p w:rsidR="001779E6" w:rsidRDefault="001779E6" w:rsidP="001D0C33">
            <w:pPr>
              <w:jc w:val="right"/>
            </w:pPr>
            <w:r>
              <w:t>9,704,432.76</w:t>
            </w:r>
          </w:p>
        </w:tc>
        <w:tc>
          <w:tcPr>
            <w:tcW w:w="993" w:type="dxa"/>
          </w:tcPr>
          <w:p w:rsidR="001779E6" w:rsidRDefault="001779E6" w:rsidP="001D0C33">
            <w:pPr>
              <w:jc w:val="right"/>
            </w:pPr>
            <w:r>
              <w:t>0.3158</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富国沪深</w:t>
            </w:r>
            <w:r>
              <w:rPr>
                <w:rFonts w:hint="eastAsia"/>
              </w:rPr>
              <w:t>300</w:t>
            </w:r>
            <w:r>
              <w:rPr>
                <w:rFonts w:hint="eastAsia"/>
              </w:rPr>
              <w:t>增强证券投资基金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223,914.00</w:t>
            </w:r>
          </w:p>
        </w:tc>
        <w:tc>
          <w:tcPr>
            <w:tcW w:w="1419" w:type="dxa"/>
          </w:tcPr>
          <w:p w:rsidR="001779E6" w:rsidRDefault="001779E6" w:rsidP="001D0C33">
            <w:pPr>
              <w:jc w:val="right"/>
            </w:pPr>
            <w:r>
              <w:t>4,999,999.62</w:t>
            </w:r>
          </w:p>
        </w:tc>
        <w:tc>
          <w:tcPr>
            <w:tcW w:w="1133" w:type="dxa"/>
          </w:tcPr>
          <w:p w:rsidR="001779E6" w:rsidRDefault="001779E6" w:rsidP="001D0C33">
            <w:pPr>
              <w:jc w:val="right"/>
            </w:pPr>
            <w:r>
              <w:t>0.0820</w:t>
            </w:r>
          </w:p>
        </w:tc>
        <w:tc>
          <w:tcPr>
            <w:tcW w:w="1847" w:type="dxa"/>
          </w:tcPr>
          <w:p w:rsidR="001779E6" w:rsidRDefault="001779E6" w:rsidP="001D0C33">
            <w:pPr>
              <w:jc w:val="right"/>
            </w:pPr>
            <w:r>
              <w:t>4,852,216.38</w:t>
            </w:r>
          </w:p>
        </w:tc>
        <w:tc>
          <w:tcPr>
            <w:tcW w:w="993" w:type="dxa"/>
          </w:tcPr>
          <w:p w:rsidR="001779E6" w:rsidRDefault="001779E6" w:rsidP="001D0C33">
            <w:pPr>
              <w:jc w:val="right"/>
            </w:pPr>
            <w:r>
              <w:t>0.0796</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富国价值优势混合型证券投资基金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2,507,837.00</w:t>
            </w:r>
          </w:p>
        </w:tc>
        <w:tc>
          <w:tcPr>
            <w:tcW w:w="1419" w:type="dxa"/>
          </w:tcPr>
          <w:p w:rsidR="001779E6" w:rsidRDefault="001779E6" w:rsidP="001D0C33">
            <w:pPr>
              <w:jc w:val="right"/>
            </w:pPr>
            <w:r>
              <w:t>56,000,000.21</w:t>
            </w:r>
          </w:p>
        </w:tc>
        <w:tc>
          <w:tcPr>
            <w:tcW w:w="1133" w:type="dxa"/>
          </w:tcPr>
          <w:p w:rsidR="001779E6" w:rsidRDefault="001779E6" w:rsidP="001D0C33">
            <w:pPr>
              <w:jc w:val="right"/>
            </w:pPr>
            <w:r>
              <w:t>0.7577</w:t>
            </w:r>
          </w:p>
        </w:tc>
        <w:tc>
          <w:tcPr>
            <w:tcW w:w="1847" w:type="dxa"/>
          </w:tcPr>
          <w:p w:rsidR="001779E6" w:rsidRDefault="001779E6" w:rsidP="001D0C33">
            <w:pPr>
              <w:jc w:val="right"/>
            </w:pPr>
            <w:r>
              <w:t>54,344,827.79</w:t>
            </w:r>
          </w:p>
        </w:tc>
        <w:tc>
          <w:tcPr>
            <w:tcW w:w="993" w:type="dxa"/>
          </w:tcPr>
          <w:p w:rsidR="001779E6" w:rsidRDefault="001779E6" w:rsidP="001D0C33">
            <w:pPr>
              <w:jc w:val="right"/>
            </w:pPr>
            <w:r>
              <w:t>0.7353</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富国均衡成长三年持有期混合型证券投资基金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806,090.00</w:t>
            </w:r>
          </w:p>
        </w:tc>
        <w:tc>
          <w:tcPr>
            <w:tcW w:w="1419" w:type="dxa"/>
          </w:tcPr>
          <w:p w:rsidR="001779E6" w:rsidRDefault="001779E6" w:rsidP="001D0C33">
            <w:pPr>
              <w:jc w:val="right"/>
            </w:pPr>
            <w:r>
              <w:t>17,999,989.70</w:t>
            </w:r>
          </w:p>
        </w:tc>
        <w:tc>
          <w:tcPr>
            <w:tcW w:w="1133" w:type="dxa"/>
          </w:tcPr>
          <w:p w:rsidR="001779E6" w:rsidRDefault="001779E6" w:rsidP="001D0C33">
            <w:pPr>
              <w:jc w:val="right"/>
            </w:pPr>
            <w:r>
              <w:t>2.0046</w:t>
            </w:r>
          </w:p>
        </w:tc>
        <w:tc>
          <w:tcPr>
            <w:tcW w:w="1847" w:type="dxa"/>
          </w:tcPr>
          <w:p w:rsidR="001779E6" w:rsidRDefault="001779E6" w:rsidP="001D0C33">
            <w:pPr>
              <w:jc w:val="right"/>
            </w:pPr>
            <w:r>
              <w:t>17,467,970.30</w:t>
            </w:r>
          </w:p>
        </w:tc>
        <w:tc>
          <w:tcPr>
            <w:tcW w:w="993" w:type="dxa"/>
          </w:tcPr>
          <w:p w:rsidR="001779E6" w:rsidRDefault="001779E6" w:rsidP="001D0C33">
            <w:pPr>
              <w:jc w:val="right"/>
            </w:pPr>
            <w:r>
              <w:t>1.9454</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富国龙头优势混合型证券投资基金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223,914.00</w:t>
            </w:r>
          </w:p>
        </w:tc>
        <w:tc>
          <w:tcPr>
            <w:tcW w:w="1419" w:type="dxa"/>
          </w:tcPr>
          <w:p w:rsidR="001779E6" w:rsidRDefault="001779E6" w:rsidP="001D0C33">
            <w:pPr>
              <w:jc w:val="right"/>
            </w:pPr>
            <w:r>
              <w:t>4,999,999.62</w:t>
            </w:r>
          </w:p>
        </w:tc>
        <w:tc>
          <w:tcPr>
            <w:tcW w:w="1133" w:type="dxa"/>
          </w:tcPr>
          <w:p w:rsidR="001779E6" w:rsidRDefault="001779E6" w:rsidP="001D0C33">
            <w:pPr>
              <w:jc w:val="right"/>
            </w:pPr>
            <w:r>
              <w:t>0.7638</w:t>
            </w:r>
          </w:p>
        </w:tc>
        <w:tc>
          <w:tcPr>
            <w:tcW w:w="1847" w:type="dxa"/>
          </w:tcPr>
          <w:p w:rsidR="001779E6" w:rsidRDefault="001779E6" w:rsidP="001D0C33">
            <w:pPr>
              <w:jc w:val="right"/>
            </w:pPr>
            <w:r>
              <w:t>4,852,216.38</w:t>
            </w:r>
          </w:p>
        </w:tc>
        <w:tc>
          <w:tcPr>
            <w:tcW w:w="993" w:type="dxa"/>
          </w:tcPr>
          <w:p w:rsidR="001779E6" w:rsidRDefault="001779E6" w:rsidP="001D0C33">
            <w:pPr>
              <w:jc w:val="right"/>
            </w:pPr>
            <w:r>
              <w:t>0.7413</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富国品质生活混合型证券投资基金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671,742.00</w:t>
            </w:r>
          </w:p>
        </w:tc>
        <w:tc>
          <w:tcPr>
            <w:tcW w:w="1419" w:type="dxa"/>
          </w:tcPr>
          <w:p w:rsidR="001779E6" w:rsidRDefault="001779E6" w:rsidP="001D0C33">
            <w:pPr>
              <w:jc w:val="right"/>
            </w:pPr>
            <w:r>
              <w:t>14,999,998.86</w:t>
            </w:r>
          </w:p>
        </w:tc>
        <w:tc>
          <w:tcPr>
            <w:tcW w:w="1133" w:type="dxa"/>
          </w:tcPr>
          <w:p w:rsidR="001779E6" w:rsidRDefault="001779E6" w:rsidP="001D0C33">
            <w:pPr>
              <w:jc w:val="right"/>
            </w:pPr>
            <w:r>
              <w:t>0.3954</w:t>
            </w:r>
          </w:p>
        </w:tc>
        <w:tc>
          <w:tcPr>
            <w:tcW w:w="1847" w:type="dxa"/>
          </w:tcPr>
          <w:p w:rsidR="001779E6" w:rsidRDefault="001779E6" w:rsidP="001D0C33">
            <w:pPr>
              <w:jc w:val="right"/>
            </w:pPr>
            <w:r>
              <w:t>14,556,649.14</w:t>
            </w:r>
          </w:p>
        </w:tc>
        <w:tc>
          <w:tcPr>
            <w:tcW w:w="993" w:type="dxa"/>
          </w:tcPr>
          <w:p w:rsidR="001779E6" w:rsidRDefault="001779E6" w:rsidP="001D0C33">
            <w:pPr>
              <w:jc w:val="right"/>
            </w:pPr>
            <w:r>
              <w:t>0.3838</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富国融泰三个月定期开放混合型发起式证券投资基金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582,177.00</w:t>
            </w:r>
          </w:p>
        </w:tc>
        <w:tc>
          <w:tcPr>
            <w:tcW w:w="1419" w:type="dxa"/>
          </w:tcPr>
          <w:p w:rsidR="001779E6" w:rsidRDefault="001779E6" w:rsidP="001D0C33">
            <w:pPr>
              <w:jc w:val="right"/>
            </w:pPr>
            <w:r>
              <w:t>13,000,012.41</w:t>
            </w:r>
          </w:p>
        </w:tc>
        <w:tc>
          <w:tcPr>
            <w:tcW w:w="1133" w:type="dxa"/>
          </w:tcPr>
          <w:p w:rsidR="001779E6" w:rsidRDefault="001779E6" w:rsidP="001D0C33">
            <w:pPr>
              <w:jc w:val="right"/>
            </w:pPr>
            <w:r>
              <w:t>0.3277</w:t>
            </w:r>
          </w:p>
        </w:tc>
        <w:tc>
          <w:tcPr>
            <w:tcW w:w="1847" w:type="dxa"/>
          </w:tcPr>
          <w:p w:rsidR="001779E6" w:rsidRDefault="001779E6" w:rsidP="001D0C33">
            <w:pPr>
              <w:jc w:val="right"/>
            </w:pPr>
            <w:r>
              <w:t>12,615,775.59</w:t>
            </w:r>
          </w:p>
        </w:tc>
        <w:tc>
          <w:tcPr>
            <w:tcW w:w="993" w:type="dxa"/>
          </w:tcPr>
          <w:p w:rsidR="001779E6" w:rsidRDefault="001779E6" w:rsidP="001D0C33">
            <w:pPr>
              <w:jc w:val="right"/>
            </w:pPr>
            <w:r>
              <w:t>0.3180</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lastRenderedPageBreak/>
              <w:t>富国天博创新主题混合型证券投资基金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1,343,484.00</w:t>
            </w:r>
          </w:p>
        </w:tc>
        <w:tc>
          <w:tcPr>
            <w:tcW w:w="1419" w:type="dxa"/>
          </w:tcPr>
          <w:p w:rsidR="001779E6" w:rsidRDefault="001779E6" w:rsidP="001D0C33">
            <w:pPr>
              <w:jc w:val="right"/>
            </w:pPr>
            <w:r>
              <w:t>29,999,997.72</w:t>
            </w:r>
          </w:p>
        </w:tc>
        <w:tc>
          <w:tcPr>
            <w:tcW w:w="1133" w:type="dxa"/>
          </w:tcPr>
          <w:p w:rsidR="001779E6" w:rsidRDefault="001779E6" w:rsidP="001D0C33">
            <w:pPr>
              <w:jc w:val="right"/>
            </w:pPr>
            <w:r>
              <w:t>1.0311</w:t>
            </w:r>
          </w:p>
        </w:tc>
        <w:tc>
          <w:tcPr>
            <w:tcW w:w="1847" w:type="dxa"/>
          </w:tcPr>
          <w:p w:rsidR="001779E6" w:rsidRDefault="001779E6" w:rsidP="001D0C33">
            <w:pPr>
              <w:jc w:val="right"/>
            </w:pPr>
            <w:r>
              <w:t>29,113,298.28</w:t>
            </w:r>
          </w:p>
        </w:tc>
        <w:tc>
          <w:tcPr>
            <w:tcW w:w="993" w:type="dxa"/>
          </w:tcPr>
          <w:p w:rsidR="001779E6" w:rsidRDefault="001779E6" w:rsidP="001D0C33">
            <w:pPr>
              <w:jc w:val="right"/>
            </w:pPr>
            <w:r>
              <w:t>1.0006</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富国消费主题混合型证券投资基金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671,742.00</w:t>
            </w:r>
          </w:p>
        </w:tc>
        <w:tc>
          <w:tcPr>
            <w:tcW w:w="1419" w:type="dxa"/>
          </w:tcPr>
          <w:p w:rsidR="001779E6" w:rsidRDefault="001779E6" w:rsidP="001D0C33">
            <w:pPr>
              <w:jc w:val="right"/>
            </w:pPr>
            <w:r>
              <w:t>14,999,998.86</w:t>
            </w:r>
          </w:p>
        </w:tc>
        <w:tc>
          <w:tcPr>
            <w:tcW w:w="1133" w:type="dxa"/>
          </w:tcPr>
          <w:p w:rsidR="001779E6" w:rsidRDefault="001779E6" w:rsidP="001D0C33">
            <w:pPr>
              <w:jc w:val="right"/>
            </w:pPr>
            <w:r>
              <w:t>0.3644</w:t>
            </w:r>
          </w:p>
        </w:tc>
        <w:tc>
          <w:tcPr>
            <w:tcW w:w="1847" w:type="dxa"/>
          </w:tcPr>
          <w:p w:rsidR="001779E6" w:rsidRDefault="001779E6" w:rsidP="001D0C33">
            <w:pPr>
              <w:jc w:val="right"/>
            </w:pPr>
            <w:r>
              <w:t>14,556,649.14</w:t>
            </w:r>
          </w:p>
        </w:tc>
        <w:tc>
          <w:tcPr>
            <w:tcW w:w="993" w:type="dxa"/>
          </w:tcPr>
          <w:p w:rsidR="001779E6" w:rsidRDefault="001779E6" w:rsidP="001D0C33">
            <w:pPr>
              <w:jc w:val="right"/>
            </w:pPr>
            <w:r>
              <w:t>0.3537</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富国新活力灵活配置混合型发起式证券投资基金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268,697.00</w:t>
            </w:r>
          </w:p>
        </w:tc>
        <w:tc>
          <w:tcPr>
            <w:tcW w:w="1419" w:type="dxa"/>
          </w:tcPr>
          <w:p w:rsidR="001779E6" w:rsidRDefault="001779E6" w:rsidP="001D0C33">
            <w:pPr>
              <w:jc w:val="right"/>
            </w:pPr>
            <w:r>
              <w:t>6,000,004.01</w:t>
            </w:r>
          </w:p>
        </w:tc>
        <w:tc>
          <w:tcPr>
            <w:tcW w:w="1133" w:type="dxa"/>
          </w:tcPr>
          <w:p w:rsidR="001779E6" w:rsidRDefault="001779E6" w:rsidP="001D0C33">
            <w:pPr>
              <w:jc w:val="right"/>
            </w:pPr>
            <w:r>
              <w:t>0.7638</w:t>
            </w:r>
          </w:p>
        </w:tc>
        <w:tc>
          <w:tcPr>
            <w:tcW w:w="1847" w:type="dxa"/>
          </w:tcPr>
          <w:p w:rsidR="001779E6" w:rsidRDefault="001779E6" w:rsidP="001D0C33">
            <w:pPr>
              <w:jc w:val="right"/>
            </w:pPr>
            <w:r>
              <w:t>5,822,663.99</w:t>
            </w:r>
          </w:p>
        </w:tc>
        <w:tc>
          <w:tcPr>
            <w:tcW w:w="993" w:type="dxa"/>
          </w:tcPr>
          <w:p w:rsidR="001779E6" w:rsidRDefault="001779E6" w:rsidP="001D0C33">
            <w:pPr>
              <w:jc w:val="right"/>
            </w:pPr>
            <w:r>
              <w:t>0.7412</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富国新机遇灵活配置混合型发起式证券投资基金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582,177.00</w:t>
            </w:r>
          </w:p>
        </w:tc>
        <w:tc>
          <w:tcPr>
            <w:tcW w:w="1419" w:type="dxa"/>
          </w:tcPr>
          <w:p w:rsidR="001779E6" w:rsidRDefault="001779E6" w:rsidP="001D0C33">
            <w:pPr>
              <w:jc w:val="right"/>
            </w:pPr>
            <w:r>
              <w:t>13,000,012.41</w:t>
            </w:r>
          </w:p>
        </w:tc>
        <w:tc>
          <w:tcPr>
            <w:tcW w:w="1133" w:type="dxa"/>
          </w:tcPr>
          <w:p w:rsidR="001779E6" w:rsidRDefault="001779E6" w:rsidP="001D0C33">
            <w:pPr>
              <w:jc w:val="right"/>
            </w:pPr>
            <w:r>
              <w:t>0.5804</w:t>
            </w:r>
          </w:p>
        </w:tc>
        <w:tc>
          <w:tcPr>
            <w:tcW w:w="1847" w:type="dxa"/>
          </w:tcPr>
          <w:p w:rsidR="001779E6" w:rsidRDefault="001779E6" w:rsidP="001D0C33">
            <w:pPr>
              <w:jc w:val="right"/>
            </w:pPr>
            <w:r>
              <w:t>12,615,775.59</w:t>
            </w:r>
          </w:p>
        </w:tc>
        <w:tc>
          <w:tcPr>
            <w:tcW w:w="993" w:type="dxa"/>
          </w:tcPr>
          <w:p w:rsidR="001779E6" w:rsidRDefault="001779E6" w:rsidP="001D0C33">
            <w:pPr>
              <w:jc w:val="right"/>
            </w:pPr>
            <w:r>
              <w:t>0.5632</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富国中证</w:t>
            </w:r>
            <w:r>
              <w:rPr>
                <w:rFonts w:hint="eastAsia"/>
              </w:rPr>
              <w:t>500</w:t>
            </w:r>
            <w:r>
              <w:rPr>
                <w:rFonts w:hint="eastAsia"/>
              </w:rPr>
              <w:t>指数增强型证券投资基金</w:t>
            </w:r>
            <w:r>
              <w:rPr>
                <w:rFonts w:hint="eastAsia"/>
              </w:rPr>
              <w:t>(LOF)</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358,262.00</w:t>
            </w:r>
          </w:p>
        </w:tc>
        <w:tc>
          <w:tcPr>
            <w:tcW w:w="1419" w:type="dxa"/>
          </w:tcPr>
          <w:p w:rsidR="001779E6" w:rsidRDefault="001779E6" w:rsidP="001D0C33">
            <w:pPr>
              <w:jc w:val="right"/>
            </w:pPr>
            <w:r>
              <w:t>7,999,990.46</w:t>
            </w:r>
          </w:p>
        </w:tc>
        <w:tc>
          <w:tcPr>
            <w:tcW w:w="1133" w:type="dxa"/>
          </w:tcPr>
          <w:p w:rsidR="001779E6" w:rsidRDefault="001779E6" w:rsidP="001D0C33">
            <w:pPr>
              <w:jc w:val="right"/>
            </w:pPr>
            <w:r>
              <w:t>0.0998</w:t>
            </w:r>
          </w:p>
        </w:tc>
        <w:tc>
          <w:tcPr>
            <w:tcW w:w="1847" w:type="dxa"/>
          </w:tcPr>
          <w:p w:rsidR="001779E6" w:rsidRDefault="001779E6" w:rsidP="001D0C33">
            <w:pPr>
              <w:jc w:val="right"/>
            </w:pPr>
            <w:r>
              <w:t>7,763,537.54</w:t>
            </w:r>
          </w:p>
        </w:tc>
        <w:tc>
          <w:tcPr>
            <w:tcW w:w="993" w:type="dxa"/>
          </w:tcPr>
          <w:p w:rsidR="001779E6" w:rsidRDefault="001779E6" w:rsidP="001D0C33">
            <w:pPr>
              <w:jc w:val="right"/>
            </w:pPr>
            <w:r>
              <w:t>0.0969</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富国中证红利指数增强型证券投资基金</w:t>
            </w:r>
          </w:p>
        </w:tc>
        <w:tc>
          <w:tcPr>
            <w:tcW w:w="1277" w:type="dxa"/>
          </w:tcPr>
          <w:p w:rsidR="001779E6" w:rsidRDefault="001779E6" w:rsidP="001D0C33">
            <w:pPr>
              <w:jc w:val="center"/>
              <w:rPr>
                <w:rFonts w:hint="eastAsia"/>
              </w:rPr>
            </w:pPr>
            <w:r>
              <w:rPr>
                <w:rFonts w:hint="eastAsia"/>
              </w:rPr>
              <w:t>首旅酒店</w:t>
            </w:r>
          </w:p>
        </w:tc>
        <w:tc>
          <w:tcPr>
            <w:tcW w:w="1277" w:type="dxa"/>
          </w:tcPr>
          <w:p w:rsidR="001779E6" w:rsidRDefault="001779E6" w:rsidP="001D0C33">
            <w:pPr>
              <w:jc w:val="right"/>
            </w:pPr>
            <w:r>
              <w:t>223,914.00</w:t>
            </w:r>
          </w:p>
        </w:tc>
        <w:tc>
          <w:tcPr>
            <w:tcW w:w="1419" w:type="dxa"/>
          </w:tcPr>
          <w:p w:rsidR="001779E6" w:rsidRDefault="001779E6" w:rsidP="001D0C33">
            <w:pPr>
              <w:jc w:val="right"/>
            </w:pPr>
            <w:r>
              <w:t>4,999,999.62</w:t>
            </w:r>
          </w:p>
        </w:tc>
        <w:tc>
          <w:tcPr>
            <w:tcW w:w="1133" w:type="dxa"/>
          </w:tcPr>
          <w:p w:rsidR="001779E6" w:rsidRDefault="001779E6" w:rsidP="001D0C33">
            <w:pPr>
              <w:jc w:val="right"/>
            </w:pPr>
            <w:r>
              <w:t>0.0902</w:t>
            </w:r>
          </w:p>
        </w:tc>
        <w:tc>
          <w:tcPr>
            <w:tcW w:w="1847" w:type="dxa"/>
          </w:tcPr>
          <w:p w:rsidR="001779E6" w:rsidRDefault="001779E6" w:rsidP="001D0C33">
            <w:pPr>
              <w:jc w:val="right"/>
            </w:pPr>
            <w:r>
              <w:t>4,852,216.38</w:t>
            </w:r>
          </w:p>
        </w:tc>
        <w:tc>
          <w:tcPr>
            <w:tcW w:w="993" w:type="dxa"/>
          </w:tcPr>
          <w:p w:rsidR="001779E6" w:rsidRDefault="001779E6" w:rsidP="001D0C33">
            <w:pPr>
              <w:jc w:val="right"/>
            </w:pPr>
            <w:r>
              <w:t>0.0875</w:t>
            </w:r>
          </w:p>
        </w:tc>
        <w:tc>
          <w:tcPr>
            <w:tcW w:w="751" w:type="dxa"/>
            <w:vAlign w:val="center"/>
          </w:tcPr>
          <w:p w:rsidR="001779E6" w:rsidRDefault="001779E6" w:rsidP="00753AC8">
            <w:pPr>
              <w:jc w:val="center"/>
              <w:rPr>
                <w:rFonts w:ascii="??" w:hAnsi="??" w:cs="宋体"/>
                <w:kern w:val="0"/>
                <w:szCs w:val="21"/>
              </w:rPr>
            </w:pPr>
            <w:r>
              <w:rPr>
                <w:rFonts w:ascii="??" w:hAnsi="??" w:cs="宋体"/>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富国天惠精选成长混合型证券投资基金</w:t>
            </w:r>
          </w:p>
        </w:tc>
        <w:tc>
          <w:tcPr>
            <w:tcW w:w="1277" w:type="dxa"/>
          </w:tcPr>
          <w:p w:rsidR="001779E6" w:rsidRDefault="001779E6" w:rsidP="001D0C33">
            <w:pPr>
              <w:jc w:val="center"/>
              <w:rPr>
                <w:rFonts w:hint="eastAsia"/>
              </w:rPr>
            </w:pPr>
            <w:r>
              <w:rPr>
                <w:rFonts w:hint="eastAsia"/>
              </w:rPr>
              <w:t>王府井</w:t>
            </w:r>
          </w:p>
        </w:tc>
        <w:tc>
          <w:tcPr>
            <w:tcW w:w="1277" w:type="dxa"/>
          </w:tcPr>
          <w:p w:rsidR="001779E6" w:rsidRDefault="001779E6" w:rsidP="001D0C33">
            <w:pPr>
              <w:jc w:val="right"/>
            </w:pPr>
            <w:r>
              <w:t>6,636,251.00</w:t>
            </w:r>
          </w:p>
        </w:tc>
        <w:tc>
          <w:tcPr>
            <w:tcW w:w="1419" w:type="dxa"/>
          </w:tcPr>
          <w:p w:rsidR="001779E6" w:rsidRDefault="001779E6" w:rsidP="001D0C33">
            <w:pPr>
              <w:jc w:val="right"/>
            </w:pPr>
            <w:r>
              <w:t>160,000,011.61</w:t>
            </w:r>
          </w:p>
        </w:tc>
        <w:tc>
          <w:tcPr>
            <w:tcW w:w="1133" w:type="dxa"/>
          </w:tcPr>
          <w:p w:rsidR="001779E6" w:rsidRDefault="001779E6" w:rsidP="001D0C33">
            <w:pPr>
              <w:jc w:val="right"/>
            </w:pPr>
            <w:r>
              <w:t>0.3999</w:t>
            </w:r>
          </w:p>
        </w:tc>
        <w:tc>
          <w:tcPr>
            <w:tcW w:w="1847" w:type="dxa"/>
          </w:tcPr>
          <w:p w:rsidR="001779E6" w:rsidRDefault="001779E6" w:rsidP="001D0C33">
            <w:pPr>
              <w:jc w:val="right"/>
            </w:pPr>
            <w:r>
              <w:t>165,242,649.90</w:t>
            </w:r>
          </w:p>
        </w:tc>
        <w:tc>
          <w:tcPr>
            <w:tcW w:w="993" w:type="dxa"/>
          </w:tcPr>
          <w:p w:rsidR="001779E6" w:rsidRDefault="001779E6" w:rsidP="001D0C33">
            <w:pPr>
              <w:jc w:val="right"/>
            </w:pPr>
            <w:r>
              <w:t>0.4130</w:t>
            </w:r>
          </w:p>
        </w:tc>
        <w:tc>
          <w:tcPr>
            <w:tcW w:w="751" w:type="dxa"/>
            <w:vAlign w:val="center"/>
          </w:tcPr>
          <w:p w:rsidR="001779E6" w:rsidRDefault="00C00373" w:rsidP="00753AC8">
            <w:pPr>
              <w:jc w:val="center"/>
              <w:rPr>
                <w:rFonts w:ascii="??" w:hAnsi="??" w:cs="宋体"/>
                <w:kern w:val="0"/>
                <w:szCs w:val="21"/>
              </w:rPr>
            </w:pPr>
            <w:r>
              <w:rPr>
                <w:rFonts w:ascii="??" w:hAnsi="??" w:cs="宋体" w:hint="eastAsia"/>
                <w:kern w:val="0"/>
                <w:szCs w:val="21"/>
              </w:rPr>
              <w:t>6</w:t>
            </w:r>
          </w:p>
        </w:tc>
      </w:tr>
      <w:tr w:rsidR="001779E6" w:rsidRPr="00047BD8" w:rsidTr="00B644CA">
        <w:trPr>
          <w:trHeight w:val="546"/>
          <w:jc w:val="center"/>
        </w:trPr>
        <w:tc>
          <w:tcPr>
            <w:tcW w:w="2797" w:type="dxa"/>
          </w:tcPr>
          <w:p w:rsidR="001779E6" w:rsidRDefault="001779E6" w:rsidP="00B14051">
            <w:pPr>
              <w:rPr>
                <w:rFonts w:hint="eastAsia"/>
              </w:rPr>
            </w:pPr>
            <w:r>
              <w:rPr>
                <w:rFonts w:hint="eastAsia"/>
              </w:rPr>
              <w:t>富国研究精选灵活配置混合型证券投资基金</w:t>
            </w:r>
          </w:p>
        </w:tc>
        <w:tc>
          <w:tcPr>
            <w:tcW w:w="1277" w:type="dxa"/>
          </w:tcPr>
          <w:p w:rsidR="001779E6" w:rsidRDefault="001779E6" w:rsidP="001D0C33">
            <w:pPr>
              <w:jc w:val="center"/>
              <w:rPr>
                <w:rFonts w:hint="eastAsia"/>
              </w:rPr>
            </w:pPr>
            <w:r>
              <w:rPr>
                <w:rFonts w:hint="eastAsia"/>
              </w:rPr>
              <w:t>王府井</w:t>
            </w:r>
          </w:p>
        </w:tc>
        <w:tc>
          <w:tcPr>
            <w:tcW w:w="1277" w:type="dxa"/>
          </w:tcPr>
          <w:p w:rsidR="001779E6" w:rsidRDefault="001779E6" w:rsidP="001D0C33">
            <w:pPr>
              <w:jc w:val="right"/>
            </w:pPr>
            <w:r>
              <w:t>290,335.00</w:t>
            </w:r>
          </w:p>
        </w:tc>
        <w:tc>
          <w:tcPr>
            <w:tcW w:w="1419" w:type="dxa"/>
          </w:tcPr>
          <w:p w:rsidR="001779E6" w:rsidRDefault="001779E6" w:rsidP="001D0C33">
            <w:pPr>
              <w:jc w:val="right"/>
            </w:pPr>
            <w:r>
              <w:t>6,999,976.85</w:t>
            </w:r>
          </w:p>
        </w:tc>
        <w:tc>
          <w:tcPr>
            <w:tcW w:w="1133" w:type="dxa"/>
          </w:tcPr>
          <w:p w:rsidR="001779E6" w:rsidRDefault="001779E6" w:rsidP="001D0C33">
            <w:pPr>
              <w:jc w:val="right"/>
            </w:pPr>
            <w:r>
              <w:t>1.7590</w:t>
            </w:r>
          </w:p>
        </w:tc>
        <w:tc>
          <w:tcPr>
            <w:tcW w:w="1847" w:type="dxa"/>
          </w:tcPr>
          <w:p w:rsidR="001779E6" w:rsidRDefault="001779E6" w:rsidP="001D0C33">
            <w:pPr>
              <w:jc w:val="right"/>
            </w:pPr>
            <w:r>
              <w:t>7,229,341.50</w:t>
            </w:r>
          </w:p>
        </w:tc>
        <w:tc>
          <w:tcPr>
            <w:tcW w:w="993" w:type="dxa"/>
          </w:tcPr>
          <w:p w:rsidR="001779E6" w:rsidRDefault="001779E6" w:rsidP="001D0C33">
            <w:pPr>
              <w:jc w:val="right"/>
            </w:pPr>
            <w:r>
              <w:t>1.8167</w:t>
            </w:r>
          </w:p>
        </w:tc>
        <w:tc>
          <w:tcPr>
            <w:tcW w:w="751" w:type="dxa"/>
            <w:vAlign w:val="center"/>
          </w:tcPr>
          <w:p w:rsidR="001779E6" w:rsidRDefault="00C00373" w:rsidP="00753AC8">
            <w:pPr>
              <w:jc w:val="center"/>
              <w:rPr>
                <w:rFonts w:ascii="??" w:hAnsi="??" w:cs="宋体" w:hint="eastAsia"/>
                <w:kern w:val="0"/>
                <w:szCs w:val="21"/>
              </w:rPr>
            </w:pPr>
            <w:r>
              <w:rPr>
                <w:rFonts w:ascii="??" w:hAnsi="??" w:cs="宋体" w:hint="eastAsia"/>
                <w:kern w:val="0"/>
                <w:szCs w:val="21"/>
              </w:rPr>
              <w:t>6</w:t>
            </w:r>
          </w:p>
        </w:tc>
      </w:tr>
    </w:tbl>
    <w:p w:rsidR="001420EB" w:rsidRPr="00503051" w:rsidRDefault="001420EB" w:rsidP="00503051">
      <w:pPr>
        <w:pStyle w:val="Default"/>
        <w:spacing w:line="360" w:lineRule="auto"/>
        <w:ind w:firstLineChars="200" w:firstLine="480"/>
        <w:rPr>
          <w:rFonts w:ascii="宋体" w:eastAsia="宋体" w:hAnsi="宋体" w:cs="宋体"/>
          <w:color w:val="auto"/>
        </w:rPr>
      </w:pPr>
      <w:r w:rsidRPr="001D0C33">
        <w:rPr>
          <w:rFonts w:ascii="宋体" w:eastAsia="宋体" w:hAnsi="宋体" w:cs="宋体" w:hint="eastAsia"/>
          <w:color w:val="auto"/>
        </w:rPr>
        <w:t>注：基金资产净值、账面价值为</w:t>
      </w:r>
      <w:fldSimple w:instr=" DOCVARIABLE  THISENDDATE  \* MERGEFORMAT ">
        <w:r w:rsidR="001779E6">
          <w:rPr>
            <w:rFonts w:ascii="宋体" w:eastAsia="宋体" w:hAnsi="宋体" w:cs="宋体"/>
            <w:color w:val="auto"/>
          </w:rPr>
          <w:t>2021年12月20日</w:t>
        </w:r>
      </w:fldSimple>
      <w:r w:rsidRPr="001D0C33">
        <w:rPr>
          <w:rFonts w:ascii="宋体" w:eastAsia="宋体" w:hAnsi="宋体" w:cs="宋体" w:hint="eastAsia"/>
          <w:color w:val="auto"/>
        </w:rPr>
        <w:t>数据</w:t>
      </w:r>
      <w:r w:rsidRPr="00503051">
        <w:rPr>
          <w:rFonts w:ascii="宋体" w:eastAsia="宋体" w:hAnsi="宋体" w:cs="宋体" w:hint="eastAsia"/>
          <w:color w:val="auto"/>
        </w:rPr>
        <w:t>。</w:t>
      </w:r>
    </w:p>
    <w:p w:rsidR="00503051" w:rsidRPr="00503051" w:rsidRDefault="00106014"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投资者可以登陆富国基金管理有限公司网站www.fullgoal.com.cn或拨打富国基金管理有限公司客户服务热线95105686、4008880688（全国统一，均免长途费）进行相关咨询。</w:t>
      </w:r>
    </w:p>
    <w:p w:rsidR="00106014" w:rsidRPr="00503051" w:rsidRDefault="00106014" w:rsidP="00503051">
      <w:pPr>
        <w:pStyle w:val="Default"/>
        <w:spacing w:line="360" w:lineRule="auto"/>
        <w:ind w:firstLineChars="200" w:firstLine="480"/>
        <w:rPr>
          <w:rFonts w:ascii="宋体" w:eastAsia="宋体" w:hAnsi="宋体" w:cs="宋体" w:hint="eastAsia"/>
          <w:color w:val="auto"/>
        </w:rPr>
      </w:pPr>
      <w:r w:rsidRPr="00503051">
        <w:rPr>
          <w:rFonts w:ascii="宋体" w:eastAsia="宋体" w:hAnsi="宋体" w:cs="宋体" w:hint="eastAsia"/>
          <w:color w:val="auto"/>
        </w:rPr>
        <w:t>风险提示：基金管理人承诺以诚实信用、勤勉尽责的原则管理和运用基金资产，但不保证基金一定盈利，也不保证最低收益。投资者投资于</w:t>
      </w:r>
      <w:r w:rsidR="00F1353E" w:rsidRPr="00503051">
        <w:rPr>
          <w:rFonts w:ascii="宋体" w:eastAsia="宋体" w:hAnsi="宋体" w:cs="宋体" w:hint="eastAsia"/>
          <w:color w:val="auto"/>
        </w:rPr>
        <w:t>上述</w:t>
      </w:r>
      <w:r w:rsidRPr="00503051">
        <w:rPr>
          <w:rFonts w:ascii="宋体" w:eastAsia="宋体" w:hAnsi="宋体" w:cs="宋体" w:hint="eastAsia"/>
          <w:color w:val="auto"/>
        </w:rPr>
        <w:t>基金前应认真阅读相关基金的基金合同和招募说明书。</w:t>
      </w:r>
    </w:p>
    <w:p w:rsidR="00503051"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特此公告</w:t>
      </w:r>
      <w:r w:rsidR="00106014" w:rsidRPr="00503051">
        <w:rPr>
          <w:rFonts w:ascii="宋体" w:eastAsia="宋体" w:hAnsi="宋体" w:cs="宋体" w:hint="eastAsia"/>
          <w:color w:val="auto"/>
        </w:rPr>
        <w:t>。</w:t>
      </w:r>
    </w:p>
    <w:p w:rsidR="001420EB" w:rsidRPr="00047BD8" w:rsidRDefault="001420EB" w:rsidP="00503051">
      <w:pPr>
        <w:widowControl/>
        <w:spacing w:before="100" w:beforeAutospacing="1" w:after="375"/>
        <w:ind w:firstLine="420"/>
        <w:jc w:val="right"/>
        <w:rPr>
          <w:rFonts w:ascii="宋体" w:cs="宋体"/>
          <w:kern w:val="0"/>
          <w:sz w:val="24"/>
          <w:szCs w:val="24"/>
        </w:rPr>
      </w:pPr>
      <w:r w:rsidRPr="00047BD8">
        <w:rPr>
          <w:rFonts w:ascii="宋体" w:hAnsi="宋体" w:cs="宋体" w:hint="eastAsia"/>
          <w:kern w:val="0"/>
          <w:sz w:val="24"/>
          <w:szCs w:val="24"/>
        </w:rPr>
        <w:t>富国基金管理有限公司</w:t>
      </w:r>
    </w:p>
    <w:p w:rsidR="003A394A" w:rsidRPr="00B832BF" w:rsidRDefault="001779E6" w:rsidP="00503051">
      <w:pPr>
        <w:widowControl/>
        <w:spacing w:before="100" w:beforeAutospacing="1"/>
        <w:ind w:firstLine="420"/>
        <w:jc w:val="right"/>
        <w:rPr>
          <w:rFonts w:ascii="宋体" w:hAnsi="宋体" w:cs="宋体" w:hint="eastAsia"/>
          <w:color w:val="000000"/>
          <w:kern w:val="0"/>
          <w:sz w:val="24"/>
          <w:szCs w:val="24"/>
        </w:rPr>
      </w:pPr>
      <w:r>
        <w:rPr>
          <w:rFonts w:ascii="宋体" w:hAnsi="宋体" w:cs="宋体"/>
          <w:kern w:val="0"/>
          <w:sz w:val="24"/>
          <w:szCs w:val="24"/>
        </w:rPr>
        <w:t>2021年12月22日</w:t>
      </w:r>
      <w:r w:rsidR="001420EB" w:rsidRPr="00FD1D1E">
        <w:rPr>
          <w:rFonts w:ascii="宋体" w:hAnsi="宋体" w:cs="宋体"/>
          <w:color w:val="000000"/>
          <w:kern w:val="0"/>
          <w:sz w:val="24"/>
          <w:szCs w:val="24"/>
        </w:rPr>
        <w:t xml:space="preserve"> </w:t>
      </w:r>
    </w:p>
    <w:sectPr w:rsidR="003A394A" w:rsidRPr="00B832BF" w:rsidSect="00ED2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02" w:rsidRDefault="00747202" w:rsidP="00CC37A0">
      <w:r>
        <w:separator/>
      </w:r>
    </w:p>
  </w:endnote>
  <w:endnote w:type="continuationSeparator" w:id="0">
    <w:p w:rsidR="00747202" w:rsidRDefault="00747202" w:rsidP="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02" w:rsidRDefault="00747202" w:rsidP="00CC37A0">
      <w:r>
        <w:separator/>
      </w:r>
    </w:p>
  </w:footnote>
  <w:footnote w:type="continuationSeparator" w:id="0">
    <w:p w:rsidR="00747202" w:rsidRDefault="00747202" w:rsidP="00CC3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DURATION" w:val="0001年01月01日至0001年01月01日"/>
    <w:docVar w:name="LASTENDDATE" w:val="0001年01月01日"/>
    <w:docVar w:name="LASTSTARTDATE" w:val="0001年01月01日"/>
    <w:docVar w:name="THISDURATION" w:val="2021年12月20日至2021年12月20日"/>
    <w:docVar w:name="THISENDDATE" w:val="2021年12月20日"/>
    <w:docVar w:name="THISSTARTDATE" w:val="2021年12月20日"/>
  </w:docVars>
  <w:rsids>
    <w:rsidRoot w:val="00AE48C1"/>
    <w:rsid w:val="0000031F"/>
    <w:rsid w:val="000236E9"/>
    <w:rsid w:val="000315D0"/>
    <w:rsid w:val="00032568"/>
    <w:rsid w:val="000330E3"/>
    <w:rsid w:val="0004190E"/>
    <w:rsid w:val="00047BD8"/>
    <w:rsid w:val="00050070"/>
    <w:rsid w:val="0006489F"/>
    <w:rsid w:val="00072C5B"/>
    <w:rsid w:val="0008430E"/>
    <w:rsid w:val="00085976"/>
    <w:rsid w:val="000922AB"/>
    <w:rsid w:val="000A3F32"/>
    <w:rsid w:val="000B5BCE"/>
    <w:rsid w:val="000C2A1C"/>
    <w:rsid w:val="000C6BBA"/>
    <w:rsid w:val="000E31EF"/>
    <w:rsid w:val="000E44F6"/>
    <w:rsid w:val="000E5A74"/>
    <w:rsid w:val="000F23B7"/>
    <w:rsid w:val="000F42FC"/>
    <w:rsid w:val="000F461C"/>
    <w:rsid w:val="00106014"/>
    <w:rsid w:val="00113E78"/>
    <w:rsid w:val="00137D3A"/>
    <w:rsid w:val="001420EB"/>
    <w:rsid w:val="00142BD2"/>
    <w:rsid w:val="00146EB4"/>
    <w:rsid w:val="0015261E"/>
    <w:rsid w:val="0016522E"/>
    <w:rsid w:val="001779E6"/>
    <w:rsid w:val="0018091A"/>
    <w:rsid w:val="0019183C"/>
    <w:rsid w:val="001957B1"/>
    <w:rsid w:val="001D0144"/>
    <w:rsid w:val="001D0C33"/>
    <w:rsid w:val="001E6159"/>
    <w:rsid w:val="001F1148"/>
    <w:rsid w:val="001F3820"/>
    <w:rsid w:val="001F535B"/>
    <w:rsid w:val="002056CB"/>
    <w:rsid w:val="00223164"/>
    <w:rsid w:val="00236FA5"/>
    <w:rsid w:val="00246F48"/>
    <w:rsid w:val="00256601"/>
    <w:rsid w:val="00261FF6"/>
    <w:rsid w:val="00265456"/>
    <w:rsid w:val="002873C6"/>
    <w:rsid w:val="00293706"/>
    <w:rsid w:val="002950F3"/>
    <w:rsid w:val="002954E6"/>
    <w:rsid w:val="002B6658"/>
    <w:rsid w:val="002B7691"/>
    <w:rsid w:val="002C204E"/>
    <w:rsid w:val="002D668E"/>
    <w:rsid w:val="002E69BE"/>
    <w:rsid w:val="002F471D"/>
    <w:rsid w:val="0031062B"/>
    <w:rsid w:val="00311BA8"/>
    <w:rsid w:val="0034411B"/>
    <w:rsid w:val="00377F98"/>
    <w:rsid w:val="003863AF"/>
    <w:rsid w:val="003A394A"/>
    <w:rsid w:val="003A77C2"/>
    <w:rsid w:val="003B241E"/>
    <w:rsid w:val="003B35E9"/>
    <w:rsid w:val="003B480F"/>
    <w:rsid w:val="003B6B3F"/>
    <w:rsid w:val="003C62BE"/>
    <w:rsid w:val="003C6997"/>
    <w:rsid w:val="003D11F4"/>
    <w:rsid w:val="003E3D63"/>
    <w:rsid w:val="003E5026"/>
    <w:rsid w:val="003E7ADF"/>
    <w:rsid w:val="003F3D21"/>
    <w:rsid w:val="003F5BF3"/>
    <w:rsid w:val="003F5CDF"/>
    <w:rsid w:val="004109B4"/>
    <w:rsid w:val="004115C2"/>
    <w:rsid w:val="0041486D"/>
    <w:rsid w:val="00434648"/>
    <w:rsid w:val="004665EF"/>
    <w:rsid w:val="00475029"/>
    <w:rsid w:val="004822DE"/>
    <w:rsid w:val="00484009"/>
    <w:rsid w:val="00496B64"/>
    <w:rsid w:val="004A08E2"/>
    <w:rsid w:val="004A60C7"/>
    <w:rsid w:val="004B04FC"/>
    <w:rsid w:val="004C28CD"/>
    <w:rsid w:val="004E07FB"/>
    <w:rsid w:val="004E4226"/>
    <w:rsid w:val="004E673F"/>
    <w:rsid w:val="004F3F4A"/>
    <w:rsid w:val="004F7DC6"/>
    <w:rsid w:val="005021B7"/>
    <w:rsid w:val="00503051"/>
    <w:rsid w:val="005152A1"/>
    <w:rsid w:val="0052771A"/>
    <w:rsid w:val="00530E04"/>
    <w:rsid w:val="00531E6D"/>
    <w:rsid w:val="005333C9"/>
    <w:rsid w:val="005554E5"/>
    <w:rsid w:val="00564975"/>
    <w:rsid w:val="005929EB"/>
    <w:rsid w:val="00595430"/>
    <w:rsid w:val="005B16F5"/>
    <w:rsid w:val="005C0230"/>
    <w:rsid w:val="005C2DC3"/>
    <w:rsid w:val="006027FA"/>
    <w:rsid w:val="00603C6E"/>
    <w:rsid w:val="0060444E"/>
    <w:rsid w:val="00611390"/>
    <w:rsid w:val="0063433C"/>
    <w:rsid w:val="006371CB"/>
    <w:rsid w:val="006408E8"/>
    <w:rsid w:val="00647F2B"/>
    <w:rsid w:val="0065384E"/>
    <w:rsid w:val="006627C6"/>
    <w:rsid w:val="006755EA"/>
    <w:rsid w:val="006800DC"/>
    <w:rsid w:val="00693A38"/>
    <w:rsid w:val="00696A9B"/>
    <w:rsid w:val="006B5813"/>
    <w:rsid w:val="006C1562"/>
    <w:rsid w:val="006C166E"/>
    <w:rsid w:val="006C4626"/>
    <w:rsid w:val="006C4EE4"/>
    <w:rsid w:val="006E1683"/>
    <w:rsid w:val="006E616E"/>
    <w:rsid w:val="006F75D9"/>
    <w:rsid w:val="007037F2"/>
    <w:rsid w:val="00724134"/>
    <w:rsid w:val="00724F46"/>
    <w:rsid w:val="0073671A"/>
    <w:rsid w:val="00744C6C"/>
    <w:rsid w:val="00746752"/>
    <w:rsid w:val="00747202"/>
    <w:rsid w:val="0075021F"/>
    <w:rsid w:val="00750345"/>
    <w:rsid w:val="00753AC8"/>
    <w:rsid w:val="007570BA"/>
    <w:rsid w:val="00761D5F"/>
    <w:rsid w:val="00764CBF"/>
    <w:rsid w:val="007779D3"/>
    <w:rsid w:val="007A021D"/>
    <w:rsid w:val="007A5AFC"/>
    <w:rsid w:val="007B2A9F"/>
    <w:rsid w:val="007B56D0"/>
    <w:rsid w:val="007B75F2"/>
    <w:rsid w:val="007C5156"/>
    <w:rsid w:val="007C75D9"/>
    <w:rsid w:val="007E1E85"/>
    <w:rsid w:val="007E1EB9"/>
    <w:rsid w:val="007E2073"/>
    <w:rsid w:val="007E30A6"/>
    <w:rsid w:val="007E4203"/>
    <w:rsid w:val="007F395E"/>
    <w:rsid w:val="007F4BAE"/>
    <w:rsid w:val="00805840"/>
    <w:rsid w:val="00810C9D"/>
    <w:rsid w:val="008179EF"/>
    <w:rsid w:val="008215BC"/>
    <w:rsid w:val="00821D5A"/>
    <w:rsid w:val="0082227C"/>
    <w:rsid w:val="00840965"/>
    <w:rsid w:val="0084245A"/>
    <w:rsid w:val="00853C5E"/>
    <w:rsid w:val="0086164B"/>
    <w:rsid w:val="008A037E"/>
    <w:rsid w:val="008A04CA"/>
    <w:rsid w:val="008A3F03"/>
    <w:rsid w:val="008A618C"/>
    <w:rsid w:val="008D4872"/>
    <w:rsid w:val="008F3BF0"/>
    <w:rsid w:val="00901A50"/>
    <w:rsid w:val="009069A4"/>
    <w:rsid w:val="00907BD8"/>
    <w:rsid w:val="009335FF"/>
    <w:rsid w:val="00962915"/>
    <w:rsid w:val="00964D55"/>
    <w:rsid w:val="00966552"/>
    <w:rsid w:val="009668C7"/>
    <w:rsid w:val="00974A44"/>
    <w:rsid w:val="009B1F2C"/>
    <w:rsid w:val="009B482D"/>
    <w:rsid w:val="009C3F12"/>
    <w:rsid w:val="009C530A"/>
    <w:rsid w:val="009E1900"/>
    <w:rsid w:val="009E47FB"/>
    <w:rsid w:val="00A06E1C"/>
    <w:rsid w:val="00A07AC3"/>
    <w:rsid w:val="00A14545"/>
    <w:rsid w:val="00A20FBA"/>
    <w:rsid w:val="00A21698"/>
    <w:rsid w:val="00A23F9F"/>
    <w:rsid w:val="00A24F1D"/>
    <w:rsid w:val="00A26F15"/>
    <w:rsid w:val="00A40848"/>
    <w:rsid w:val="00A40971"/>
    <w:rsid w:val="00A41A4A"/>
    <w:rsid w:val="00A65ABB"/>
    <w:rsid w:val="00A8189F"/>
    <w:rsid w:val="00A81FAD"/>
    <w:rsid w:val="00A9221A"/>
    <w:rsid w:val="00A94551"/>
    <w:rsid w:val="00AA0FD1"/>
    <w:rsid w:val="00AB2340"/>
    <w:rsid w:val="00AB306F"/>
    <w:rsid w:val="00AC3E8D"/>
    <w:rsid w:val="00AC7A1D"/>
    <w:rsid w:val="00AC7F56"/>
    <w:rsid w:val="00AD2A0D"/>
    <w:rsid w:val="00AE30A4"/>
    <w:rsid w:val="00AE48C1"/>
    <w:rsid w:val="00B02503"/>
    <w:rsid w:val="00B13272"/>
    <w:rsid w:val="00B14051"/>
    <w:rsid w:val="00B15910"/>
    <w:rsid w:val="00B26E3A"/>
    <w:rsid w:val="00B42208"/>
    <w:rsid w:val="00B42253"/>
    <w:rsid w:val="00B431C2"/>
    <w:rsid w:val="00B5579B"/>
    <w:rsid w:val="00B607BE"/>
    <w:rsid w:val="00B62473"/>
    <w:rsid w:val="00B644CA"/>
    <w:rsid w:val="00B72BAA"/>
    <w:rsid w:val="00B753F6"/>
    <w:rsid w:val="00B832BF"/>
    <w:rsid w:val="00B85962"/>
    <w:rsid w:val="00B95123"/>
    <w:rsid w:val="00BC6FE8"/>
    <w:rsid w:val="00BD4B84"/>
    <w:rsid w:val="00BE10B2"/>
    <w:rsid w:val="00C00373"/>
    <w:rsid w:val="00C041C7"/>
    <w:rsid w:val="00C122D0"/>
    <w:rsid w:val="00C237D2"/>
    <w:rsid w:val="00C255A4"/>
    <w:rsid w:val="00C332F5"/>
    <w:rsid w:val="00C40659"/>
    <w:rsid w:val="00C42CBA"/>
    <w:rsid w:val="00C444CE"/>
    <w:rsid w:val="00C47340"/>
    <w:rsid w:val="00C551B8"/>
    <w:rsid w:val="00C83D31"/>
    <w:rsid w:val="00C85ED6"/>
    <w:rsid w:val="00C87F17"/>
    <w:rsid w:val="00CA08A1"/>
    <w:rsid w:val="00CC37A0"/>
    <w:rsid w:val="00CD032D"/>
    <w:rsid w:val="00CD782C"/>
    <w:rsid w:val="00CE1881"/>
    <w:rsid w:val="00CE3D83"/>
    <w:rsid w:val="00CE56A2"/>
    <w:rsid w:val="00D10A99"/>
    <w:rsid w:val="00D112B2"/>
    <w:rsid w:val="00D1291A"/>
    <w:rsid w:val="00D26CAC"/>
    <w:rsid w:val="00D41770"/>
    <w:rsid w:val="00D42E5F"/>
    <w:rsid w:val="00D55408"/>
    <w:rsid w:val="00D619BE"/>
    <w:rsid w:val="00D66FD5"/>
    <w:rsid w:val="00D727A4"/>
    <w:rsid w:val="00D74AF2"/>
    <w:rsid w:val="00D803DC"/>
    <w:rsid w:val="00D808C7"/>
    <w:rsid w:val="00D83B89"/>
    <w:rsid w:val="00D85433"/>
    <w:rsid w:val="00D96CA2"/>
    <w:rsid w:val="00DA5013"/>
    <w:rsid w:val="00DC00EB"/>
    <w:rsid w:val="00DC0FA0"/>
    <w:rsid w:val="00DD5C27"/>
    <w:rsid w:val="00DD677F"/>
    <w:rsid w:val="00DD6D6E"/>
    <w:rsid w:val="00DE3FCD"/>
    <w:rsid w:val="00DF25D2"/>
    <w:rsid w:val="00DF7CAA"/>
    <w:rsid w:val="00E00DC5"/>
    <w:rsid w:val="00E01F49"/>
    <w:rsid w:val="00E07149"/>
    <w:rsid w:val="00E130CA"/>
    <w:rsid w:val="00E279D2"/>
    <w:rsid w:val="00E30FF7"/>
    <w:rsid w:val="00E31A27"/>
    <w:rsid w:val="00E31B3E"/>
    <w:rsid w:val="00E458F7"/>
    <w:rsid w:val="00E50C70"/>
    <w:rsid w:val="00E5732A"/>
    <w:rsid w:val="00E57552"/>
    <w:rsid w:val="00E7660F"/>
    <w:rsid w:val="00E8077B"/>
    <w:rsid w:val="00EB165D"/>
    <w:rsid w:val="00EB4B61"/>
    <w:rsid w:val="00EC0541"/>
    <w:rsid w:val="00EC21AA"/>
    <w:rsid w:val="00EC3C3A"/>
    <w:rsid w:val="00EC4627"/>
    <w:rsid w:val="00ED2E2E"/>
    <w:rsid w:val="00ED515D"/>
    <w:rsid w:val="00ED5B31"/>
    <w:rsid w:val="00ED69ED"/>
    <w:rsid w:val="00EE1AF3"/>
    <w:rsid w:val="00EE3160"/>
    <w:rsid w:val="00EF24FC"/>
    <w:rsid w:val="00EF4B5E"/>
    <w:rsid w:val="00EF7D90"/>
    <w:rsid w:val="00F1353E"/>
    <w:rsid w:val="00F13C6A"/>
    <w:rsid w:val="00F40A0C"/>
    <w:rsid w:val="00F45241"/>
    <w:rsid w:val="00F51BD8"/>
    <w:rsid w:val="00F565E7"/>
    <w:rsid w:val="00F605B4"/>
    <w:rsid w:val="00F72B9E"/>
    <w:rsid w:val="00F81885"/>
    <w:rsid w:val="00F85CEE"/>
    <w:rsid w:val="00F862D6"/>
    <w:rsid w:val="00F91D8D"/>
    <w:rsid w:val="00FA7BE4"/>
    <w:rsid w:val="00FB5803"/>
    <w:rsid w:val="00FD0031"/>
    <w:rsid w:val="00FD1D1E"/>
    <w:rsid w:val="00FF3C86"/>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E"/>
    <w:pPr>
      <w:widowControl w:val="0"/>
      <w:jc w:val="both"/>
    </w:pPr>
    <w:rPr>
      <w:kern w:val="2"/>
      <w:sz w:val="21"/>
      <w:szCs w:val="22"/>
    </w:rPr>
  </w:style>
  <w:style w:type="paragraph" w:styleId="1">
    <w:name w:val="heading 1"/>
    <w:basedOn w:val="a"/>
    <w:link w:val="1Char"/>
    <w:uiPriority w:val="99"/>
    <w:qFormat/>
    <w:rsid w:val="00CC37A0"/>
    <w:pPr>
      <w:widowControl/>
      <w:spacing w:before="100" w:beforeAutospacing="1" w:after="100" w:afterAutospacing="1"/>
      <w:jc w:val="left"/>
      <w:outlineLvl w:val="0"/>
    </w:pPr>
    <w:rPr>
      <w:rFonts w:ascii="宋体" w:hAnsi="宋体"/>
      <w:b/>
      <w:bCs/>
      <w:color w:val="000000"/>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C37A0"/>
    <w:rPr>
      <w:rFonts w:ascii="宋体" w:eastAsia="宋体" w:hAnsi="宋体" w:cs="宋体"/>
      <w:b/>
      <w:bCs/>
      <w:color w:val="000000"/>
      <w:kern w:val="36"/>
      <w:sz w:val="48"/>
      <w:szCs w:val="48"/>
    </w:rPr>
  </w:style>
  <w:style w:type="paragraph" w:styleId="a3">
    <w:name w:val="header"/>
    <w:basedOn w:val="a"/>
    <w:link w:val="Char"/>
    <w:uiPriority w:val="99"/>
    <w:semiHidden/>
    <w:rsid w:val="00CC37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7A0"/>
    <w:rPr>
      <w:rFonts w:cs="Times New Roman"/>
      <w:sz w:val="18"/>
      <w:szCs w:val="18"/>
    </w:rPr>
  </w:style>
  <w:style w:type="paragraph" w:styleId="a4">
    <w:name w:val="footer"/>
    <w:basedOn w:val="a"/>
    <w:link w:val="Char0"/>
    <w:uiPriority w:val="99"/>
    <w:semiHidden/>
    <w:rsid w:val="00CC37A0"/>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7A0"/>
    <w:rPr>
      <w:rFonts w:cs="Times New Roman"/>
      <w:sz w:val="18"/>
      <w:szCs w:val="18"/>
    </w:rPr>
  </w:style>
  <w:style w:type="character" w:styleId="a5">
    <w:name w:val="Hyperlink"/>
    <w:uiPriority w:val="99"/>
    <w:semiHidden/>
    <w:rsid w:val="00CC37A0"/>
    <w:rPr>
      <w:rFonts w:cs="Times New Roman"/>
      <w:color w:val="000000"/>
      <w:u w:val="none"/>
      <w:effect w:val="none"/>
    </w:rPr>
  </w:style>
  <w:style w:type="character" w:customStyle="1" w:styleId="agreen">
    <w:name w:val="agreen"/>
    <w:uiPriority w:val="99"/>
    <w:rsid w:val="00CC37A0"/>
    <w:rPr>
      <w:rFonts w:cs="Times New Roman"/>
    </w:rPr>
  </w:style>
  <w:style w:type="table" w:styleId="a6">
    <w:name w:val="Table Grid"/>
    <w:basedOn w:val="a1"/>
    <w:uiPriority w:val="99"/>
    <w:rsid w:val="00CC3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uiPriority w:val="99"/>
    <w:qFormat/>
    <w:rsid w:val="00F40A0C"/>
    <w:rPr>
      <w:rFonts w:cs="Times New Roman"/>
      <w:color w:val="CC0033"/>
    </w:rPr>
  </w:style>
  <w:style w:type="paragraph" w:styleId="a8">
    <w:name w:val="Balloon Text"/>
    <w:basedOn w:val="a"/>
    <w:link w:val="Char1"/>
    <w:uiPriority w:val="99"/>
    <w:semiHidden/>
    <w:unhideWhenUsed/>
    <w:rsid w:val="00AB2340"/>
    <w:rPr>
      <w:sz w:val="18"/>
      <w:szCs w:val="18"/>
      <w:lang/>
    </w:rPr>
  </w:style>
  <w:style w:type="character" w:customStyle="1" w:styleId="Char1">
    <w:name w:val="批注框文本 Char"/>
    <w:link w:val="a8"/>
    <w:uiPriority w:val="99"/>
    <w:semiHidden/>
    <w:rsid w:val="00AB2340"/>
    <w:rPr>
      <w:kern w:val="2"/>
      <w:sz w:val="18"/>
      <w:szCs w:val="18"/>
    </w:rPr>
  </w:style>
  <w:style w:type="character" w:styleId="a9">
    <w:name w:val="annotation reference"/>
    <w:uiPriority w:val="99"/>
    <w:semiHidden/>
    <w:unhideWhenUsed/>
    <w:rsid w:val="00AB2340"/>
    <w:rPr>
      <w:sz w:val="21"/>
      <w:szCs w:val="21"/>
    </w:rPr>
  </w:style>
  <w:style w:type="paragraph" w:styleId="aa">
    <w:name w:val="annotation text"/>
    <w:basedOn w:val="a"/>
    <w:link w:val="Char2"/>
    <w:uiPriority w:val="99"/>
    <w:semiHidden/>
    <w:unhideWhenUsed/>
    <w:rsid w:val="00AB2340"/>
    <w:pPr>
      <w:jc w:val="left"/>
    </w:pPr>
    <w:rPr>
      <w:lang/>
    </w:rPr>
  </w:style>
  <w:style w:type="character" w:customStyle="1" w:styleId="Char2">
    <w:name w:val="批注文字 Char"/>
    <w:link w:val="aa"/>
    <w:uiPriority w:val="99"/>
    <w:semiHidden/>
    <w:rsid w:val="00AB2340"/>
    <w:rPr>
      <w:kern w:val="2"/>
      <w:sz w:val="21"/>
      <w:szCs w:val="22"/>
    </w:rPr>
  </w:style>
  <w:style w:type="paragraph" w:styleId="ab">
    <w:name w:val="annotation subject"/>
    <w:basedOn w:val="aa"/>
    <w:next w:val="aa"/>
    <w:link w:val="Char3"/>
    <w:uiPriority w:val="99"/>
    <w:semiHidden/>
    <w:unhideWhenUsed/>
    <w:rsid w:val="00AB2340"/>
    <w:rPr>
      <w:b/>
      <w:bCs/>
    </w:rPr>
  </w:style>
  <w:style w:type="character" w:customStyle="1" w:styleId="Char3">
    <w:name w:val="批注主题 Char"/>
    <w:link w:val="ab"/>
    <w:uiPriority w:val="99"/>
    <w:semiHidden/>
    <w:rsid w:val="00AB2340"/>
    <w:rPr>
      <w:b/>
      <w:bCs/>
      <w:kern w:val="2"/>
      <w:sz w:val="21"/>
      <w:szCs w:val="22"/>
    </w:rPr>
  </w:style>
  <w:style w:type="paragraph" w:customStyle="1" w:styleId="Default">
    <w:name w:val="Default"/>
    <w:rsid w:val="00611390"/>
    <w:pPr>
      <w:widowControl w:val="0"/>
      <w:autoSpaceDE w:val="0"/>
      <w:autoSpaceDN w:val="0"/>
      <w:adjustRightInd w:val="0"/>
    </w:pPr>
    <w:rPr>
      <w:rFonts w:ascii="华文中宋" w:eastAsia="华文中宋" w:cs="华文中宋"/>
      <w:color w:val="000000"/>
      <w:sz w:val="24"/>
      <w:szCs w:val="24"/>
    </w:rPr>
  </w:style>
  <w:style w:type="paragraph" w:styleId="HTML">
    <w:name w:val="HTML Preformatted"/>
    <w:basedOn w:val="a"/>
    <w:link w:val="HTMLChar"/>
    <w:uiPriority w:val="99"/>
    <w:unhideWhenUsed/>
    <w:rsid w:val="00CE1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CE188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273551">
      <w:bodyDiv w:val="1"/>
      <w:marLeft w:val="0"/>
      <w:marRight w:val="0"/>
      <w:marTop w:val="0"/>
      <w:marBottom w:val="0"/>
      <w:divBdr>
        <w:top w:val="none" w:sz="0" w:space="0" w:color="auto"/>
        <w:left w:val="none" w:sz="0" w:space="0" w:color="auto"/>
        <w:bottom w:val="none" w:sz="0" w:space="0" w:color="auto"/>
        <w:right w:val="none" w:sz="0" w:space="0" w:color="auto"/>
      </w:divBdr>
    </w:div>
    <w:div w:id="70978291">
      <w:bodyDiv w:val="1"/>
      <w:marLeft w:val="0"/>
      <w:marRight w:val="0"/>
      <w:marTop w:val="0"/>
      <w:marBottom w:val="0"/>
      <w:divBdr>
        <w:top w:val="none" w:sz="0" w:space="0" w:color="auto"/>
        <w:left w:val="none" w:sz="0" w:space="0" w:color="auto"/>
        <w:bottom w:val="none" w:sz="0" w:space="0" w:color="auto"/>
        <w:right w:val="none" w:sz="0" w:space="0" w:color="auto"/>
      </w:divBdr>
    </w:div>
    <w:div w:id="106169610">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202595031">
      <w:bodyDiv w:val="1"/>
      <w:marLeft w:val="0"/>
      <w:marRight w:val="0"/>
      <w:marTop w:val="0"/>
      <w:marBottom w:val="0"/>
      <w:divBdr>
        <w:top w:val="none" w:sz="0" w:space="0" w:color="auto"/>
        <w:left w:val="none" w:sz="0" w:space="0" w:color="auto"/>
        <w:bottom w:val="none" w:sz="0" w:space="0" w:color="auto"/>
        <w:right w:val="none" w:sz="0" w:space="0" w:color="auto"/>
      </w:divBdr>
    </w:div>
    <w:div w:id="296616066">
      <w:bodyDiv w:val="1"/>
      <w:marLeft w:val="0"/>
      <w:marRight w:val="0"/>
      <w:marTop w:val="0"/>
      <w:marBottom w:val="0"/>
      <w:divBdr>
        <w:top w:val="none" w:sz="0" w:space="0" w:color="auto"/>
        <w:left w:val="none" w:sz="0" w:space="0" w:color="auto"/>
        <w:bottom w:val="none" w:sz="0" w:space="0" w:color="auto"/>
        <w:right w:val="none" w:sz="0" w:space="0" w:color="auto"/>
      </w:divBdr>
    </w:div>
    <w:div w:id="367267274">
      <w:bodyDiv w:val="1"/>
      <w:marLeft w:val="0"/>
      <w:marRight w:val="0"/>
      <w:marTop w:val="0"/>
      <w:marBottom w:val="0"/>
      <w:divBdr>
        <w:top w:val="none" w:sz="0" w:space="0" w:color="auto"/>
        <w:left w:val="none" w:sz="0" w:space="0" w:color="auto"/>
        <w:bottom w:val="none" w:sz="0" w:space="0" w:color="auto"/>
        <w:right w:val="none" w:sz="0" w:space="0" w:color="auto"/>
      </w:divBdr>
    </w:div>
    <w:div w:id="384765180">
      <w:bodyDiv w:val="1"/>
      <w:marLeft w:val="0"/>
      <w:marRight w:val="0"/>
      <w:marTop w:val="0"/>
      <w:marBottom w:val="0"/>
      <w:divBdr>
        <w:top w:val="none" w:sz="0" w:space="0" w:color="auto"/>
        <w:left w:val="none" w:sz="0" w:space="0" w:color="auto"/>
        <w:bottom w:val="none" w:sz="0" w:space="0" w:color="auto"/>
        <w:right w:val="none" w:sz="0" w:space="0" w:color="auto"/>
      </w:divBdr>
    </w:div>
    <w:div w:id="388774683">
      <w:bodyDiv w:val="1"/>
      <w:marLeft w:val="0"/>
      <w:marRight w:val="0"/>
      <w:marTop w:val="0"/>
      <w:marBottom w:val="0"/>
      <w:divBdr>
        <w:top w:val="none" w:sz="0" w:space="0" w:color="auto"/>
        <w:left w:val="none" w:sz="0" w:space="0" w:color="auto"/>
        <w:bottom w:val="none" w:sz="0" w:space="0" w:color="auto"/>
        <w:right w:val="none" w:sz="0" w:space="0" w:color="auto"/>
      </w:divBdr>
    </w:div>
    <w:div w:id="399251580">
      <w:bodyDiv w:val="1"/>
      <w:marLeft w:val="0"/>
      <w:marRight w:val="0"/>
      <w:marTop w:val="0"/>
      <w:marBottom w:val="0"/>
      <w:divBdr>
        <w:top w:val="none" w:sz="0" w:space="0" w:color="auto"/>
        <w:left w:val="none" w:sz="0" w:space="0" w:color="auto"/>
        <w:bottom w:val="none" w:sz="0" w:space="0" w:color="auto"/>
        <w:right w:val="none" w:sz="0" w:space="0" w:color="auto"/>
      </w:divBdr>
    </w:div>
    <w:div w:id="452602782">
      <w:bodyDiv w:val="1"/>
      <w:marLeft w:val="0"/>
      <w:marRight w:val="0"/>
      <w:marTop w:val="0"/>
      <w:marBottom w:val="0"/>
      <w:divBdr>
        <w:top w:val="none" w:sz="0" w:space="0" w:color="auto"/>
        <w:left w:val="none" w:sz="0" w:space="0" w:color="auto"/>
        <w:bottom w:val="none" w:sz="0" w:space="0" w:color="auto"/>
        <w:right w:val="none" w:sz="0" w:space="0" w:color="auto"/>
      </w:divBdr>
    </w:div>
    <w:div w:id="453912247">
      <w:bodyDiv w:val="1"/>
      <w:marLeft w:val="0"/>
      <w:marRight w:val="0"/>
      <w:marTop w:val="0"/>
      <w:marBottom w:val="0"/>
      <w:divBdr>
        <w:top w:val="none" w:sz="0" w:space="0" w:color="auto"/>
        <w:left w:val="none" w:sz="0" w:space="0" w:color="auto"/>
        <w:bottom w:val="none" w:sz="0" w:space="0" w:color="auto"/>
        <w:right w:val="none" w:sz="0" w:space="0" w:color="auto"/>
      </w:divBdr>
    </w:div>
    <w:div w:id="460224933">
      <w:bodyDiv w:val="1"/>
      <w:marLeft w:val="0"/>
      <w:marRight w:val="0"/>
      <w:marTop w:val="0"/>
      <w:marBottom w:val="0"/>
      <w:divBdr>
        <w:top w:val="none" w:sz="0" w:space="0" w:color="auto"/>
        <w:left w:val="none" w:sz="0" w:space="0" w:color="auto"/>
        <w:bottom w:val="none" w:sz="0" w:space="0" w:color="auto"/>
        <w:right w:val="none" w:sz="0" w:space="0" w:color="auto"/>
      </w:divBdr>
    </w:div>
    <w:div w:id="541556003">
      <w:bodyDiv w:val="1"/>
      <w:marLeft w:val="0"/>
      <w:marRight w:val="0"/>
      <w:marTop w:val="0"/>
      <w:marBottom w:val="0"/>
      <w:divBdr>
        <w:top w:val="none" w:sz="0" w:space="0" w:color="auto"/>
        <w:left w:val="none" w:sz="0" w:space="0" w:color="auto"/>
        <w:bottom w:val="none" w:sz="0" w:space="0" w:color="auto"/>
        <w:right w:val="none" w:sz="0" w:space="0" w:color="auto"/>
      </w:divBdr>
    </w:div>
    <w:div w:id="558593944">
      <w:bodyDiv w:val="1"/>
      <w:marLeft w:val="0"/>
      <w:marRight w:val="0"/>
      <w:marTop w:val="0"/>
      <w:marBottom w:val="0"/>
      <w:divBdr>
        <w:top w:val="none" w:sz="0" w:space="0" w:color="auto"/>
        <w:left w:val="none" w:sz="0" w:space="0" w:color="auto"/>
        <w:bottom w:val="none" w:sz="0" w:space="0" w:color="auto"/>
        <w:right w:val="none" w:sz="0" w:space="0" w:color="auto"/>
      </w:divBdr>
    </w:div>
    <w:div w:id="571426398">
      <w:bodyDiv w:val="1"/>
      <w:marLeft w:val="0"/>
      <w:marRight w:val="0"/>
      <w:marTop w:val="0"/>
      <w:marBottom w:val="0"/>
      <w:divBdr>
        <w:top w:val="none" w:sz="0" w:space="0" w:color="auto"/>
        <w:left w:val="none" w:sz="0" w:space="0" w:color="auto"/>
        <w:bottom w:val="none" w:sz="0" w:space="0" w:color="auto"/>
        <w:right w:val="none" w:sz="0" w:space="0" w:color="auto"/>
      </w:divBdr>
    </w:div>
    <w:div w:id="626543312">
      <w:bodyDiv w:val="1"/>
      <w:marLeft w:val="0"/>
      <w:marRight w:val="0"/>
      <w:marTop w:val="0"/>
      <w:marBottom w:val="0"/>
      <w:divBdr>
        <w:top w:val="none" w:sz="0" w:space="0" w:color="auto"/>
        <w:left w:val="none" w:sz="0" w:space="0" w:color="auto"/>
        <w:bottom w:val="none" w:sz="0" w:space="0" w:color="auto"/>
        <w:right w:val="none" w:sz="0" w:space="0" w:color="auto"/>
      </w:divBdr>
    </w:div>
    <w:div w:id="681124295">
      <w:bodyDiv w:val="1"/>
      <w:marLeft w:val="0"/>
      <w:marRight w:val="0"/>
      <w:marTop w:val="0"/>
      <w:marBottom w:val="0"/>
      <w:divBdr>
        <w:top w:val="none" w:sz="0" w:space="0" w:color="auto"/>
        <w:left w:val="none" w:sz="0" w:space="0" w:color="auto"/>
        <w:bottom w:val="none" w:sz="0" w:space="0" w:color="auto"/>
        <w:right w:val="none" w:sz="0" w:space="0" w:color="auto"/>
      </w:divBdr>
    </w:div>
    <w:div w:id="736323842">
      <w:bodyDiv w:val="1"/>
      <w:marLeft w:val="0"/>
      <w:marRight w:val="0"/>
      <w:marTop w:val="0"/>
      <w:marBottom w:val="0"/>
      <w:divBdr>
        <w:top w:val="none" w:sz="0" w:space="0" w:color="auto"/>
        <w:left w:val="none" w:sz="0" w:space="0" w:color="auto"/>
        <w:bottom w:val="none" w:sz="0" w:space="0" w:color="auto"/>
        <w:right w:val="none" w:sz="0" w:space="0" w:color="auto"/>
      </w:divBdr>
    </w:div>
    <w:div w:id="791948588">
      <w:bodyDiv w:val="1"/>
      <w:marLeft w:val="0"/>
      <w:marRight w:val="0"/>
      <w:marTop w:val="0"/>
      <w:marBottom w:val="0"/>
      <w:divBdr>
        <w:top w:val="none" w:sz="0" w:space="0" w:color="auto"/>
        <w:left w:val="none" w:sz="0" w:space="0" w:color="auto"/>
        <w:bottom w:val="none" w:sz="0" w:space="0" w:color="auto"/>
        <w:right w:val="none" w:sz="0" w:space="0" w:color="auto"/>
      </w:divBdr>
    </w:div>
    <w:div w:id="794258356">
      <w:bodyDiv w:val="1"/>
      <w:marLeft w:val="0"/>
      <w:marRight w:val="0"/>
      <w:marTop w:val="0"/>
      <w:marBottom w:val="0"/>
      <w:divBdr>
        <w:top w:val="none" w:sz="0" w:space="0" w:color="auto"/>
        <w:left w:val="none" w:sz="0" w:space="0" w:color="auto"/>
        <w:bottom w:val="none" w:sz="0" w:space="0" w:color="auto"/>
        <w:right w:val="none" w:sz="0" w:space="0" w:color="auto"/>
      </w:divBdr>
    </w:div>
    <w:div w:id="833758532">
      <w:bodyDiv w:val="1"/>
      <w:marLeft w:val="0"/>
      <w:marRight w:val="0"/>
      <w:marTop w:val="0"/>
      <w:marBottom w:val="0"/>
      <w:divBdr>
        <w:top w:val="none" w:sz="0" w:space="0" w:color="auto"/>
        <w:left w:val="none" w:sz="0" w:space="0" w:color="auto"/>
        <w:bottom w:val="none" w:sz="0" w:space="0" w:color="auto"/>
        <w:right w:val="none" w:sz="0" w:space="0" w:color="auto"/>
      </w:divBdr>
    </w:div>
    <w:div w:id="864633446">
      <w:bodyDiv w:val="1"/>
      <w:marLeft w:val="0"/>
      <w:marRight w:val="0"/>
      <w:marTop w:val="0"/>
      <w:marBottom w:val="0"/>
      <w:divBdr>
        <w:top w:val="none" w:sz="0" w:space="0" w:color="auto"/>
        <w:left w:val="none" w:sz="0" w:space="0" w:color="auto"/>
        <w:bottom w:val="none" w:sz="0" w:space="0" w:color="auto"/>
        <w:right w:val="none" w:sz="0" w:space="0" w:color="auto"/>
      </w:divBdr>
    </w:div>
    <w:div w:id="909847428">
      <w:bodyDiv w:val="1"/>
      <w:marLeft w:val="0"/>
      <w:marRight w:val="0"/>
      <w:marTop w:val="0"/>
      <w:marBottom w:val="0"/>
      <w:divBdr>
        <w:top w:val="none" w:sz="0" w:space="0" w:color="auto"/>
        <w:left w:val="none" w:sz="0" w:space="0" w:color="auto"/>
        <w:bottom w:val="none" w:sz="0" w:space="0" w:color="auto"/>
        <w:right w:val="none" w:sz="0" w:space="0" w:color="auto"/>
      </w:divBdr>
    </w:div>
    <w:div w:id="1089237465">
      <w:bodyDiv w:val="1"/>
      <w:marLeft w:val="0"/>
      <w:marRight w:val="0"/>
      <w:marTop w:val="0"/>
      <w:marBottom w:val="0"/>
      <w:divBdr>
        <w:top w:val="none" w:sz="0" w:space="0" w:color="auto"/>
        <w:left w:val="none" w:sz="0" w:space="0" w:color="auto"/>
        <w:bottom w:val="none" w:sz="0" w:space="0" w:color="auto"/>
        <w:right w:val="none" w:sz="0" w:space="0" w:color="auto"/>
      </w:divBdr>
    </w:div>
    <w:div w:id="1121190229">
      <w:bodyDiv w:val="1"/>
      <w:marLeft w:val="0"/>
      <w:marRight w:val="0"/>
      <w:marTop w:val="0"/>
      <w:marBottom w:val="0"/>
      <w:divBdr>
        <w:top w:val="none" w:sz="0" w:space="0" w:color="auto"/>
        <w:left w:val="none" w:sz="0" w:space="0" w:color="auto"/>
        <w:bottom w:val="none" w:sz="0" w:space="0" w:color="auto"/>
        <w:right w:val="none" w:sz="0" w:space="0" w:color="auto"/>
      </w:divBdr>
    </w:div>
    <w:div w:id="1130249194">
      <w:bodyDiv w:val="1"/>
      <w:marLeft w:val="0"/>
      <w:marRight w:val="0"/>
      <w:marTop w:val="0"/>
      <w:marBottom w:val="0"/>
      <w:divBdr>
        <w:top w:val="none" w:sz="0" w:space="0" w:color="auto"/>
        <w:left w:val="none" w:sz="0" w:space="0" w:color="auto"/>
        <w:bottom w:val="none" w:sz="0" w:space="0" w:color="auto"/>
        <w:right w:val="none" w:sz="0" w:space="0" w:color="auto"/>
      </w:divBdr>
    </w:div>
    <w:div w:id="1139879019">
      <w:bodyDiv w:val="1"/>
      <w:marLeft w:val="0"/>
      <w:marRight w:val="0"/>
      <w:marTop w:val="0"/>
      <w:marBottom w:val="0"/>
      <w:divBdr>
        <w:top w:val="none" w:sz="0" w:space="0" w:color="auto"/>
        <w:left w:val="none" w:sz="0" w:space="0" w:color="auto"/>
        <w:bottom w:val="none" w:sz="0" w:space="0" w:color="auto"/>
        <w:right w:val="none" w:sz="0" w:space="0" w:color="auto"/>
      </w:divBdr>
    </w:div>
    <w:div w:id="1190218756">
      <w:bodyDiv w:val="1"/>
      <w:marLeft w:val="0"/>
      <w:marRight w:val="0"/>
      <w:marTop w:val="0"/>
      <w:marBottom w:val="0"/>
      <w:divBdr>
        <w:top w:val="none" w:sz="0" w:space="0" w:color="auto"/>
        <w:left w:val="none" w:sz="0" w:space="0" w:color="auto"/>
        <w:bottom w:val="none" w:sz="0" w:space="0" w:color="auto"/>
        <w:right w:val="none" w:sz="0" w:space="0" w:color="auto"/>
      </w:divBdr>
    </w:div>
    <w:div w:id="1229803428">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255015494">
      <w:bodyDiv w:val="1"/>
      <w:marLeft w:val="0"/>
      <w:marRight w:val="0"/>
      <w:marTop w:val="0"/>
      <w:marBottom w:val="0"/>
      <w:divBdr>
        <w:top w:val="none" w:sz="0" w:space="0" w:color="auto"/>
        <w:left w:val="none" w:sz="0" w:space="0" w:color="auto"/>
        <w:bottom w:val="none" w:sz="0" w:space="0" w:color="auto"/>
        <w:right w:val="none" w:sz="0" w:space="0" w:color="auto"/>
      </w:divBdr>
    </w:div>
    <w:div w:id="1258757287">
      <w:bodyDiv w:val="1"/>
      <w:marLeft w:val="0"/>
      <w:marRight w:val="0"/>
      <w:marTop w:val="0"/>
      <w:marBottom w:val="0"/>
      <w:divBdr>
        <w:top w:val="none" w:sz="0" w:space="0" w:color="auto"/>
        <w:left w:val="none" w:sz="0" w:space="0" w:color="auto"/>
        <w:bottom w:val="none" w:sz="0" w:space="0" w:color="auto"/>
        <w:right w:val="none" w:sz="0" w:space="0" w:color="auto"/>
      </w:divBdr>
    </w:div>
    <w:div w:id="1270508590">
      <w:bodyDiv w:val="1"/>
      <w:marLeft w:val="0"/>
      <w:marRight w:val="0"/>
      <w:marTop w:val="0"/>
      <w:marBottom w:val="0"/>
      <w:divBdr>
        <w:top w:val="none" w:sz="0" w:space="0" w:color="auto"/>
        <w:left w:val="none" w:sz="0" w:space="0" w:color="auto"/>
        <w:bottom w:val="none" w:sz="0" w:space="0" w:color="auto"/>
        <w:right w:val="none" w:sz="0" w:space="0" w:color="auto"/>
      </w:divBdr>
    </w:div>
    <w:div w:id="1293707347">
      <w:bodyDiv w:val="1"/>
      <w:marLeft w:val="0"/>
      <w:marRight w:val="0"/>
      <w:marTop w:val="0"/>
      <w:marBottom w:val="0"/>
      <w:divBdr>
        <w:top w:val="none" w:sz="0" w:space="0" w:color="auto"/>
        <w:left w:val="none" w:sz="0" w:space="0" w:color="auto"/>
        <w:bottom w:val="none" w:sz="0" w:space="0" w:color="auto"/>
        <w:right w:val="none" w:sz="0" w:space="0" w:color="auto"/>
      </w:divBdr>
    </w:div>
    <w:div w:id="1325279456">
      <w:bodyDiv w:val="1"/>
      <w:marLeft w:val="0"/>
      <w:marRight w:val="0"/>
      <w:marTop w:val="0"/>
      <w:marBottom w:val="0"/>
      <w:divBdr>
        <w:top w:val="none" w:sz="0" w:space="0" w:color="auto"/>
        <w:left w:val="none" w:sz="0" w:space="0" w:color="auto"/>
        <w:bottom w:val="none" w:sz="0" w:space="0" w:color="auto"/>
        <w:right w:val="none" w:sz="0" w:space="0" w:color="auto"/>
      </w:divBdr>
    </w:div>
    <w:div w:id="1425833665">
      <w:bodyDiv w:val="1"/>
      <w:marLeft w:val="0"/>
      <w:marRight w:val="0"/>
      <w:marTop w:val="0"/>
      <w:marBottom w:val="0"/>
      <w:divBdr>
        <w:top w:val="none" w:sz="0" w:space="0" w:color="auto"/>
        <w:left w:val="none" w:sz="0" w:space="0" w:color="auto"/>
        <w:bottom w:val="none" w:sz="0" w:space="0" w:color="auto"/>
        <w:right w:val="none" w:sz="0" w:space="0" w:color="auto"/>
      </w:divBdr>
    </w:div>
    <w:div w:id="1481728655">
      <w:bodyDiv w:val="1"/>
      <w:marLeft w:val="0"/>
      <w:marRight w:val="0"/>
      <w:marTop w:val="0"/>
      <w:marBottom w:val="0"/>
      <w:divBdr>
        <w:top w:val="none" w:sz="0" w:space="0" w:color="auto"/>
        <w:left w:val="none" w:sz="0" w:space="0" w:color="auto"/>
        <w:bottom w:val="none" w:sz="0" w:space="0" w:color="auto"/>
        <w:right w:val="none" w:sz="0" w:space="0" w:color="auto"/>
      </w:divBdr>
    </w:div>
    <w:div w:id="1552114796">
      <w:bodyDiv w:val="1"/>
      <w:marLeft w:val="0"/>
      <w:marRight w:val="0"/>
      <w:marTop w:val="0"/>
      <w:marBottom w:val="0"/>
      <w:divBdr>
        <w:top w:val="none" w:sz="0" w:space="0" w:color="auto"/>
        <w:left w:val="none" w:sz="0" w:space="0" w:color="auto"/>
        <w:bottom w:val="none" w:sz="0" w:space="0" w:color="auto"/>
        <w:right w:val="none" w:sz="0" w:space="0" w:color="auto"/>
      </w:divBdr>
    </w:div>
    <w:div w:id="1554002134">
      <w:bodyDiv w:val="1"/>
      <w:marLeft w:val="0"/>
      <w:marRight w:val="0"/>
      <w:marTop w:val="0"/>
      <w:marBottom w:val="0"/>
      <w:divBdr>
        <w:top w:val="none" w:sz="0" w:space="0" w:color="auto"/>
        <w:left w:val="none" w:sz="0" w:space="0" w:color="auto"/>
        <w:bottom w:val="none" w:sz="0" w:space="0" w:color="auto"/>
        <w:right w:val="none" w:sz="0" w:space="0" w:color="auto"/>
      </w:divBdr>
    </w:div>
    <w:div w:id="1561209212">
      <w:bodyDiv w:val="1"/>
      <w:marLeft w:val="0"/>
      <w:marRight w:val="0"/>
      <w:marTop w:val="0"/>
      <w:marBottom w:val="0"/>
      <w:divBdr>
        <w:top w:val="none" w:sz="0" w:space="0" w:color="auto"/>
        <w:left w:val="none" w:sz="0" w:space="0" w:color="auto"/>
        <w:bottom w:val="none" w:sz="0" w:space="0" w:color="auto"/>
        <w:right w:val="none" w:sz="0" w:space="0" w:color="auto"/>
      </w:divBdr>
    </w:div>
    <w:div w:id="1630745061">
      <w:bodyDiv w:val="1"/>
      <w:marLeft w:val="0"/>
      <w:marRight w:val="0"/>
      <w:marTop w:val="0"/>
      <w:marBottom w:val="0"/>
      <w:divBdr>
        <w:top w:val="none" w:sz="0" w:space="0" w:color="auto"/>
        <w:left w:val="none" w:sz="0" w:space="0" w:color="auto"/>
        <w:bottom w:val="none" w:sz="0" w:space="0" w:color="auto"/>
        <w:right w:val="none" w:sz="0" w:space="0" w:color="auto"/>
      </w:divBdr>
    </w:div>
    <w:div w:id="1652901583">
      <w:marLeft w:val="0"/>
      <w:marRight w:val="0"/>
      <w:marTop w:val="0"/>
      <w:marBottom w:val="0"/>
      <w:divBdr>
        <w:top w:val="none" w:sz="0" w:space="0" w:color="auto"/>
        <w:left w:val="none" w:sz="0" w:space="0" w:color="auto"/>
        <w:bottom w:val="none" w:sz="0" w:space="0" w:color="auto"/>
        <w:right w:val="none" w:sz="0" w:space="0" w:color="auto"/>
      </w:divBdr>
      <w:divsChild>
        <w:div w:id="1652901581">
          <w:marLeft w:val="0"/>
          <w:marRight w:val="0"/>
          <w:marTop w:val="0"/>
          <w:marBottom w:val="0"/>
          <w:divBdr>
            <w:top w:val="none" w:sz="0" w:space="0" w:color="auto"/>
            <w:left w:val="none" w:sz="0" w:space="0" w:color="auto"/>
            <w:bottom w:val="none" w:sz="0" w:space="0" w:color="auto"/>
            <w:right w:val="none" w:sz="0" w:space="0" w:color="auto"/>
          </w:divBdr>
          <w:divsChild>
            <w:div w:id="1652901585">
              <w:marLeft w:val="0"/>
              <w:marRight w:val="120"/>
              <w:marTop w:val="0"/>
              <w:marBottom w:val="0"/>
              <w:divBdr>
                <w:top w:val="none" w:sz="0" w:space="0" w:color="auto"/>
                <w:left w:val="none" w:sz="0" w:space="0" w:color="auto"/>
                <w:bottom w:val="none" w:sz="0" w:space="0" w:color="auto"/>
                <w:right w:val="none" w:sz="0" w:space="0" w:color="auto"/>
              </w:divBdr>
              <w:divsChild>
                <w:div w:id="1652901582">
                  <w:marLeft w:val="0"/>
                  <w:marRight w:val="0"/>
                  <w:marTop w:val="0"/>
                  <w:marBottom w:val="0"/>
                  <w:divBdr>
                    <w:top w:val="none" w:sz="0" w:space="0" w:color="auto"/>
                    <w:left w:val="none" w:sz="0" w:space="0" w:color="auto"/>
                    <w:bottom w:val="none" w:sz="0" w:space="0" w:color="auto"/>
                    <w:right w:val="none" w:sz="0" w:space="0" w:color="auto"/>
                  </w:divBdr>
                  <w:divsChild>
                    <w:div w:id="1652901584">
                      <w:marLeft w:val="0"/>
                      <w:marRight w:val="0"/>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 w:id="1676684293">
      <w:bodyDiv w:val="1"/>
      <w:marLeft w:val="0"/>
      <w:marRight w:val="0"/>
      <w:marTop w:val="0"/>
      <w:marBottom w:val="0"/>
      <w:divBdr>
        <w:top w:val="none" w:sz="0" w:space="0" w:color="auto"/>
        <w:left w:val="none" w:sz="0" w:space="0" w:color="auto"/>
        <w:bottom w:val="none" w:sz="0" w:space="0" w:color="auto"/>
        <w:right w:val="none" w:sz="0" w:space="0" w:color="auto"/>
      </w:divBdr>
    </w:div>
    <w:div w:id="1772310512">
      <w:bodyDiv w:val="1"/>
      <w:marLeft w:val="0"/>
      <w:marRight w:val="0"/>
      <w:marTop w:val="0"/>
      <w:marBottom w:val="0"/>
      <w:divBdr>
        <w:top w:val="none" w:sz="0" w:space="0" w:color="auto"/>
        <w:left w:val="none" w:sz="0" w:space="0" w:color="auto"/>
        <w:bottom w:val="none" w:sz="0" w:space="0" w:color="auto"/>
        <w:right w:val="none" w:sz="0" w:space="0" w:color="auto"/>
      </w:divBdr>
    </w:div>
    <w:div w:id="1784691489">
      <w:bodyDiv w:val="1"/>
      <w:marLeft w:val="0"/>
      <w:marRight w:val="0"/>
      <w:marTop w:val="0"/>
      <w:marBottom w:val="0"/>
      <w:divBdr>
        <w:top w:val="none" w:sz="0" w:space="0" w:color="auto"/>
        <w:left w:val="none" w:sz="0" w:space="0" w:color="auto"/>
        <w:bottom w:val="none" w:sz="0" w:space="0" w:color="auto"/>
        <w:right w:val="none" w:sz="0" w:space="0" w:color="auto"/>
      </w:divBdr>
    </w:div>
    <w:div w:id="1936857780">
      <w:bodyDiv w:val="1"/>
      <w:marLeft w:val="0"/>
      <w:marRight w:val="0"/>
      <w:marTop w:val="0"/>
      <w:marBottom w:val="0"/>
      <w:divBdr>
        <w:top w:val="none" w:sz="0" w:space="0" w:color="auto"/>
        <w:left w:val="none" w:sz="0" w:space="0" w:color="auto"/>
        <w:bottom w:val="none" w:sz="0" w:space="0" w:color="auto"/>
        <w:right w:val="none" w:sz="0" w:space="0" w:color="auto"/>
      </w:divBdr>
    </w:div>
    <w:div w:id="2022396393">
      <w:bodyDiv w:val="1"/>
      <w:marLeft w:val="0"/>
      <w:marRight w:val="0"/>
      <w:marTop w:val="0"/>
      <w:marBottom w:val="0"/>
      <w:divBdr>
        <w:top w:val="none" w:sz="0" w:space="0" w:color="auto"/>
        <w:left w:val="none" w:sz="0" w:space="0" w:color="auto"/>
        <w:bottom w:val="none" w:sz="0" w:space="0" w:color="auto"/>
        <w:right w:val="none" w:sz="0" w:space="0" w:color="auto"/>
      </w:divBdr>
    </w:div>
    <w:div w:id="2056544033">
      <w:bodyDiv w:val="1"/>
      <w:marLeft w:val="0"/>
      <w:marRight w:val="0"/>
      <w:marTop w:val="0"/>
      <w:marBottom w:val="0"/>
      <w:divBdr>
        <w:top w:val="none" w:sz="0" w:space="0" w:color="auto"/>
        <w:left w:val="none" w:sz="0" w:space="0" w:color="auto"/>
        <w:bottom w:val="none" w:sz="0" w:space="0" w:color="auto"/>
        <w:right w:val="none" w:sz="0" w:space="0" w:color="auto"/>
      </w:divBdr>
    </w:div>
    <w:div w:id="20658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5237;&#36164;&#38750;&#20844;&#24320;&#21457;&#34892;&#35777;&#21048;&#20844;&#21578;)_LS0000_&#20844;&#21215;&#20020;&#26102;&#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EC06A-F387-48B6-B902-076FC445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共同基金_临时公告(投资非公开发行证券公告)_LS0000_公募临时公告.dot</Template>
  <TotalTime>0</TotalTime>
  <Pages>2</Pages>
  <Words>310</Words>
  <Characters>1773</Characters>
  <Application>Microsoft Office Word</Application>
  <DocSecurity>4</DocSecurity>
  <Lines>14</Lines>
  <Paragraphs>4</Paragraphs>
  <ScaleCrop>false</ScaleCrop>
  <Company>fullgoal</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富国基金管理有限公司投资非公开发行证券公告(公募临时公告)</dc:title>
  <dc:subject>815340</dc:subject>
  <dc:creator>柯春枝</dc:creator>
  <cp:keywords/>
  <cp:lastModifiedBy>ZHONGM</cp:lastModifiedBy>
  <cp:revision>2</cp:revision>
  <cp:lastPrinted>2010-07-02T11:05:00Z</cp:lastPrinted>
  <dcterms:created xsi:type="dcterms:W3CDTF">2021-12-21T16:05:00Z</dcterms:created>
  <dcterms:modified xsi:type="dcterms:W3CDTF">2021-12-21T16:05:00Z</dcterms:modified>
</cp:coreProperties>
</file>