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0002_a2_fm1"/>
      <w:bookmarkStart w:id="1" w:name="t_3_0_table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关于中海蓝筹灵活配置混合型证券投资基金暂停大额申购</w:t>
      </w:r>
      <w:r>
        <w:rPr>
          <w:rFonts w:ascii="宋体" w:hAnsi="宋体"/>
          <w:b/>
          <w:sz w:val="48"/>
          <w:szCs w:val="48"/>
        </w:rPr>
        <w:t>(</w:t>
      </w:r>
      <w:r>
        <w:rPr>
          <w:rFonts w:ascii="宋体" w:hAnsi="宋体"/>
          <w:b/>
          <w:sz w:val="48"/>
          <w:szCs w:val="48"/>
        </w:rPr>
        <w:t>含定期定额投资</w:t>
      </w:r>
      <w:r>
        <w:rPr>
          <w:rFonts w:ascii="宋体" w:hAnsi="宋体"/>
          <w:b/>
          <w:sz w:val="48"/>
          <w:szCs w:val="48"/>
        </w:rPr>
        <w:t>)</w:t>
      </w:r>
      <w:r>
        <w:rPr>
          <w:rFonts w:ascii="宋体" w:hAnsi="宋体"/>
          <w:b/>
          <w:sz w:val="48"/>
          <w:szCs w:val="48"/>
        </w:rPr>
        <w:t>业务公告</w:t>
      </w:r>
    </w:p>
    <w:p w:rsidR="00000000" w:rsidRDefault="009C5DCA">
      <w:pPr>
        <w:jc w:val="center"/>
        <w:rPr>
          <w:rFonts w:ascii="宋体" w:hAnsi="宋体" w:hint="eastAsia"/>
          <w:sz w:val="30"/>
          <w:szCs w:val="30"/>
        </w:rPr>
      </w:pPr>
    </w:p>
    <w:p w:rsidR="00000000" w:rsidRDefault="009C5DCA">
      <w:pPr>
        <w:jc w:val="center"/>
        <w:rPr>
          <w:rFonts w:ascii="宋体" w:hAnsi="宋体" w:hint="eastAsia"/>
          <w:sz w:val="30"/>
          <w:szCs w:val="30"/>
        </w:rPr>
      </w:pPr>
    </w:p>
    <w:p w:rsidR="00000000" w:rsidRDefault="009C5DCA">
      <w:pPr>
        <w:jc w:val="center"/>
        <w:rPr>
          <w:rFonts w:ascii="宋体" w:hAnsi="宋体" w:hint="eastAsia"/>
          <w:sz w:val="30"/>
          <w:szCs w:val="30"/>
        </w:rPr>
      </w:pPr>
    </w:p>
    <w:p w:rsidR="00000000" w:rsidRDefault="009C5DCA">
      <w:pPr>
        <w:jc w:val="center"/>
        <w:rPr>
          <w:rFonts w:ascii="宋体" w:hAnsi="宋体" w:hint="eastAsia"/>
          <w:sz w:val="30"/>
          <w:szCs w:val="30"/>
        </w:rPr>
      </w:pPr>
    </w:p>
    <w:p w:rsidR="00000000" w:rsidRDefault="009C5DCA">
      <w:pPr>
        <w:jc w:val="center"/>
        <w:rPr>
          <w:rFonts w:ascii="宋体" w:hAnsi="宋体" w:hint="eastAsia"/>
          <w:sz w:val="30"/>
          <w:szCs w:val="30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>
        <w:rPr>
          <w:rFonts w:ascii="宋体" w:hAnsi="宋体"/>
          <w:b/>
          <w:sz w:val="28"/>
          <w:szCs w:val="28"/>
        </w:rPr>
        <w:t>2021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12</w:t>
      </w:r>
      <w:r>
        <w:rPr>
          <w:rFonts w:ascii="宋体" w:hAnsi="宋体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21</w:t>
      </w:r>
      <w:r>
        <w:rPr>
          <w:rFonts w:ascii="宋体" w:hAnsi="宋体"/>
          <w:b/>
          <w:sz w:val="28"/>
          <w:szCs w:val="28"/>
        </w:rPr>
        <w:t>日</w:t>
      </w: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rPr>
          <w:rFonts w:hint="eastAsia"/>
          <w:sz w:val="24"/>
        </w:rPr>
      </w:pPr>
    </w:p>
    <w:p w:rsidR="00000000" w:rsidRDefault="009C5DCA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3_1_1_table"/>
      <w:bookmarkStart w:id="4" w:name="m01"/>
      <w:bookmarkEnd w:id="3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3780"/>
      </w:tblGrid>
      <w:tr w:rsidR="00000000">
        <w:tc>
          <w:tcPr>
            <w:tcW w:w="5040" w:type="dxa"/>
            <w:gridSpan w:val="2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8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中海蓝筹灵活配置混合型证券投资基金</w:t>
            </w:r>
          </w:p>
        </w:tc>
      </w:tr>
      <w:tr w:rsidR="00000000">
        <w:tc>
          <w:tcPr>
            <w:tcW w:w="5040" w:type="dxa"/>
            <w:gridSpan w:val="2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8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中海蓝筹混合</w:t>
            </w:r>
          </w:p>
        </w:tc>
      </w:tr>
      <w:tr w:rsidR="00000000">
        <w:tc>
          <w:tcPr>
            <w:tcW w:w="5040" w:type="dxa"/>
            <w:gridSpan w:val="2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8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398031</w:t>
            </w:r>
          </w:p>
        </w:tc>
      </w:tr>
      <w:tr w:rsidR="00000000">
        <w:tc>
          <w:tcPr>
            <w:tcW w:w="5040" w:type="dxa"/>
            <w:gridSpan w:val="2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8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中海基金管理有限公司</w:t>
            </w:r>
          </w:p>
        </w:tc>
      </w:tr>
      <w:tr w:rsidR="00000000">
        <w:tc>
          <w:tcPr>
            <w:tcW w:w="5040" w:type="dxa"/>
            <w:gridSpan w:val="2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8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《中海蓝筹灵活配置混合型证券投资基金基金合同》和《中海蓝筹灵活配置混合型证券投资基金招募说明书》</w:t>
            </w:r>
          </w:p>
        </w:tc>
      </w:tr>
      <w:tr w:rsidR="00000000">
        <w:tc>
          <w:tcPr>
            <w:tcW w:w="1980" w:type="dxa"/>
            <w:vMerge w:val="restart"/>
            <w:vAlign w:val="center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06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78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000000">
        <w:tc>
          <w:tcPr>
            <w:tcW w:w="1980" w:type="dxa"/>
            <w:vMerge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378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000000">
        <w:tc>
          <w:tcPr>
            <w:tcW w:w="1980" w:type="dxa"/>
            <w:vMerge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3780" w:type="dxa"/>
          </w:tcPr>
          <w:p w:rsidR="00000000" w:rsidRDefault="009C5DCA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10,000,000</w:t>
            </w:r>
            <w:r>
              <w:rPr>
                <w:rFonts w:ascii="宋体" w:hAnsi="宋体"/>
                <w:szCs w:val="21"/>
              </w:rPr>
              <w:t>.00</w:t>
            </w:r>
          </w:p>
        </w:tc>
      </w:tr>
      <w:tr w:rsidR="00000000">
        <w:tc>
          <w:tcPr>
            <w:tcW w:w="1980" w:type="dxa"/>
            <w:vMerge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限制定期定额投资金额（单位：人民币元）</w:t>
            </w:r>
          </w:p>
        </w:tc>
        <w:tc>
          <w:tcPr>
            <w:tcW w:w="3780" w:type="dxa"/>
          </w:tcPr>
          <w:p w:rsidR="00000000" w:rsidRDefault="009C5DC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10,000,000</w:t>
            </w:r>
            <w:r>
              <w:rPr>
                <w:rFonts w:ascii="宋体" w:hAnsi="宋体"/>
                <w:szCs w:val="21"/>
              </w:rPr>
              <w:t>.00</w:t>
            </w:r>
          </w:p>
        </w:tc>
      </w:tr>
      <w:tr w:rsidR="00000000">
        <w:tc>
          <w:tcPr>
            <w:tcW w:w="1980" w:type="dxa"/>
            <w:vMerge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暂停大额申购（定期定额投资）的原因说明</w:t>
            </w:r>
          </w:p>
        </w:tc>
        <w:tc>
          <w:tcPr>
            <w:tcW w:w="3780" w:type="dxa"/>
          </w:tcPr>
          <w:p w:rsidR="00000000" w:rsidRDefault="009C5D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维护现有基金份额持有人的利益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保证基金的平稳运行</w:t>
            </w:r>
          </w:p>
        </w:tc>
        <w:bookmarkStart w:id="11" w:name="t_3_2_table"/>
      </w:tr>
    </w:tbl>
    <w:bookmarkEnd w:id="4"/>
    <w:bookmarkEnd w:id="5"/>
    <w:bookmarkEnd w:id="11"/>
    <w:p w:rsidR="00000000" w:rsidRDefault="009C5DCA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2" w:name="t_3_2_2646_a1_fm1"/>
      <w:bookmarkEnd w:id="12"/>
      <w:r>
        <w:rPr>
          <w:rFonts w:ascii="宋体" w:hAnsi="宋体"/>
          <w:szCs w:val="21"/>
        </w:rPr>
        <w:t xml:space="preserve">(1) </w:t>
      </w:r>
      <w:r>
        <w:rPr>
          <w:rFonts w:ascii="宋体" w:hAnsi="宋体"/>
          <w:szCs w:val="21"/>
        </w:rPr>
        <w:t>投资者于</w:t>
      </w:r>
      <w:r>
        <w:rPr>
          <w:rFonts w:ascii="宋体" w:hAnsi="宋体"/>
          <w:szCs w:val="21"/>
        </w:rPr>
        <w:t>2021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12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21</w:t>
      </w:r>
      <w:r>
        <w:rPr>
          <w:rFonts w:ascii="宋体" w:hAnsi="宋体"/>
          <w:szCs w:val="21"/>
        </w:rPr>
        <w:t>日</w:t>
      </w:r>
      <w:r>
        <w:rPr>
          <w:rFonts w:ascii="宋体" w:hAnsi="宋体"/>
          <w:szCs w:val="21"/>
        </w:rPr>
        <w:t>15:00</w:t>
      </w:r>
      <w:r>
        <w:rPr>
          <w:rFonts w:ascii="宋体" w:hAnsi="宋体"/>
          <w:szCs w:val="21"/>
        </w:rPr>
        <w:t>后在本基金管理人网上交易系统办理本基金申购</w:t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>含转换转入及定期定额投资</w:t>
      </w:r>
      <w:r>
        <w:rPr>
          <w:rFonts w:ascii="宋体" w:hAnsi="宋体"/>
          <w:szCs w:val="21"/>
        </w:rPr>
        <w:t>)</w:t>
      </w:r>
      <w:r>
        <w:rPr>
          <w:rFonts w:ascii="宋体" w:hAnsi="宋体"/>
          <w:szCs w:val="21"/>
        </w:rPr>
        <w:t>业务</w:t>
      </w:r>
      <w:r>
        <w:rPr>
          <w:rFonts w:ascii="宋体" w:hAnsi="宋体"/>
          <w:szCs w:val="21"/>
        </w:rPr>
        <w:t>,</w:t>
      </w:r>
      <w:r>
        <w:rPr>
          <w:rFonts w:ascii="宋体" w:hAnsi="宋体"/>
          <w:szCs w:val="21"/>
        </w:rPr>
        <w:t>本基金管理人有权予以拒绝；</w:t>
      </w: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(2) </w:t>
      </w:r>
      <w:r>
        <w:rPr>
          <w:rFonts w:ascii="宋体" w:hAnsi="宋体"/>
          <w:szCs w:val="21"/>
        </w:rPr>
        <w:t>本基金自</w:t>
      </w:r>
      <w:r>
        <w:rPr>
          <w:rFonts w:ascii="宋体" w:hAnsi="宋体"/>
          <w:szCs w:val="21"/>
        </w:rPr>
        <w:t>2021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日（含该日）起恢复办理</w:t>
      </w:r>
      <w:r>
        <w:rPr>
          <w:rFonts w:ascii="宋体" w:hAnsi="宋体" w:hint="eastAsia"/>
          <w:szCs w:val="21"/>
        </w:rPr>
        <w:t>大额</w:t>
      </w:r>
      <w:r>
        <w:rPr>
          <w:rFonts w:ascii="宋体" w:hAnsi="宋体"/>
          <w:szCs w:val="21"/>
        </w:rPr>
        <w:t>申购（含定期定额投资）业务，届时将不再另行公告；</w:t>
      </w: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(3) </w:t>
      </w:r>
      <w:r>
        <w:rPr>
          <w:rFonts w:ascii="宋体" w:hAnsi="宋体"/>
          <w:szCs w:val="21"/>
        </w:rPr>
        <w:t>投资者可以通过以下途径咨询有关事项：</w:t>
      </w: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①中海基金管理有限公司</w:t>
      </w: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/>
          <w:szCs w:val="21"/>
        </w:rPr>
        <w:t>400-888-9788(</w:t>
      </w:r>
      <w:r>
        <w:rPr>
          <w:rFonts w:ascii="宋体" w:hAnsi="宋体"/>
          <w:szCs w:val="21"/>
        </w:rPr>
        <w:t>免长途费</w:t>
      </w:r>
      <w:r>
        <w:rPr>
          <w:rFonts w:ascii="宋体" w:hAnsi="宋体"/>
          <w:szCs w:val="21"/>
        </w:rPr>
        <w:t>)</w:t>
      </w:r>
      <w:r>
        <w:rPr>
          <w:rFonts w:ascii="宋体" w:hAnsi="宋体"/>
          <w:szCs w:val="21"/>
        </w:rPr>
        <w:t>或</w:t>
      </w:r>
      <w:r>
        <w:rPr>
          <w:rFonts w:ascii="宋体" w:hAnsi="宋体"/>
          <w:szCs w:val="21"/>
        </w:rPr>
        <w:t>021-38789788</w:t>
      </w: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r>
        <w:rPr>
          <w:rFonts w:ascii="宋体" w:hAnsi="宋体"/>
          <w:szCs w:val="21"/>
        </w:rPr>
        <w:t>www.zhfund.com</w:t>
      </w:r>
    </w:p>
    <w:p w:rsidR="00000000" w:rsidRDefault="009C5DCA">
      <w:pPr>
        <w:spacing w:line="360" w:lineRule="auto"/>
        <w:ind w:firstLineChars="200" w:firstLine="420"/>
        <w:jc w:val="left"/>
        <w:rPr>
          <w:rFonts w:ascii="Arial" w:hAnsi="宋体" w:cs="Arial" w:hint="eastAsia"/>
          <w:kern w:val="0"/>
          <w:szCs w:val="21"/>
        </w:rPr>
      </w:pPr>
      <w:r>
        <w:rPr>
          <w:rFonts w:ascii="宋体" w:hAnsi="宋体" w:hint="eastAsia"/>
          <w:szCs w:val="21"/>
        </w:rPr>
        <w:t>②代销机构：</w:t>
      </w:r>
      <w:r>
        <w:rPr>
          <w:rFonts w:ascii="Arial" w:hAnsi="宋体" w:cs="Arial" w:hint="eastAsia"/>
          <w:kern w:val="0"/>
          <w:szCs w:val="21"/>
        </w:rPr>
        <w:t>中国工商银行股份有限公司</w:t>
      </w:r>
      <w:r>
        <w:rPr>
          <w:rFonts w:ascii="Arial" w:hAnsi="宋体" w:cs="Arial" w:hint="eastAsia"/>
          <w:kern w:val="0"/>
          <w:szCs w:val="21"/>
        </w:rPr>
        <w:t>、中国农业银行股份有限公司、中国银行股份有限公司、中国建设银行股份有限公司、交通银行股份有限公司、招商银行股份有限公司、中信银行股份有限公司、中国民生银行股份有限公司、平安银行股份有限公司、上海浦东发展银行股</w:t>
      </w:r>
      <w:r>
        <w:rPr>
          <w:rFonts w:ascii="Arial" w:hAnsi="宋体" w:cs="Arial" w:hint="eastAsia"/>
          <w:kern w:val="0"/>
          <w:szCs w:val="21"/>
        </w:rPr>
        <w:t>份有限公司、温州银行股份有限公司、华夏银行股份有限公司、上海农村商业银行股份有限公司、宁波银行股份有限公司、国联证券股份有限公司、中国银河证券股份有限公司、长江证券股份有限公司、海通证券股份有限公司、中信建投证券股份有限公司、申万宏源证券有限公司、湘财证券</w:t>
      </w:r>
      <w:r>
        <w:rPr>
          <w:rFonts w:ascii="Arial" w:hAnsi="宋体" w:cs="Arial" w:hint="eastAsia"/>
          <w:kern w:val="0"/>
          <w:szCs w:val="21"/>
        </w:rPr>
        <w:lastRenderedPageBreak/>
        <w:t>股份有限公司、兴业证券股份有限公司、东吴证券股份有限公司、西南证券股份有限公司、国泰君安证券股份有限公司、广发证券股份有限公司、金元证券股份有限公司、招商证券股份有限公司、东海证券股份有限公司、中银国际证券有限责任公司、平安证券股份有限公司、安信证券股份有</w:t>
      </w:r>
      <w:r>
        <w:rPr>
          <w:rFonts w:ascii="Arial" w:hAnsi="宋体" w:cs="Arial" w:hint="eastAsia"/>
          <w:kern w:val="0"/>
          <w:szCs w:val="21"/>
        </w:rPr>
        <w:t>限公司、光大证券股份有限公司、东方证券股份有限公司、华龙证券股份有限公司、华泰证券股份有限公司、国信证券股份有限公司、中泰证券股份有限公司、第一创业证券股份有限公司、万联证券股份有限公司、中国中金财富证券有限公司、申万宏源西部证券有限公司、国元证券股份有限公司、渤海证券股份有限公司、国金证券股份有限公司、信达证券股份有限公司、方正证券股份有限公司、中信证券股份有限公司、东北证券股份有限公司、华福证券有限责任公司、东兴证券股份有限公司、华宝证券有限责任公司、长城国瑞证券有限公司、天相投资顾问有限公司、中信证券</w:t>
      </w:r>
      <w:r>
        <w:rPr>
          <w:rFonts w:ascii="Arial" w:hAnsi="宋体" w:cs="Arial" w:hint="eastAsia"/>
          <w:kern w:val="0"/>
          <w:szCs w:val="21"/>
        </w:rPr>
        <w:t>（山东）有限责任公司、华鑫证券有限责任公司、中信期货有限公司、华西证券股份有限公司、中国国际金融股份有限公司、粤开证券股份有限公司、深圳前海凯恩斯基金销售有限公司、上海证券有限责任公司、东莞证券股份有限公司、中信证券华南股份有限公司、江苏银行股份有限公司、中国人寿保险股份有限公司、蚂蚁（杭州）基金销售有限公司、深圳众禄基金销售股份有限公司、上海长量基金销售有限公司、诺亚正行基金销售有限公司、和讯信息科技有限公司、上海天天基金销售有限公司、浦领基金销售有限公司、上海好买基金销售有限公司、上海利得基金销售有限公</w:t>
      </w:r>
      <w:r>
        <w:rPr>
          <w:rFonts w:ascii="Arial" w:hAnsi="宋体" w:cs="Arial" w:hint="eastAsia"/>
          <w:kern w:val="0"/>
          <w:szCs w:val="21"/>
        </w:rPr>
        <w:t>司、北京增财基金销售有限公司、北京恒天明泽基金销售有限公司、深圳市新兰德证券投资咨询有限公司、浙江同花顺基金销售有限公司、中期资产管理有限公司、上海汇付基金销售有限公司、上海陆金所基金销售有限公司、北京虹点基金销售有限公司、上海凯石财富基金销售有限公司、珠海盈米基金销售有限公司、奕丰基金销售有限公司、安粮期货股份有限公司、上海联泰基金销售有限公司、北京钱景基金销售有限公司、北京展恒基金销售股份有限公司、深圳市金斧子基金销售有限公司、北京广源达信基金销售有限公司、上海中正达广基金销售有限公司、乾道盈泰基金销售</w:t>
      </w:r>
      <w:r>
        <w:rPr>
          <w:rFonts w:ascii="Arial" w:hAnsi="宋体" w:cs="Arial" w:hint="eastAsia"/>
          <w:kern w:val="0"/>
          <w:szCs w:val="21"/>
        </w:rPr>
        <w:t>（北京）有限公司、上海基煜基金销售有限公司、北京懒猫金融信息服务有限公司、一路财富（北京）信息科技有限公司、南京苏宁基金销售有限公司、北京蛋卷基金销售有限公司、上海景谷基金销售有限公司、北京汇成基金销售有限公司、厦门市鑫鼎盛控股有限公司、北京新浪仓石基金销售有限公司、天津国美基金销售有限公司、上海华信证券有限责任公司、凤凰金信（银川）基金销售有限公司、上海云湾基金销售有限公司、南京途牛基金销售有限公司、上海万得基金销售有限公司、杭州科地瑞富基金销售有限公司、北京植信基金销售有限公司、北京肯特瑞基金销售有限公</w:t>
      </w:r>
      <w:r>
        <w:rPr>
          <w:rFonts w:ascii="Arial" w:hAnsi="宋体" w:cs="Arial" w:hint="eastAsia"/>
          <w:kern w:val="0"/>
          <w:szCs w:val="21"/>
        </w:rPr>
        <w:t>司、上海朝阳永续基金销售有限公司、中证金牛（北京）投资咨询有限公司、上海华夏财富投资管理有限公司、武汉市伯嘉基金销售有限公司、和耕传承基金销售有限公司、徽商期货有限责任公司、北京微动利基金销售有限公司、上海挖财基金销售有限公司、上海大智慧基金销售有限公司、北京加和基金销售有限公司、北京晟视天下基金销售有限公司、北京格上富信基金销售有限公司、北京电盈基金销售有限公司、万家财富基金销售（天津）有限公司、深圳前海财厚基金销售有限公司、东方财富证券股份有限公司、北京百度百盈基金销售有限公司、泛华普益基金销售有限公司</w:t>
      </w:r>
      <w:r>
        <w:rPr>
          <w:rFonts w:ascii="Arial" w:hAnsi="宋体" w:cs="Arial" w:hint="eastAsia"/>
          <w:kern w:val="0"/>
          <w:szCs w:val="21"/>
        </w:rPr>
        <w:t>、腾安基金销售（深圳）有限公司、民商基金销售</w:t>
      </w:r>
      <w:r>
        <w:rPr>
          <w:rFonts w:ascii="Arial" w:hAnsi="宋体" w:cs="Arial" w:hint="eastAsia"/>
          <w:kern w:val="0"/>
          <w:szCs w:val="21"/>
        </w:rPr>
        <w:t>(</w:t>
      </w:r>
      <w:r>
        <w:rPr>
          <w:rFonts w:ascii="Arial" w:hAnsi="宋体" w:cs="Arial" w:hint="eastAsia"/>
          <w:kern w:val="0"/>
          <w:szCs w:val="21"/>
        </w:rPr>
        <w:t>上海</w:t>
      </w:r>
      <w:r>
        <w:rPr>
          <w:rFonts w:ascii="Arial" w:hAnsi="宋体" w:cs="Arial" w:hint="eastAsia"/>
          <w:kern w:val="0"/>
          <w:szCs w:val="21"/>
        </w:rPr>
        <w:t>)</w:t>
      </w:r>
      <w:r>
        <w:rPr>
          <w:rFonts w:ascii="Arial" w:hAnsi="宋体" w:cs="Arial" w:hint="eastAsia"/>
          <w:kern w:val="0"/>
          <w:szCs w:val="21"/>
        </w:rPr>
        <w:t>有限公司、江苏汇林保大基金销售有限公司。</w:t>
      </w: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00000" w:rsidRDefault="009C5D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00000" w:rsidRDefault="009C5DCA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中海基金管理有限公司</w:t>
      </w:r>
    </w:p>
    <w:p w:rsidR="00000000" w:rsidRDefault="009C5DCA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2021</w:t>
      </w:r>
      <w:r>
        <w:rPr>
          <w:rFonts w:ascii="宋体" w:hAnsi="宋体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12</w:t>
      </w:r>
      <w:r>
        <w:rPr>
          <w:rFonts w:ascii="宋体" w:hAnsi="宋体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21</w:t>
      </w:r>
      <w:r>
        <w:rPr>
          <w:rFonts w:ascii="宋体" w:hAnsi="宋体"/>
          <w:sz w:val="24"/>
          <w:szCs w:val="30"/>
        </w:rPr>
        <w:t>日</w:t>
      </w:r>
    </w:p>
    <w:sectPr w:rsidR="00000000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C5DCA">
      <w:r>
        <w:separator/>
      </w:r>
    </w:p>
  </w:endnote>
  <w:endnote w:type="continuationSeparator" w:id="0">
    <w:p w:rsidR="00000000" w:rsidRDefault="009C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5DCA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Pr="009C5DCA">
      <w:rPr>
        <w:noProof/>
        <w:lang w:val="en-US" w:eastAsia="zh-CN"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Pr="009C5DCA">
        <w:rPr>
          <w:noProof/>
          <w:lang w:val="en-US" w:eastAsia="zh-CN"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C5DCA">
      <w:r>
        <w:separator/>
      </w:r>
    </w:p>
  </w:footnote>
  <w:footnote w:type="continuationSeparator" w:id="0">
    <w:p w:rsidR="00000000" w:rsidRDefault="009C5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5DCA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31C5"/>
    <w:multiLevelType w:val="multilevel"/>
    <w:tmpl w:val="7FB231C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3717F3"/>
    <w:rsid w:val="00421E09"/>
    <w:rsid w:val="005F25CF"/>
    <w:rsid w:val="00756931"/>
    <w:rsid w:val="009054A4"/>
    <w:rsid w:val="00916F3B"/>
    <w:rsid w:val="009C5DCA"/>
    <w:rsid w:val="009E0D0B"/>
    <w:rsid w:val="00B451DA"/>
    <w:rsid w:val="00CC5F3D"/>
    <w:rsid w:val="00E30606"/>
    <w:rsid w:val="00EE1E37"/>
    <w:rsid w:val="017D129D"/>
    <w:rsid w:val="08F11D35"/>
    <w:rsid w:val="0A370921"/>
    <w:rsid w:val="12025AE2"/>
    <w:rsid w:val="29160E5B"/>
    <w:rsid w:val="296B0D36"/>
    <w:rsid w:val="411D0843"/>
    <w:rsid w:val="4D005D91"/>
    <w:rsid w:val="535034CC"/>
    <w:rsid w:val="59AB785E"/>
    <w:rsid w:val="5B4323A4"/>
    <w:rsid w:val="617E038B"/>
    <w:rsid w:val="65687DC5"/>
    <w:rsid w:val="673B29AE"/>
    <w:rsid w:val="67531DA0"/>
    <w:rsid w:val="687E780A"/>
    <w:rsid w:val="6C980AC2"/>
    <w:rsid w:val="75EF0CCE"/>
    <w:rsid w:val="7B1B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20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paragraph" w:customStyle="1" w:styleId="Char2">
    <w:name w:val=" Char"/>
    <w:basedOn w:val="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4</DocSecurity>
  <PresentationFormat/>
  <Lines>17</Lines>
  <Paragraphs>4</Paragraphs>
  <Slides>0</Slides>
  <Notes>0</Notes>
  <HiddenSlides>0</HiddenSlides>
  <MMClips>0</MMClips>
  <ScaleCrop>false</ScaleCrop>
  <Manager/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张器</dc:creator>
  <cp:keywords/>
  <dc:description/>
  <cp:lastModifiedBy>ZHONGM</cp:lastModifiedBy>
  <cp:revision>2</cp:revision>
  <dcterms:created xsi:type="dcterms:W3CDTF">2021-12-20T16:02:00Z</dcterms:created>
  <dcterms:modified xsi:type="dcterms:W3CDTF">2021-12-20T16:02:00Z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3055074AEDF7445E8EB25AECBC179C13</vt:lpwstr>
  </property>
</Properties>
</file>