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2071">
      <w:pPr>
        <w:spacing w:line="400" w:lineRule="exact"/>
        <w:jc w:val="center"/>
        <w:rPr>
          <w:rStyle w:val="da"/>
          <w:rFonts w:ascii="宋体" w:hAnsi="宋体" w:cs="宋体" w:hint="eastAsia"/>
          <w:b/>
          <w:bCs/>
        </w:rPr>
      </w:pPr>
      <w:r>
        <w:rPr>
          <w:rStyle w:val="da"/>
          <w:rFonts w:ascii="宋体" w:hAnsi="宋体" w:cs="宋体" w:hint="eastAsia"/>
          <w:b/>
          <w:bCs/>
        </w:rPr>
        <w:t>东吴基金管理有限公司关于旗下</w:t>
      </w:r>
      <w:r>
        <w:rPr>
          <w:rStyle w:val="da"/>
          <w:rFonts w:ascii="宋体" w:hAnsi="宋体" w:cs="宋体" w:hint="eastAsia"/>
          <w:b/>
          <w:bCs/>
        </w:rPr>
        <w:t>部分</w:t>
      </w:r>
      <w:r>
        <w:rPr>
          <w:rStyle w:val="da"/>
          <w:rFonts w:ascii="宋体" w:hAnsi="宋体" w:cs="宋体" w:hint="eastAsia"/>
          <w:b/>
          <w:bCs/>
        </w:rPr>
        <w:t>基金新增</w:t>
      </w:r>
      <w:r>
        <w:rPr>
          <w:rStyle w:val="da"/>
          <w:rFonts w:ascii="宋体" w:hAnsi="宋体" w:cs="宋体" w:hint="eastAsia"/>
          <w:b/>
          <w:bCs/>
        </w:rPr>
        <w:t>泰信财富基金销售</w:t>
      </w:r>
      <w:r>
        <w:rPr>
          <w:rStyle w:val="da"/>
          <w:rFonts w:ascii="宋体" w:hAnsi="宋体" w:cs="宋体" w:hint="eastAsia"/>
          <w:b/>
          <w:bCs/>
        </w:rPr>
        <w:t>有限公司为代销机构</w:t>
      </w:r>
      <w:r>
        <w:rPr>
          <w:rStyle w:val="da"/>
          <w:rFonts w:ascii="宋体" w:hAnsi="宋体" w:cs="宋体" w:hint="eastAsia"/>
          <w:b/>
          <w:bCs/>
        </w:rPr>
        <w:t>、开通</w:t>
      </w:r>
      <w:r>
        <w:rPr>
          <w:rStyle w:val="da"/>
          <w:rFonts w:ascii="宋体" w:hAnsi="宋体" w:cs="宋体" w:hint="eastAsia"/>
          <w:b/>
          <w:bCs/>
        </w:rPr>
        <w:t>定期定额及转换业务</w:t>
      </w:r>
      <w:r>
        <w:rPr>
          <w:rStyle w:val="da"/>
          <w:rFonts w:ascii="宋体" w:hAnsi="宋体" w:cs="宋体" w:hint="eastAsia"/>
          <w:b/>
          <w:bCs/>
        </w:rPr>
        <w:t>并参加费率优惠</w:t>
      </w:r>
      <w:r>
        <w:rPr>
          <w:rStyle w:val="da"/>
          <w:rFonts w:ascii="宋体" w:hAnsi="宋体" w:cs="宋体" w:hint="eastAsia"/>
          <w:b/>
          <w:bCs/>
        </w:rPr>
        <w:t>的公告</w:t>
      </w:r>
    </w:p>
    <w:p w:rsidR="00000000" w:rsidRDefault="00572071">
      <w:pPr>
        <w:spacing w:line="400" w:lineRule="exact"/>
        <w:jc w:val="center"/>
        <w:rPr>
          <w:rStyle w:val="da"/>
          <w:rFonts w:ascii="宋体" w:hAnsi="宋体" w:hint="eastAsia"/>
          <w:b/>
          <w:bCs/>
        </w:rPr>
      </w:pPr>
    </w:p>
    <w:p w:rsidR="00000000" w:rsidRDefault="00572071">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w:t>
      </w:r>
      <w:r>
        <w:rPr>
          <w:rFonts w:ascii="宋体" w:hAnsi="宋体" w:cs="宋体" w:hint="eastAsia"/>
          <w:kern w:val="0"/>
          <w:szCs w:val="21"/>
        </w:rPr>
        <w:t>泰信财富基金销售</w:t>
      </w:r>
      <w:r>
        <w:rPr>
          <w:rFonts w:ascii="宋体" w:hAnsi="宋体" w:cs="宋体" w:hint="eastAsia"/>
          <w:kern w:val="0"/>
          <w:szCs w:val="21"/>
        </w:rPr>
        <w:t>有限公司为东吴基金管理有限公司旗下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572071">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w:t>
      </w:r>
      <w:r>
        <w:rPr>
          <w:rFonts w:ascii="宋体" w:hAnsi="宋体" w:cs="宋体" w:hint="eastAsia"/>
          <w:kern w:val="0"/>
          <w:szCs w:val="21"/>
        </w:rPr>
        <w:t>泰信财富基金销售</w:t>
      </w:r>
      <w:r>
        <w:rPr>
          <w:rFonts w:ascii="宋体" w:hAnsi="宋体" w:cs="宋体" w:hint="eastAsia"/>
          <w:kern w:val="0"/>
          <w:szCs w:val="21"/>
        </w:rPr>
        <w:t>有限公司（以下简称</w:t>
      </w:r>
      <w:r>
        <w:rPr>
          <w:rFonts w:ascii="宋体" w:hAnsi="宋体" w:cs="宋体" w:hint="eastAsia"/>
          <w:kern w:val="0"/>
          <w:szCs w:val="21"/>
        </w:rPr>
        <w:t>"</w:t>
      </w:r>
      <w:r>
        <w:rPr>
          <w:rFonts w:ascii="宋体" w:hAnsi="宋体" w:cs="宋体" w:hint="eastAsia"/>
          <w:kern w:val="0"/>
          <w:szCs w:val="21"/>
        </w:rPr>
        <w:t>泰信财富</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泰信财富</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w:t>
      </w:r>
      <w:r>
        <w:rPr>
          <w:rFonts w:ascii="宋体" w:hAnsi="宋体" w:cs="宋体" w:hint="eastAsia"/>
          <w:kern w:val="0"/>
          <w:szCs w:val="21"/>
        </w:rPr>
        <w:t>认购、</w:t>
      </w:r>
      <w:r>
        <w:rPr>
          <w:rFonts w:ascii="宋体" w:hAnsi="宋体" w:cs="宋体" w:hint="eastAsia"/>
          <w:kern w:val="0"/>
          <w:szCs w:val="21"/>
        </w:rPr>
        <w:t>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572071">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572071">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572071">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jc w:val="left"/>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572071">
            <w:pPr>
              <w:widowControl/>
              <w:jc w:val="left"/>
              <w:textAlignment w:val="center"/>
              <w:rPr>
                <w:rFonts w:ascii="宋体" w:hAnsi="宋体" w:cs="宋体" w:hint="eastAsia"/>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东吴国企改革主题灵活配置混合</w:t>
            </w:r>
            <w:r>
              <w:rPr>
                <w:rFonts w:ascii="宋体" w:hAnsi="宋体" w:cs="宋体" w:hint="eastAsia"/>
                <w:szCs w:val="21"/>
                <w:lang/>
              </w:rPr>
              <w:t>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572071">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东吴医疗服务股票型证券投资基金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013940/013941</w:t>
            </w:r>
          </w:p>
        </w:tc>
      </w:tr>
    </w:tbl>
    <w:p w:rsidR="00000000" w:rsidRDefault="00572071">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572071">
      <w:pPr>
        <w:widowControl/>
        <w:spacing w:line="360" w:lineRule="auto"/>
        <w:ind w:firstLineChars="200" w:firstLine="420"/>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二、开通东吴基金旗下部分基金定期定额投资业务</w:t>
      </w:r>
    </w:p>
    <w:p w:rsidR="00000000" w:rsidRDefault="00572071">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22</w:t>
      </w:r>
      <w:r>
        <w:rPr>
          <w:rFonts w:ascii="宋体" w:hAnsi="宋体" w:cs="宋体" w:hint="eastAsia"/>
          <w:szCs w:val="21"/>
        </w:rPr>
        <w:t>日</w:t>
      </w:r>
      <w:r>
        <w:rPr>
          <w:rFonts w:ascii="宋体" w:hAnsi="宋体" w:cs="宋体" w:hint="eastAsia"/>
          <w:szCs w:val="21"/>
        </w:rPr>
        <w:t>起开通以下基金在</w:t>
      </w:r>
      <w:r>
        <w:rPr>
          <w:rFonts w:ascii="宋体" w:hAnsi="宋体" w:cs="宋体" w:hint="eastAsia"/>
          <w:kern w:val="0"/>
          <w:szCs w:val="21"/>
        </w:rPr>
        <w:t>泰信财富</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572071">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572071">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572071">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w:t>
            </w:r>
            <w:r>
              <w:rPr>
                <w:rFonts w:ascii="宋体" w:hAnsi="宋体" w:cs="宋体" w:hint="eastAsia"/>
                <w:szCs w:val="21"/>
                <w:lang/>
              </w:rPr>
              <w:t>007</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583001</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jc w:val="left"/>
              <w:textAlignment w:val="center"/>
              <w:rPr>
                <w:rFonts w:ascii="宋体" w:hAnsi="宋体" w:cs="宋体" w:hint="eastAsia"/>
                <w:szCs w:val="21"/>
                <w:lang/>
              </w:rPr>
            </w:pPr>
            <w:r>
              <w:rPr>
                <w:rFonts w:ascii="宋体" w:hAnsi="宋体" w:cs="宋体" w:hint="eastAsia"/>
                <w:szCs w:val="21"/>
                <w:lang/>
              </w:rPr>
              <w:t>东吴新趋势价值线灵活配置</w:t>
            </w:r>
            <w:r>
              <w:rPr>
                <w:rFonts w:ascii="宋体" w:hAnsi="宋体" w:cs="宋体" w:hint="eastAsia"/>
                <w:szCs w:val="21"/>
                <w:lang/>
              </w:rPr>
              <w:t>混合型证券投资基金</w:t>
            </w:r>
          </w:p>
        </w:tc>
        <w:tc>
          <w:tcPr>
            <w:tcW w:w="1602" w:type="dxa"/>
            <w:vAlign w:val="center"/>
          </w:tcPr>
          <w:p w:rsidR="00000000" w:rsidRDefault="00572071">
            <w:pPr>
              <w:widowControl/>
              <w:jc w:val="left"/>
              <w:textAlignment w:val="center"/>
              <w:rPr>
                <w:rFonts w:ascii="宋体" w:hAnsi="宋体" w:cs="宋体" w:hint="eastAsia"/>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003588</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572071">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012971/012972</w:t>
            </w:r>
          </w:p>
        </w:tc>
      </w:tr>
    </w:tbl>
    <w:p w:rsidR="00000000" w:rsidRDefault="00572071">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“定期定额投资业务”是基金申购业务的一种方式，投资者可以通过</w:t>
      </w:r>
      <w:r>
        <w:rPr>
          <w:rFonts w:ascii="宋体" w:hAnsi="宋体" w:cs="宋体" w:hint="eastAsia"/>
          <w:kern w:val="0"/>
          <w:szCs w:val="21"/>
        </w:rPr>
        <w:t>泰信财富</w:t>
      </w:r>
      <w:r>
        <w:rPr>
          <w:rFonts w:ascii="宋体" w:hAnsi="宋体" w:cs="宋体" w:hint="eastAsia"/>
          <w:szCs w:val="21"/>
        </w:rPr>
        <w:t>提交申请，约定每期扣款时间、扣款金额及扣款方式，由</w:t>
      </w:r>
      <w:r>
        <w:rPr>
          <w:rFonts w:ascii="宋体" w:hAnsi="宋体" w:cs="宋体" w:hint="eastAsia"/>
          <w:kern w:val="0"/>
          <w:szCs w:val="21"/>
        </w:rPr>
        <w:t>泰信财富</w:t>
      </w:r>
      <w:r>
        <w:rPr>
          <w:rFonts w:ascii="宋体" w:hAnsi="宋体" w:cs="宋体" w:hint="eastAsia"/>
          <w:szCs w:val="21"/>
        </w:rPr>
        <w:t>于约定扣款日在投资者指定资金账户内自动完成扣款及基金申购业务。投资者在办理基金“定期定额投资业务”的同时，</w:t>
      </w:r>
      <w:r>
        <w:rPr>
          <w:rFonts w:ascii="宋体" w:hAnsi="宋体" w:cs="宋体" w:hint="eastAsia"/>
          <w:szCs w:val="21"/>
        </w:rPr>
        <w:t>仍然可以进行日常申购、赎回业务。</w:t>
      </w:r>
    </w:p>
    <w:p w:rsidR="00000000" w:rsidRDefault="00572071">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泰信财富</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泰信财富</w:t>
      </w:r>
      <w:r>
        <w:rPr>
          <w:rFonts w:ascii="宋体" w:hAnsi="宋体" w:cs="宋体" w:hint="eastAsia"/>
          <w:szCs w:val="21"/>
        </w:rPr>
        <w:t>直接开户便可进行东吴基金定期定额投资业务。</w:t>
      </w:r>
    </w:p>
    <w:p w:rsidR="00000000" w:rsidRDefault="00572071">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泰信财富</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w:t>
      </w:r>
      <w:r>
        <w:rPr>
          <w:rFonts w:ascii="宋体" w:hAnsi="宋体" w:cs="宋体" w:hint="eastAsia"/>
          <w:szCs w:val="21"/>
        </w:rPr>
        <w:t>务的申请受理时间与基金日常申购业务受理时间相同。</w:t>
      </w:r>
    </w:p>
    <w:p w:rsidR="00000000" w:rsidRDefault="00572071">
      <w:pPr>
        <w:widowControl/>
        <w:snapToGrid w:val="0"/>
        <w:spacing w:line="360" w:lineRule="auto"/>
        <w:ind w:firstLineChars="200" w:firstLine="420"/>
        <w:jc w:val="left"/>
        <w:rPr>
          <w:rFonts w:ascii="宋体" w:hAnsi="宋体" w:cs="宋体" w:hint="eastAsia"/>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泰信财富</w:t>
      </w:r>
      <w:r>
        <w:rPr>
          <w:rFonts w:ascii="宋体" w:hAnsi="宋体" w:cs="宋体" w:hint="eastAsia"/>
          <w:szCs w:val="21"/>
        </w:rPr>
        <w:t>约定每期固定扣款（申购）金额，基金每期定投申购金额最低下限以代销机构规定为准。</w:t>
      </w:r>
    </w:p>
    <w:p w:rsidR="00000000" w:rsidRDefault="00572071">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开通东吴基金旗下部分基金的基金转换业务</w:t>
      </w:r>
    </w:p>
    <w:p w:rsidR="00000000" w:rsidRDefault="00572071">
      <w:pPr>
        <w:widowControl/>
        <w:spacing w:line="360" w:lineRule="auto"/>
        <w:ind w:firstLineChars="200" w:firstLine="420"/>
        <w:jc w:val="left"/>
        <w:rPr>
          <w:rFonts w:ascii="宋体" w:hAnsi="宋体" w:cs="宋体" w:hint="eastAsia"/>
          <w:szCs w:val="21"/>
        </w:rPr>
      </w:pPr>
      <w:r>
        <w:rPr>
          <w:rFonts w:ascii="宋体" w:hAnsi="宋体" w:cs="宋体" w:hint="eastAsia"/>
          <w:szCs w:val="21"/>
        </w:rPr>
        <w:t>东吴基金将同时在</w:t>
      </w:r>
      <w:r>
        <w:rPr>
          <w:rFonts w:ascii="宋体" w:hAnsi="宋体" w:cs="宋体" w:hint="eastAsia"/>
          <w:kern w:val="0"/>
          <w:szCs w:val="21"/>
        </w:rPr>
        <w:t>泰信财富</w:t>
      </w:r>
      <w:r>
        <w:rPr>
          <w:rFonts w:ascii="宋体" w:hAnsi="宋体" w:cs="宋体" w:hint="eastAsia"/>
          <w:szCs w:val="21"/>
        </w:rPr>
        <w:t>开通以下基金之间的转换业务，具体包括：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572071">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572071">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572071">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580003/011</w:t>
            </w:r>
            <w:r>
              <w:rPr>
                <w:rFonts w:ascii="宋体" w:hAnsi="宋体" w:cs="宋体" w:hint="eastAsia"/>
                <w:szCs w:val="21"/>
                <w:lang/>
              </w:rPr>
              <w:t>240</w:t>
            </w:r>
          </w:p>
        </w:tc>
      </w:tr>
      <w:tr w:rsidR="00000000">
        <w:trPr>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w:t>
            </w:r>
            <w:r>
              <w:rPr>
                <w:rFonts w:ascii="宋体" w:hAnsi="宋体" w:cs="宋体" w:hint="eastAsia"/>
                <w:szCs w:val="21"/>
                <w:lang/>
              </w:rPr>
              <w:t>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jc w:val="left"/>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572071">
            <w:pPr>
              <w:widowControl/>
              <w:jc w:val="left"/>
              <w:textAlignment w:val="center"/>
              <w:rPr>
                <w:rFonts w:ascii="宋体" w:hAnsi="宋体" w:cs="宋体" w:hint="eastAsia"/>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w:t>
            </w:r>
            <w:r>
              <w:rPr>
                <w:rFonts w:ascii="宋体" w:hAnsi="宋体" w:cs="宋体" w:hint="eastAsia"/>
                <w:szCs w:val="21"/>
                <w:lang/>
              </w:rPr>
              <w:t>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572071">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572071">
            <w:pPr>
              <w:widowControl/>
              <w:textAlignment w:val="center"/>
              <w:rPr>
                <w:rFonts w:ascii="宋体" w:hAnsi="宋体" w:cs="宋体" w:hint="eastAsia"/>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572071">
            <w:pPr>
              <w:widowControl/>
              <w:spacing w:line="400" w:lineRule="exact"/>
              <w:jc w:val="left"/>
              <w:rPr>
                <w:rFonts w:ascii="宋体" w:hAnsi="宋体" w:cs="宋体" w:hint="eastAsia"/>
                <w:szCs w:val="21"/>
                <w:lang/>
              </w:rPr>
            </w:pPr>
            <w:r>
              <w:rPr>
                <w:rFonts w:ascii="宋体" w:hAnsi="宋体" w:cs="宋体" w:hint="eastAsia"/>
                <w:szCs w:val="21"/>
                <w:lang/>
              </w:rPr>
              <w:t>01</w:t>
            </w:r>
            <w:r>
              <w:rPr>
                <w:rFonts w:ascii="宋体" w:hAnsi="宋体" w:cs="宋体" w:hint="eastAsia"/>
                <w:szCs w:val="21"/>
                <w:lang/>
              </w:rPr>
              <w:t>2971/012972</w:t>
            </w:r>
          </w:p>
        </w:tc>
      </w:tr>
    </w:tbl>
    <w:p w:rsidR="00000000" w:rsidRDefault="00572071">
      <w:pPr>
        <w:widowControl/>
        <w:spacing w:line="400" w:lineRule="exact"/>
        <w:ind w:firstLineChars="100" w:firstLine="210"/>
        <w:jc w:val="left"/>
        <w:rPr>
          <w:rFonts w:ascii="宋体" w:hAnsi="宋体" w:cs="宋体" w:hint="eastAsia"/>
          <w:szCs w:val="21"/>
        </w:rPr>
      </w:pPr>
      <w:r>
        <w:rPr>
          <w:rFonts w:ascii="宋体" w:hAnsi="宋体" w:cs="宋体" w:hint="eastAsia"/>
          <w:szCs w:val="21"/>
        </w:rPr>
        <w:t>（一）、基金转换业务适用投资者范围</w:t>
      </w:r>
    </w:p>
    <w:p w:rsidR="00000000" w:rsidRDefault="00572071">
      <w:pPr>
        <w:pStyle w:val="HTML"/>
        <w:spacing w:line="400" w:lineRule="exact"/>
        <w:ind w:firstLine="420"/>
        <w:rPr>
          <w:rFonts w:hint="eastAsia"/>
          <w:color w:val="auto"/>
          <w:sz w:val="21"/>
          <w:szCs w:val="21"/>
        </w:rPr>
      </w:pPr>
      <w:r>
        <w:rPr>
          <w:rFonts w:hint="eastAsia"/>
          <w:color w:val="auto"/>
          <w:sz w:val="21"/>
          <w:szCs w:val="21"/>
        </w:rPr>
        <w:t>已持有本公司管理的开放式基金产品的投资者。</w:t>
      </w:r>
    </w:p>
    <w:p w:rsidR="00000000" w:rsidRDefault="00572071">
      <w:pPr>
        <w:pStyle w:val="HTML"/>
        <w:spacing w:line="400" w:lineRule="exact"/>
        <w:ind w:firstLineChars="100" w:firstLine="210"/>
        <w:rPr>
          <w:rFonts w:hint="eastAsia"/>
          <w:color w:val="auto"/>
          <w:sz w:val="21"/>
          <w:szCs w:val="21"/>
        </w:rPr>
      </w:pPr>
      <w:r>
        <w:rPr>
          <w:rFonts w:hint="eastAsia"/>
          <w:color w:val="auto"/>
          <w:sz w:val="21"/>
          <w:szCs w:val="21"/>
        </w:rPr>
        <w:t>（二）、基金转换受理时间</w:t>
      </w:r>
    </w:p>
    <w:p w:rsidR="00000000" w:rsidRDefault="00572071">
      <w:pPr>
        <w:spacing w:line="400" w:lineRule="exact"/>
        <w:rPr>
          <w:rFonts w:ascii="宋体" w:hAnsi="宋体" w:cs="宋体" w:hint="eastAsia"/>
          <w:szCs w:val="21"/>
        </w:rPr>
      </w:pPr>
      <w:r>
        <w:rPr>
          <w:rFonts w:ascii="宋体" w:hAnsi="宋体" w:cs="宋体" w:hint="eastAsia"/>
          <w:szCs w:val="21"/>
        </w:rPr>
        <w:t xml:space="preserve">　　基金办理转换业务的开放日为上海证券交易所和深圳证券交易所交易日（本公司公告暂停转换时除外）。具体业务办理时间与基金日常申购业务时间相同。</w:t>
      </w:r>
    </w:p>
    <w:p w:rsidR="00000000" w:rsidRDefault="00572071">
      <w:pPr>
        <w:spacing w:line="400" w:lineRule="exact"/>
        <w:rPr>
          <w:rFonts w:ascii="宋体" w:hAnsi="宋体" w:cs="宋体" w:hint="eastAsia"/>
          <w:szCs w:val="21"/>
        </w:rPr>
      </w:pPr>
      <w:r>
        <w:rPr>
          <w:rFonts w:ascii="宋体" w:hAnsi="宋体" w:cs="宋体" w:hint="eastAsia"/>
          <w:szCs w:val="21"/>
        </w:rPr>
        <w:t xml:space="preserve">　（三）、基金转换业务规则</w:t>
      </w:r>
    </w:p>
    <w:p w:rsidR="00000000" w:rsidRDefault="00572071">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转换业务具体业务规则请参照《东吴基金管理有限公司开放式基金业务规则》。</w:t>
      </w:r>
    </w:p>
    <w:p w:rsidR="00000000" w:rsidRDefault="00572071">
      <w:pPr>
        <w:widowControl/>
        <w:spacing w:line="400" w:lineRule="exact"/>
        <w:jc w:val="left"/>
        <w:rPr>
          <w:rFonts w:ascii="宋体" w:hAnsi="宋体" w:cs="宋体" w:hint="eastAsia"/>
          <w:szCs w:val="21"/>
        </w:rPr>
      </w:pPr>
    </w:p>
    <w:p w:rsidR="00000000" w:rsidRDefault="00572071">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572071">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572071">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2021</w:t>
      </w:r>
      <w:r>
        <w:rPr>
          <w:rFonts w:ascii="宋体" w:hAnsi="宋体" w:cs="宋体" w:hint="eastAsia"/>
          <w:color w:val="000000"/>
          <w:szCs w:val="21"/>
        </w:rPr>
        <w:t>年</w:t>
      </w:r>
      <w:r>
        <w:rPr>
          <w:rFonts w:ascii="宋体" w:hAnsi="宋体" w:cs="宋体" w:hint="eastAsia"/>
          <w:color w:val="000000"/>
          <w:szCs w:val="21"/>
        </w:rPr>
        <w:t>12</w:t>
      </w:r>
      <w:r>
        <w:rPr>
          <w:rFonts w:ascii="宋体" w:hAnsi="宋体" w:cs="宋体" w:hint="eastAsia"/>
          <w:color w:val="000000"/>
          <w:szCs w:val="21"/>
        </w:rPr>
        <w:t>月</w:t>
      </w:r>
      <w:r>
        <w:rPr>
          <w:rFonts w:ascii="宋体" w:hAnsi="宋体" w:cs="宋体" w:hint="eastAsia"/>
          <w:color w:val="000000"/>
          <w:szCs w:val="21"/>
        </w:rPr>
        <w:t>22</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泰信财富</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w:t>
      </w:r>
      <w:r>
        <w:rPr>
          <w:rFonts w:ascii="宋体" w:hAnsi="宋体" w:cs="宋体" w:hint="eastAsia"/>
          <w:color w:val="000000"/>
          <w:szCs w:val="21"/>
        </w:rPr>
        <w:t>率我司后台不设折扣限制，以</w:t>
      </w:r>
      <w:r>
        <w:rPr>
          <w:rFonts w:ascii="宋体" w:hAnsi="宋体" w:cs="宋体" w:hint="eastAsia"/>
          <w:color w:val="000000"/>
          <w:szCs w:val="21"/>
        </w:rPr>
        <w:t>泰信财富</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泰信财富</w:t>
      </w:r>
      <w:r>
        <w:rPr>
          <w:rFonts w:ascii="宋体" w:hAnsi="宋体" w:cs="宋体" w:hint="eastAsia"/>
          <w:color w:val="000000"/>
          <w:szCs w:val="21"/>
        </w:rPr>
        <w:t>相关公告。基金原费率请详见基金合同、招募说明书（更新）等法律文件，以及本公司发布的最新业务公告。</w:t>
      </w:r>
    </w:p>
    <w:p w:rsidR="00000000" w:rsidRDefault="00572071">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费率优惠期限内，如本公司新增通过</w:t>
      </w:r>
      <w:r>
        <w:rPr>
          <w:rFonts w:ascii="宋体" w:hAnsi="宋体" w:cs="宋体" w:hint="eastAsia"/>
          <w:color w:val="000000"/>
          <w:szCs w:val="21"/>
        </w:rPr>
        <w:t>泰信财富</w:t>
      </w:r>
      <w:r>
        <w:rPr>
          <w:rFonts w:ascii="宋体" w:hAnsi="宋体" w:cs="宋体" w:hint="eastAsia"/>
          <w:color w:val="000000"/>
          <w:szCs w:val="21"/>
        </w:rPr>
        <w:t>代销的基金产品，则自该基金产品开放申购当日起，将同时开通该基金上述费率优惠。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泰信财富</w:t>
      </w:r>
      <w:r>
        <w:rPr>
          <w:rFonts w:ascii="宋体" w:hAnsi="宋体" w:cs="宋体" w:hint="eastAsia"/>
          <w:color w:val="000000"/>
          <w:szCs w:val="21"/>
        </w:rPr>
        <w:t>官方网站所示公告为准。</w:t>
      </w:r>
    </w:p>
    <w:p w:rsidR="00000000" w:rsidRDefault="00572071">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572071">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泰信财富</w:t>
      </w:r>
      <w:r>
        <w:rPr>
          <w:rFonts w:ascii="宋体" w:hAnsi="宋体" w:cs="宋体" w:hint="eastAsia"/>
          <w:color w:val="000000"/>
          <w:szCs w:val="21"/>
        </w:rPr>
        <w:t>处于正常申购期的基金产品的前端收费模式的申购手续费（含定期定额申购）</w:t>
      </w:r>
      <w:r>
        <w:rPr>
          <w:rFonts w:ascii="宋体" w:hAnsi="宋体" w:cs="宋体" w:hint="eastAsia"/>
          <w:color w:val="000000"/>
          <w:szCs w:val="21"/>
        </w:rPr>
        <w:t>及处于基金募集期的基金认购费</w:t>
      </w:r>
      <w:r>
        <w:rPr>
          <w:rFonts w:ascii="宋体" w:hAnsi="宋体" w:cs="宋体" w:hint="eastAsia"/>
          <w:color w:val="000000"/>
          <w:szCs w:val="21"/>
        </w:rPr>
        <w:t>。</w:t>
      </w:r>
    </w:p>
    <w:p w:rsidR="00000000" w:rsidRDefault="00572071">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、本费率优惠仅适用于我司产品在</w:t>
      </w:r>
      <w:r>
        <w:rPr>
          <w:rFonts w:ascii="宋体" w:hAnsi="宋体" w:cs="宋体" w:hint="eastAsia"/>
          <w:color w:val="000000"/>
          <w:szCs w:val="21"/>
        </w:rPr>
        <w:t>泰信财富</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申购业务的手续费，不包括基金赎回等其他业务的手续费。</w:t>
      </w:r>
    </w:p>
    <w:p w:rsidR="00000000" w:rsidRDefault="00572071">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、费率优惠解释权归</w:t>
      </w:r>
      <w:r>
        <w:rPr>
          <w:rFonts w:ascii="宋体" w:hAnsi="宋体" w:cs="宋体" w:hint="eastAsia"/>
          <w:color w:val="000000"/>
          <w:szCs w:val="21"/>
        </w:rPr>
        <w:t>泰信财富</w:t>
      </w:r>
      <w:r>
        <w:rPr>
          <w:rFonts w:ascii="宋体" w:hAnsi="宋体" w:cs="宋体" w:hint="eastAsia"/>
          <w:color w:val="000000"/>
          <w:szCs w:val="21"/>
        </w:rPr>
        <w:t>所有，有关费率优惠的具体规定如有变化，敬请投资者留意前述代销机构的有关规定。</w:t>
      </w:r>
      <w:r>
        <w:rPr>
          <w:rFonts w:ascii="宋体" w:hAnsi="宋体" w:cs="宋体" w:hint="eastAsia"/>
          <w:color w:val="000000"/>
          <w:szCs w:val="21"/>
        </w:rPr>
        <w:t xml:space="preserve"> </w:t>
      </w:r>
    </w:p>
    <w:p w:rsidR="00000000" w:rsidRDefault="00572071">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4</w:t>
      </w:r>
      <w:r>
        <w:rPr>
          <w:rFonts w:ascii="宋体" w:hAnsi="宋体" w:cs="宋体" w:hint="eastAsia"/>
          <w:color w:val="000000"/>
          <w:szCs w:val="21"/>
        </w:rPr>
        <w:t>、费率优惠期间，业务办理的流程以</w:t>
      </w:r>
      <w:r>
        <w:rPr>
          <w:rFonts w:ascii="宋体" w:hAnsi="宋体" w:cs="宋体" w:hint="eastAsia"/>
          <w:color w:val="000000"/>
          <w:szCs w:val="21"/>
        </w:rPr>
        <w:t>泰信财富</w:t>
      </w:r>
      <w:r>
        <w:rPr>
          <w:rFonts w:ascii="宋体" w:hAnsi="宋体" w:cs="宋体" w:hint="eastAsia"/>
          <w:color w:val="000000"/>
          <w:szCs w:val="21"/>
        </w:rPr>
        <w:t>的规定为准。投资者欲了解基金产品的详细情况，请仔细阅读基金的基金合同、招募说明书等法律文件。</w:t>
      </w:r>
      <w:r>
        <w:rPr>
          <w:rFonts w:ascii="宋体" w:hAnsi="宋体" w:cs="宋体" w:hint="eastAsia"/>
          <w:color w:val="000000"/>
          <w:szCs w:val="21"/>
        </w:rPr>
        <w:t xml:space="preserve"> </w:t>
      </w:r>
    </w:p>
    <w:p w:rsidR="00000000" w:rsidRDefault="00572071">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p>
    <w:p w:rsidR="00000000" w:rsidRDefault="00572071">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五</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572071">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 xml:space="preserve"> </w:t>
      </w:r>
      <w:r>
        <w:rPr>
          <w:rFonts w:ascii="宋体" w:hAnsi="宋体" w:cs="宋体" w:hint="eastAsia"/>
          <w:kern w:val="0"/>
          <w:szCs w:val="21"/>
        </w:rPr>
        <w:t>泰信财富基金销售有限公司</w:t>
      </w:r>
    </w:p>
    <w:p w:rsidR="00000000" w:rsidRDefault="00572071">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400-004-8821</w:t>
      </w:r>
    </w:p>
    <w:p w:rsidR="00000000" w:rsidRDefault="00572071">
      <w:pPr>
        <w:spacing w:line="400" w:lineRule="exact"/>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r>
        <w:rPr>
          <w:rFonts w:ascii="宋体" w:hAnsi="宋体" w:cs="宋体" w:hint="eastAsia"/>
          <w:kern w:val="0"/>
          <w:szCs w:val="21"/>
        </w:rPr>
        <w:t>www.tai</w:t>
      </w:r>
      <w:r>
        <w:rPr>
          <w:rFonts w:ascii="宋体" w:hAnsi="宋体" w:cs="宋体" w:hint="eastAsia"/>
          <w:kern w:val="0"/>
          <w:szCs w:val="21"/>
        </w:rPr>
        <w:t xml:space="preserve">xincf.com </w:t>
      </w:r>
    </w:p>
    <w:p w:rsidR="00000000" w:rsidRDefault="00572071">
      <w:pPr>
        <w:spacing w:line="400" w:lineRule="exact"/>
        <w:ind w:firstLineChars="304" w:firstLine="638"/>
        <w:rPr>
          <w:rFonts w:ascii="宋体" w:hAnsi="宋体" w:cs="宋体" w:hint="eastAsia"/>
          <w:kern w:val="0"/>
          <w:szCs w:val="21"/>
        </w:rPr>
      </w:pPr>
      <w:hyperlink r:id="rId5" w:history="1"/>
    </w:p>
    <w:p w:rsidR="00000000" w:rsidRDefault="00572071">
      <w:pPr>
        <w:spacing w:line="400" w:lineRule="exact"/>
        <w:ind w:firstLineChars="304" w:firstLine="638"/>
        <w:rPr>
          <w:rFonts w:ascii="宋体" w:hAnsi="宋体" w:cs="宋体" w:hint="eastAsia"/>
          <w:kern w:val="0"/>
          <w:szCs w:val="21"/>
        </w:rPr>
      </w:pPr>
    </w:p>
    <w:p w:rsidR="00000000" w:rsidRDefault="00572071">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572071">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572071">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6" w:history="1">
        <w:r>
          <w:rPr>
            <w:rFonts w:ascii="宋体" w:hAnsi="宋体" w:cs="宋体" w:hint="eastAsia"/>
            <w:szCs w:val="21"/>
          </w:rPr>
          <w:t>www.scfund.com.cn</w:t>
        </w:r>
      </w:hyperlink>
    </w:p>
    <w:p w:rsidR="00000000" w:rsidRDefault="00572071">
      <w:pPr>
        <w:spacing w:line="360" w:lineRule="auto"/>
        <w:ind w:firstLineChars="200" w:firstLine="420"/>
        <w:rPr>
          <w:rFonts w:ascii="宋体" w:hAnsi="宋体" w:cs="宋体" w:hint="eastAsia"/>
          <w:color w:val="000000"/>
          <w:kern w:val="0"/>
          <w:szCs w:val="21"/>
        </w:rPr>
      </w:pPr>
    </w:p>
    <w:p w:rsidR="00000000" w:rsidRDefault="00572071">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六</w:t>
      </w:r>
      <w:r>
        <w:rPr>
          <w:rFonts w:ascii="宋体" w:hAnsi="宋体" w:cs="宋体" w:hint="eastAsia"/>
          <w:color w:val="000000"/>
          <w:kern w:val="0"/>
          <w:szCs w:val="21"/>
        </w:rPr>
        <w:t>、风险提示</w:t>
      </w:r>
    </w:p>
    <w:p w:rsidR="00000000" w:rsidRDefault="00572071">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572071">
      <w:pPr>
        <w:spacing w:line="400" w:lineRule="exact"/>
        <w:rPr>
          <w:rFonts w:ascii="宋体" w:hAnsi="宋体" w:cs="宋体" w:hint="eastAsia"/>
          <w:szCs w:val="21"/>
        </w:rPr>
      </w:pPr>
      <w:r>
        <w:rPr>
          <w:rFonts w:ascii="宋体" w:hAnsi="宋体" w:cs="宋体" w:hint="eastAsia"/>
          <w:szCs w:val="21"/>
        </w:rPr>
        <w:t xml:space="preserve">     </w:t>
      </w:r>
    </w:p>
    <w:p w:rsidR="00000000" w:rsidRDefault="00572071">
      <w:pPr>
        <w:spacing w:line="400" w:lineRule="exac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572071">
      <w:pPr>
        <w:spacing w:line="400" w:lineRule="exact"/>
        <w:rPr>
          <w:rFonts w:ascii="宋体" w:hAnsi="宋体" w:cs="宋体" w:hint="eastAsia"/>
          <w:szCs w:val="21"/>
        </w:rPr>
      </w:pPr>
    </w:p>
    <w:p w:rsidR="00000000" w:rsidRDefault="00572071">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572071">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20</w:t>
      </w:r>
      <w:r>
        <w:rPr>
          <w:rFonts w:ascii="宋体" w:hAnsi="宋体" w:cs="宋体" w:hint="eastAsia"/>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848CA3"/>
    <w:multiLevelType w:val="singleLevel"/>
    <w:tmpl w:val="DE848CA3"/>
    <w:lvl w:ilvl="0">
      <w:start w:val="1"/>
      <w:numFmt w:val="decimal"/>
      <w:lvlText w:val="%1."/>
      <w:lvlJc w:val="left"/>
      <w:pPr>
        <w:ind w:left="425" w:hanging="425"/>
      </w:pPr>
      <w:rPr>
        <w:rFonts w:hint="default"/>
      </w:rPr>
    </w:lvl>
  </w:abstractNum>
  <w:abstractNum w:abstractNumId="1">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4D7D6732"/>
    <w:multiLevelType w:val="singleLevel"/>
    <w:tmpl w:val="4D7D6732"/>
    <w:lvl w:ilvl="0">
      <w:start w:val="1"/>
      <w:numFmt w:val="decimal"/>
      <w:lvlText w:val="%1."/>
      <w:lvlJc w:val="left"/>
      <w:pPr>
        <w:ind w:left="425" w:hanging="425"/>
      </w:pPr>
      <w:rPr>
        <w:rFonts w:hint="default"/>
      </w:rPr>
    </w:lvl>
  </w:abstractNum>
  <w:abstractNum w:abstractNumId="3">
    <w:nsid w:val="5E28EE34"/>
    <w:multiLevelType w:val="singleLevel"/>
    <w:tmpl w:val="5E28EE34"/>
    <w:lvl w:ilvl="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72071"/>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5E6EF2"/>
    <w:rsid w:val="02614111"/>
    <w:rsid w:val="028E4041"/>
    <w:rsid w:val="02A9126A"/>
    <w:rsid w:val="02C4633C"/>
    <w:rsid w:val="02FE7A2C"/>
    <w:rsid w:val="037B608B"/>
    <w:rsid w:val="03BF4636"/>
    <w:rsid w:val="04325B14"/>
    <w:rsid w:val="05282922"/>
    <w:rsid w:val="05FD0EAD"/>
    <w:rsid w:val="06171B42"/>
    <w:rsid w:val="076808B4"/>
    <w:rsid w:val="07E27256"/>
    <w:rsid w:val="07EC11B9"/>
    <w:rsid w:val="089B75B6"/>
    <w:rsid w:val="097914DE"/>
    <w:rsid w:val="0A641E54"/>
    <w:rsid w:val="0AFA04AF"/>
    <w:rsid w:val="0B2854B7"/>
    <w:rsid w:val="0C1734E6"/>
    <w:rsid w:val="0CDA088F"/>
    <w:rsid w:val="0D781E29"/>
    <w:rsid w:val="0E624A90"/>
    <w:rsid w:val="0F5A6124"/>
    <w:rsid w:val="0FE01D6A"/>
    <w:rsid w:val="103852DA"/>
    <w:rsid w:val="103D7A7A"/>
    <w:rsid w:val="11D35ECA"/>
    <w:rsid w:val="12260115"/>
    <w:rsid w:val="126C35C1"/>
    <w:rsid w:val="12ED0AC1"/>
    <w:rsid w:val="13A147CE"/>
    <w:rsid w:val="13EC2D3D"/>
    <w:rsid w:val="1412586F"/>
    <w:rsid w:val="144D74F1"/>
    <w:rsid w:val="149A6E87"/>
    <w:rsid w:val="149B08DC"/>
    <w:rsid w:val="15284B7A"/>
    <w:rsid w:val="156173A0"/>
    <w:rsid w:val="15C4305D"/>
    <w:rsid w:val="15D6596A"/>
    <w:rsid w:val="16887312"/>
    <w:rsid w:val="16BB2E3C"/>
    <w:rsid w:val="16E41E49"/>
    <w:rsid w:val="176C38A0"/>
    <w:rsid w:val="17837E4E"/>
    <w:rsid w:val="183F3F70"/>
    <w:rsid w:val="185A6A58"/>
    <w:rsid w:val="196E49C7"/>
    <w:rsid w:val="1BED5CE0"/>
    <w:rsid w:val="1CA27161"/>
    <w:rsid w:val="1CDF3654"/>
    <w:rsid w:val="1DA5062E"/>
    <w:rsid w:val="1FC7683A"/>
    <w:rsid w:val="1FDF5B04"/>
    <w:rsid w:val="20040DFF"/>
    <w:rsid w:val="213212D6"/>
    <w:rsid w:val="21FC2E7E"/>
    <w:rsid w:val="224C5A31"/>
    <w:rsid w:val="225C7323"/>
    <w:rsid w:val="2269333F"/>
    <w:rsid w:val="22B107F8"/>
    <w:rsid w:val="22E721D3"/>
    <w:rsid w:val="235231CF"/>
    <w:rsid w:val="23765BEA"/>
    <w:rsid w:val="23A83A0D"/>
    <w:rsid w:val="24140680"/>
    <w:rsid w:val="24425BDD"/>
    <w:rsid w:val="24FB7E41"/>
    <w:rsid w:val="2534229A"/>
    <w:rsid w:val="25EC6BD7"/>
    <w:rsid w:val="276F103E"/>
    <w:rsid w:val="27C45851"/>
    <w:rsid w:val="27E36121"/>
    <w:rsid w:val="280C74C5"/>
    <w:rsid w:val="28525604"/>
    <w:rsid w:val="28935BDB"/>
    <w:rsid w:val="2913621E"/>
    <w:rsid w:val="297E1EFC"/>
    <w:rsid w:val="29CB55B3"/>
    <w:rsid w:val="2A656EEF"/>
    <w:rsid w:val="2AAE6793"/>
    <w:rsid w:val="2B382728"/>
    <w:rsid w:val="2B5C6850"/>
    <w:rsid w:val="2BAD2685"/>
    <w:rsid w:val="2C445CD5"/>
    <w:rsid w:val="2CB23497"/>
    <w:rsid w:val="2D2F0A6E"/>
    <w:rsid w:val="2E290C48"/>
    <w:rsid w:val="2E297F73"/>
    <w:rsid w:val="2EFD62B4"/>
    <w:rsid w:val="2FAA2872"/>
    <w:rsid w:val="2FCA1259"/>
    <w:rsid w:val="2FEE66FF"/>
    <w:rsid w:val="300E3606"/>
    <w:rsid w:val="30693C6B"/>
    <w:rsid w:val="309148BA"/>
    <w:rsid w:val="31EB1FC2"/>
    <w:rsid w:val="32B61B46"/>
    <w:rsid w:val="33464B7A"/>
    <w:rsid w:val="33576347"/>
    <w:rsid w:val="33915228"/>
    <w:rsid w:val="351A72AD"/>
    <w:rsid w:val="35282C5A"/>
    <w:rsid w:val="354D41DF"/>
    <w:rsid w:val="36371F6E"/>
    <w:rsid w:val="36AC5178"/>
    <w:rsid w:val="370C6F24"/>
    <w:rsid w:val="373E372F"/>
    <w:rsid w:val="38137F9C"/>
    <w:rsid w:val="384D2127"/>
    <w:rsid w:val="385A5804"/>
    <w:rsid w:val="387743CF"/>
    <w:rsid w:val="39E949C6"/>
    <w:rsid w:val="39FB0130"/>
    <w:rsid w:val="3A0D38CD"/>
    <w:rsid w:val="3A1F03A8"/>
    <w:rsid w:val="3BC069D4"/>
    <w:rsid w:val="3BCF2D0F"/>
    <w:rsid w:val="3C44454F"/>
    <w:rsid w:val="3C695EB3"/>
    <w:rsid w:val="3DA939C5"/>
    <w:rsid w:val="3DB22DE2"/>
    <w:rsid w:val="3E1F1601"/>
    <w:rsid w:val="3E431917"/>
    <w:rsid w:val="3EA74EA6"/>
    <w:rsid w:val="40591B82"/>
    <w:rsid w:val="412133EB"/>
    <w:rsid w:val="41F017A8"/>
    <w:rsid w:val="431369E3"/>
    <w:rsid w:val="443C6B00"/>
    <w:rsid w:val="44E670C8"/>
    <w:rsid w:val="453E3F7B"/>
    <w:rsid w:val="46692B10"/>
    <w:rsid w:val="467C28B2"/>
    <w:rsid w:val="46B05CA5"/>
    <w:rsid w:val="47C17D67"/>
    <w:rsid w:val="48463A92"/>
    <w:rsid w:val="485E5D6B"/>
    <w:rsid w:val="488515F1"/>
    <w:rsid w:val="489354A0"/>
    <w:rsid w:val="49083735"/>
    <w:rsid w:val="490F7BDD"/>
    <w:rsid w:val="4AAF17BC"/>
    <w:rsid w:val="4AFB1112"/>
    <w:rsid w:val="4C8C3A8E"/>
    <w:rsid w:val="4D473B61"/>
    <w:rsid w:val="4E053C46"/>
    <w:rsid w:val="4EC201C3"/>
    <w:rsid w:val="4F1C2EFD"/>
    <w:rsid w:val="4F691C56"/>
    <w:rsid w:val="4FA249DE"/>
    <w:rsid w:val="4FD81752"/>
    <w:rsid w:val="51C41695"/>
    <w:rsid w:val="51CE5AE2"/>
    <w:rsid w:val="524B0146"/>
    <w:rsid w:val="52861B73"/>
    <w:rsid w:val="531E2FB0"/>
    <w:rsid w:val="53506042"/>
    <w:rsid w:val="53511467"/>
    <w:rsid w:val="56091BA2"/>
    <w:rsid w:val="57564D00"/>
    <w:rsid w:val="5794651A"/>
    <w:rsid w:val="57D128B0"/>
    <w:rsid w:val="57FF38F4"/>
    <w:rsid w:val="580F7213"/>
    <w:rsid w:val="58BB67A0"/>
    <w:rsid w:val="58DA0FD3"/>
    <w:rsid w:val="58FF5142"/>
    <w:rsid w:val="59391735"/>
    <w:rsid w:val="59C33488"/>
    <w:rsid w:val="5A765101"/>
    <w:rsid w:val="5A9F0071"/>
    <w:rsid w:val="5B197D86"/>
    <w:rsid w:val="5B850857"/>
    <w:rsid w:val="5BA33C64"/>
    <w:rsid w:val="5C712910"/>
    <w:rsid w:val="5D057564"/>
    <w:rsid w:val="5E2A5AED"/>
    <w:rsid w:val="5E7D2556"/>
    <w:rsid w:val="5F110351"/>
    <w:rsid w:val="5FAA4FFC"/>
    <w:rsid w:val="6025124B"/>
    <w:rsid w:val="603D5AAD"/>
    <w:rsid w:val="6072134A"/>
    <w:rsid w:val="608A7D81"/>
    <w:rsid w:val="61186496"/>
    <w:rsid w:val="61BE058B"/>
    <w:rsid w:val="61F61A03"/>
    <w:rsid w:val="6219297F"/>
    <w:rsid w:val="62E01DCA"/>
    <w:rsid w:val="63461FD9"/>
    <w:rsid w:val="63857653"/>
    <w:rsid w:val="63D931E2"/>
    <w:rsid w:val="641D434E"/>
    <w:rsid w:val="650A6E75"/>
    <w:rsid w:val="651560BA"/>
    <w:rsid w:val="652E52F0"/>
    <w:rsid w:val="65890AB7"/>
    <w:rsid w:val="66240165"/>
    <w:rsid w:val="66F43AF7"/>
    <w:rsid w:val="67787F8D"/>
    <w:rsid w:val="67F266AF"/>
    <w:rsid w:val="68FC32F2"/>
    <w:rsid w:val="69A07404"/>
    <w:rsid w:val="69E95778"/>
    <w:rsid w:val="6A596387"/>
    <w:rsid w:val="6A732B77"/>
    <w:rsid w:val="6B3016EB"/>
    <w:rsid w:val="6B5D0E73"/>
    <w:rsid w:val="6BBB6AAD"/>
    <w:rsid w:val="6DB15CE3"/>
    <w:rsid w:val="6DCF7A62"/>
    <w:rsid w:val="6E73507C"/>
    <w:rsid w:val="6EB448FD"/>
    <w:rsid w:val="6F383D07"/>
    <w:rsid w:val="6F421085"/>
    <w:rsid w:val="706C7FA2"/>
    <w:rsid w:val="71127BA2"/>
    <w:rsid w:val="7187084F"/>
    <w:rsid w:val="71C7588E"/>
    <w:rsid w:val="726F6D4C"/>
    <w:rsid w:val="738A48F7"/>
    <w:rsid w:val="73F12CD0"/>
    <w:rsid w:val="73FD2CDB"/>
    <w:rsid w:val="74500DA3"/>
    <w:rsid w:val="753271D8"/>
    <w:rsid w:val="757438E6"/>
    <w:rsid w:val="759C0C01"/>
    <w:rsid w:val="768C1119"/>
    <w:rsid w:val="77492C07"/>
    <w:rsid w:val="776C6CE8"/>
    <w:rsid w:val="77923065"/>
    <w:rsid w:val="77B37523"/>
    <w:rsid w:val="77EF43DC"/>
    <w:rsid w:val="783C4C84"/>
    <w:rsid w:val="78501E3B"/>
    <w:rsid w:val="795A5208"/>
    <w:rsid w:val="79833C7C"/>
    <w:rsid w:val="79C91A00"/>
    <w:rsid w:val="79DB41C3"/>
    <w:rsid w:val="7A5709DC"/>
    <w:rsid w:val="7A8F4748"/>
    <w:rsid w:val="7A9629B0"/>
    <w:rsid w:val="7A9A7A4A"/>
    <w:rsid w:val="7B9F358C"/>
    <w:rsid w:val="7C271FE0"/>
    <w:rsid w:val="7CE03CA6"/>
    <w:rsid w:val="7D0801C2"/>
    <w:rsid w:val="7D3B2EE5"/>
    <w:rsid w:val="7DA60233"/>
    <w:rsid w:val="7DE92D15"/>
    <w:rsid w:val="7E1A4758"/>
    <w:rsid w:val="7F1076A5"/>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21"/>
      <w:szCs w:val="21"/>
    </w:rPr>
  </w:style>
  <w:style w:type="character" w:styleId="a4">
    <w:name w:val="Hyperlink"/>
    <w:basedOn w:val="a0"/>
    <w:rPr>
      <w:color w:val="0000FF"/>
      <w:u w:val="single"/>
    </w:rPr>
  </w:style>
  <w:style w:type="character" w:styleId="a5">
    <w:name w:val="page number"/>
    <w:basedOn w:val="a0"/>
  </w:style>
  <w:style w:type="character" w:styleId="a6">
    <w:name w:val="Strong"/>
    <w:basedOn w:val="a0"/>
    <w:qFormat/>
    <w:rPr>
      <w:b/>
    </w:rPr>
  </w:style>
  <w:style w:type="character" w:styleId="a7">
    <w:name w:val="FollowedHyperlink"/>
    <w:basedOn w:val="a0"/>
    <w:rPr>
      <w:color w:val="800080"/>
      <w:u w:val="single"/>
    </w:rPr>
  </w:style>
  <w:style w:type="character" w:customStyle="1" w:styleId="emailstyle23">
    <w:name w:val="emailstyle23"/>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Char">
    <w:name w:val="页眉 Char"/>
    <w:link w:val="a8"/>
    <w:rPr>
      <w:kern w:val="2"/>
      <w:sz w:val="18"/>
      <w:szCs w:val="18"/>
    </w:rPr>
  </w:style>
  <w:style w:type="character" w:customStyle="1" w:styleId="emailstyle22">
    <w:name w:val="emailstyle22"/>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character" w:customStyle="1" w:styleId="emailstyle21">
    <w:name w:val="emailstyle21"/>
    <w:rPr>
      <w:rFonts w:ascii="Calibri" w:hAnsi="Calibri" w:cs="Calibri" w:hint="default"/>
      <w:color w:val="1F497D"/>
    </w:rPr>
  </w:style>
  <w:style w:type="character" w:customStyle="1" w:styleId="Char0">
    <w:name w:val="文档结构图 Char"/>
    <w:link w:val="a9"/>
    <w:rPr>
      <w:rFonts w:ascii="宋体"/>
      <w:kern w:val="2"/>
      <w:sz w:val="18"/>
      <w:szCs w:val="18"/>
    </w:rPr>
  </w:style>
  <w:style w:type="character" w:customStyle="1" w:styleId="Char1">
    <w:name w:val="页脚 Char"/>
    <w:link w:val="aa"/>
    <w:rPr>
      <w:kern w:val="2"/>
      <w:sz w:val="18"/>
      <w:szCs w:val="18"/>
    </w:rPr>
  </w:style>
  <w:style w:type="character" w:customStyle="1" w:styleId="Char2">
    <w:name w:val="批注框文本 Char"/>
    <w:link w:val="ab"/>
    <w:rPr>
      <w:rFonts w:ascii="宋体" w:eastAsia="宋体" w:hAnsi="宋体" w:cs="宋体" w:hint="eastAsia"/>
    </w:rPr>
  </w:style>
  <w:style w:type="character" w:customStyle="1" w:styleId="txtcontent11">
    <w:name w:val="txtcontent11"/>
    <w:rPr>
      <w:rFonts w:ascii="ˎ̥" w:hAnsi="ˎ̥" w:hint="default"/>
      <w:b w:val="0"/>
      <w:bCs w:val="0"/>
      <w:color w:val="000000"/>
      <w:sz w:val="21"/>
      <w:szCs w:val="21"/>
    </w:rPr>
  </w:style>
  <w:style w:type="character" w:customStyle="1" w:styleId="emailstyle26">
    <w:name w:val="emailstyle26"/>
    <w:rPr>
      <w:rFonts w:ascii="Calibri" w:hAnsi="Calibri" w:cs="Calibri" w:hint="default"/>
      <w:color w:val="1F497D"/>
    </w:rPr>
  </w:style>
  <w:style w:type="character" w:customStyle="1" w:styleId="da">
    <w:name w:val="da"/>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header"/>
    <w:basedOn w:val="a"/>
    <w:link w:val="Char"/>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pPr>
      <w:tabs>
        <w:tab w:val="center" w:pos="4153"/>
        <w:tab w:val="right" w:pos="8306"/>
      </w:tabs>
      <w:snapToGrid w:val="0"/>
      <w:jc w:val="left"/>
    </w:pPr>
    <w:rPr>
      <w:sz w:val="18"/>
      <w:szCs w:val="18"/>
    </w:rPr>
  </w:style>
  <w:style w:type="paragraph" w:styleId="ab">
    <w:name w:val="Balloon Text"/>
    <w:basedOn w:val="a"/>
    <w:link w:val="Char2"/>
    <w:semiHidden/>
    <w:rPr>
      <w:sz w:val="18"/>
      <w:szCs w:val="18"/>
    </w:rPr>
  </w:style>
  <w:style w:type="paragraph" w:styleId="ac">
    <w:name w:val="annotation text"/>
    <w:basedOn w:val="a"/>
    <w:semiHidden/>
    <w:pPr>
      <w:jc w:val="left"/>
    </w:pPr>
  </w:style>
  <w:style w:type="paragraph" w:styleId="a9">
    <w:name w:val="Document Map"/>
    <w:basedOn w:val="a"/>
    <w:link w:val="Char0"/>
    <w:rPr>
      <w:rFonts w:ascii="宋体"/>
      <w:sz w:val="18"/>
      <w:szCs w:val="18"/>
    </w:rPr>
  </w:style>
  <w:style w:type="paragraph" w:styleId="ad">
    <w:name w:val="Normal (Web)"/>
    <w:basedOn w:val="a"/>
    <w:pPr>
      <w:widowControl/>
      <w:spacing w:before="100" w:beforeAutospacing="1" w:after="100" w:afterAutospacing="1"/>
      <w:jc w:val="left"/>
    </w:pPr>
    <w:rPr>
      <w:rFonts w:ascii="宋体" w:hAnsi="宋体"/>
      <w:kern w:val="0"/>
      <w:sz w:val="24"/>
    </w:rPr>
  </w:style>
  <w:style w:type="paragraph" w:styleId="ae">
    <w:name w:val="annotation subject"/>
    <w:basedOn w:val="ac"/>
    <w:next w:val="ac"/>
    <w:semiHidden/>
    <w:rPr>
      <w:b/>
      <w:bCs/>
    </w:rPr>
  </w:style>
  <w:style w:type="paragraph" w:customStyle="1" w:styleId="CharCharCharChar">
    <w:name w:val=" Char Char Char Char"/>
    <w:basedOn w:val="a"/>
    <w:link w:val="a0"/>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CharCharChar">
    <w:name w:val=" Char Char Char Char Char Char Char"/>
    <w:basedOn w:val="a"/>
    <w:pPr>
      <w:tabs>
        <w:tab w:val="left" w:pos="360"/>
      </w:tabs>
    </w:pPr>
    <w:rPr>
      <w:sz w:val="24"/>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fund.com.cn" TargetMode="External"/><Relationship Id="rId5" Type="http://schemas.openxmlformats.org/officeDocument/2006/relationships/hyperlink" Target="http://www.hgccp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4022</Characters>
  <Application>Microsoft Office Word</Application>
  <DocSecurity>4</DocSecurity>
  <PresentationFormat/>
  <Lines>33</Lines>
  <Paragraphs>9</Paragraphs>
  <Slides>0</Slides>
  <Notes>0</Notes>
  <HiddenSlides>0</HiddenSlides>
  <MMClips>0</MMClips>
  <ScaleCrop>false</ScaleCrop>
  <Manager/>
  <Company>DW</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东吴基金管理有限公司关于旗下部分基金新增济安财富（北京）基金销售有限公司为代销机构、开通定期定额及转换业务并参加费率优惠的公告</dc:title>
  <dc:subject/>
  <dc:creator>dw</dc:creator>
  <cp:keywords/>
  <dc:description/>
  <cp:lastModifiedBy>ZHONGM</cp:lastModifiedBy>
  <cp:revision>2</cp:revision>
  <cp:lastPrinted>2015-06-11T02:51:00Z</cp:lastPrinted>
  <dcterms:created xsi:type="dcterms:W3CDTF">2021-12-19T16:00:00Z</dcterms:created>
  <dcterms:modified xsi:type="dcterms:W3CDTF">2021-12-19T16:00:00Z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3896FDD7D1844B3483BA4373911801A2</vt:lpwstr>
  </property>
</Properties>
</file>