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59" w:rsidRDefault="00007259">
      <w:pPr>
        <w:jc w:val="center"/>
        <w:rPr>
          <w:rFonts w:eastAsia="Times New Roman"/>
          <w:sz w:val="48"/>
          <w:szCs w:val="48"/>
          <w:lang w:val="en-US" w:eastAsia="zh-CN" w:bidi="ar-SA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cs="宋体"/>
          <w:sz w:val="48"/>
          <w:szCs w:val="48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48"/>
          <w:szCs w:val="48"/>
          <w:lang w:val="en-US" w:eastAsia="zh-CN" w:bidi="ar-SA"/>
        </w:rPr>
      </w:pPr>
      <w:r>
        <w:rPr>
          <w:rFonts w:ascii="宋体" w:hAnsi="宋体" w:cs="宋体"/>
          <w:b/>
          <w:bCs/>
          <w:sz w:val="48"/>
          <w:szCs w:val="48"/>
          <w:lang w:val="en-US" w:eastAsia="zh-CN" w:bidi="ar-SA"/>
        </w:rPr>
        <w:t>鹏华沪深300指数证券投资基金(LOF)暂停大额申购、转换转入和定期定额投资业务的公告</w:t>
      </w:r>
    </w:p>
    <w:p w:rsidR="00007259" w:rsidRDefault="00007259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jc w:val="center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公告送出日期：2021年11月30日</w:t>
      </w:r>
    </w:p>
    <w:p w:rsidR="00007259" w:rsidRDefault="00007259">
      <w:pPr>
        <w:jc w:val="center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eastAsia="Times New Roman"/>
          <w:sz w:val="28"/>
          <w:szCs w:val="28"/>
          <w:lang w:val="en-US" w:eastAsia="zh-CN" w:bidi="ar-SA"/>
        </w:rPr>
        <w:lastRenderedPageBreak/>
        <w:t> </w:t>
      </w:r>
    </w:p>
    <w:p w:rsidR="00007259" w:rsidRDefault="00007259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007259" w:rsidRDefault="00007259">
      <w:pPr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1</w:t>
      </w:r>
      <w:bookmarkStart w:id="2" w:name="t_3_1_1_table"/>
      <w:bookmarkEnd w:id="2"/>
      <w:r>
        <w:rPr>
          <w:rFonts w:ascii="宋体" w:hAnsi="宋体" w:cs="宋体"/>
          <w:b/>
          <w:bCs/>
          <w:lang w:val="en-US" w:eastAsia="zh-CN" w:bidi="ar-SA"/>
        </w:rPr>
        <w:t xml:space="preserve"> 公告基本信息</w:t>
      </w:r>
    </w:p>
    <w:tbl>
      <w:tblPr>
        <w:tblW w:w="8208" w:type="dxa"/>
        <w:tblInd w:w="176" w:type="dxa"/>
        <w:tblCellMar>
          <w:left w:w="0" w:type="dxa"/>
          <w:right w:w="0" w:type="dxa"/>
        </w:tblCellMar>
        <w:tblLook w:val="04A0"/>
      </w:tblPr>
      <w:tblGrid>
        <w:gridCol w:w="3884"/>
        <w:gridCol w:w="2345"/>
        <w:gridCol w:w="1979"/>
      </w:tblGrid>
      <w:tr w:rsidR="00007259" w:rsidRPr="00007259" w:rsidTr="00007259"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基金名称</w:t>
            </w:r>
          </w:p>
        </w:tc>
        <w:tc>
          <w:tcPr>
            <w:tcW w:w="40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3" w:name="t_3_1_1_0009_a1_fm1"/>
            <w:bookmarkEnd w:id="3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鹏华沪深300指数证券投资基金(LOF)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基金简称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4" w:name="t_3_1_1_0011_a1_fm1"/>
            <w:bookmarkEnd w:id="4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鹏华沪深300指数（LOF）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基金主代码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5" w:name="t_1_1_0012_a1_fm1"/>
            <w:bookmarkEnd w:id="5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160615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基金管理人名称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6" w:name="t_3_1_1_0186_a1_fm1"/>
            <w:bookmarkEnd w:id="6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鹏华基金管理有限公司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公告依据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7" w:name="t_3_1_1_2631_a1_fm1"/>
            <w:bookmarkEnd w:id="7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《鹏华沪深300指数证券投资基金(LOF)基金合同》（以下简称“基金合同”）、《鹏华沪深300指数证券投资基金(LOF)招募说明书》及其更新（以下简称“招募说明书”）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vAlign w:val="center"/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暂停大额申购起始日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2021年12月01日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暂停大额转换转入起始日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2021年12月01日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暂停大额定期定额投资起始日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2021年12月01日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5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8" w:name="t_3_1_3_table"/>
            <w:bookmarkEnd w:id="8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暂停大额申购（转换转入、定期定额投资）的原因说明</w:t>
            </w:r>
          </w:p>
        </w:tc>
        <w:tc>
          <w:tcPr>
            <w:tcW w:w="4086" w:type="dxa"/>
            <w:gridSpan w:val="2"/>
            <w:tcBorders>
              <w:right w:val="single" w:sz="8" w:space="0" w:color="auto"/>
            </w:tcBorders>
            <w:tcMar>
              <w:top w:w="5" w:type="dxa"/>
              <w:left w:w="113" w:type="dxa"/>
              <w:bottom w:w="5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9" w:name="t_3_1_3_2805_a1_fm1"/>
            <w:bookmarkEnd w:id="9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保护基金份额持有人利益</w:t>
            </w:r>
          </w:p>
        </w:tc>
      </w:tr>
      <w:tr w:rsidR="00007259" w:rsidRPr="00007259" w:rsidTr="00007259">
        <w:tc>
          <w:tcPr>
            <w:tcW w:w="3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98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 </w:t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 </w:t>
            </w:r>
          </w:p>
        </w:tc>
      </w:tr>
      <w:tr w:rsidR="00007259" w:rsidRPr="00007259">
        <w:tc>
          <w:tcPr>
            <w:tcW w:w="367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5" w:type="dxa"/>
              <w:left w:w="98" w:type="dxa"/>
              <w:bottom w:w="8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下属份额类别的基金简称</w:t>
            </w:r>
          </w:p>
        </w:tc>
        <w:tc>
          <w:tcPr>
            <w:tcW w:w="2216" w:type="dxa"/>
            <w:tcBorders>
              <w:bottom w:val="single" w:sz="6" w:space="0" w:color="auto"/>
              <w:right w:val="single" w:sz="8" w:space="0" w:color="auto"/>
            </w:tcBorders>
            <w:tcMar>
              <w:top w:w="5" w:type="dxa"/>
              <w:left w:w="113" w:type="dxa"/>
              <w:bottom w:w="8" w:type="dxa"/>
              <w:right w:w="9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鹏华沪深300指数A类（LOF）</w:t>
            </w:r>
          </w:p>
        </w:tc>
        <w:tc>
          <w:tcPr>
            <w:tcW w:w="1860" w:type="dxa"/>
            <w:tcBorders>
              <w:bottom w:val="single" w:sz="6" w:space="0" w:color="auto"/>
              <w:right w:val="single" w:sz="8" w:space="0" w:color="auto"/>
            </w:tcBorders>
            <w:tcMar>
              <w:top w:w="5" w:type="dxa"/>
              <w:left w:w="5" w:type="dxa"/>
              <w:bottom w:w="8" w:type="dxa"/>
              <w:right w:w="10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鹏华沪深300指数C类（LOF）</w:t>
            </w:r>
          </w:p>
        </w:tc>
      </w:tr>
      <w:tr w:rsidR="00007259" w:rsidRPr="00007259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下属份额类别的基金代码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160615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006939</w:t>
            </w:r>
          </w:p>
        </w:tc>
      </w:tr>
      <w:tr w:rsidR="00007259" w:rsidRPr="00007259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该份额类别是否暂停大额申购（转换转入和定期定额投资）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是</w:t>
            </w:r>
          </w:p>
        </w:tc>
      </w:tr>
      <w:tr w:rsidR="00007259" w:rsidRPr="00007259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该份额类别的限制申购（转换转入和定期定额投资）金额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102" w:type="dxa"/>
              <w:bottom w:w="8" w:type="dxa"/>
              <w:right w:w="102" w:type="dxa"/>
            </w:tcMar>
            <w:hideMark/>
          </w:tcPr>
          <w:p w:rsidR="00007259" w:rsidRDefault="00007259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500,000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007259" w:rsidRDefault="00007259">
            <w:pPr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500,000</w:t>
            </w:r>
          </w:p>
        </w:tc>
      </w:tr>
    </w:tbl>
    <w:p w:rsidR="00007259" w:rsidRDefault="00007259">
      <w:pPr>
        <w:spacing w:line="360" w:lineRule="auto"/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 xml:space="preserve">2 </w:t>
      </w:r>
      <w:bookmarkStart w:id="10" w:name="t_3_2_table"/>
      <w:bookmarkEnd w:id="10"/>
      <w:r>
        <w:rPr>
          <w:rFonts w:ascii="宋体" w:hAnsi="宋体" w:cs="宋体"/>
          <w:b/>
          <w:bCs/>
          <w:lang w:val="en-US" w:eastAsia="zh-CN" w:bidi="ar-SA"/>
        </w:rPr>
        <w:t>其他需要提示的事项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bookmarkStart w:id="11" w:name="t_3_2_2646_a1_fm1"/>
      <w:bookmarkEnd w:id="11"/>
      <w:r>
        <w:rPr>
          <w:rFonts w:ascii="宋体" w:hAnsi="宋体" w:cs="宋体"/>
          <w:sz w:val="21"/>
          <w:szCs w:val="21"/>
          <w:lang w:val="en-US" w:eastAsia="zh-CN" w:bidi="ar-SA"/>
        </w:rPr>
        <w:t>（1）鹏华沪深300指数证券投资基金(LOF)（以下简称“本基金”）A类基金份额的所有销售机构及直销网点自2021年12月01日起，单日单个基金账户累计的申购、转换转入、定期定额投资金额限额设置为人民币50万元，如某笔申请将导致单日单个基金账户累计申购、转换转入、定期定额投资本基金A类基金份额金额超过人民币50万元（不含50万元），本基金管理人将有权拒绝该笔申请。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本基金C类基金份额的所有销售机构及直销网点自2021年1</w:t>
      </w:r>
      <w:r>
        <w:rPr>
          <w:rFonts w:ascii="宋体" w:hAnsi="宋体" w:cs="宋体" w:hint="eastAsia"/>
          <w:sz w:val="21"/>
          <w:szCs w:val="21"/>
          <w:lang w:val="en-US" w:bidi="ar-SA"/>
        </w:rPr>
        <w:t>2</w:t>
      </w:r>
      <w:r>
        <w:rPr>
          <w:rFonts w:ascii="宋体" w:hAnsi="宋体" w:cs="宋体"/>
          <w:sz w:val="21"/>
          <w:szCs w:val="21"/>
          <w:lang w:val="en-US" w:eastAsia="zh-CN" w:bidi="ar-SA"/>
        </w:rPr>
        <w:t>月0</w:t>
      </w:r>
      <w:r>
        <w:rPr>
          <w:rFonts w:ascii="宋体" w:hAnsi="宋体" w:cs="宋体" w:hint="eastAsia"/>
          <w:sz w:val="21"/>
          <w:szCs w:val="21"/>
          <w:lang w:val="en-US" w:bidi="ar-SA"/>
        </w:rPr>
        <w:t>1</w:t>
      </w:r>
      <w:r>
        <w:rPr>
          <w:rFonts w:ascii="宋体" w:hAnsi="宋体" w:cs="宋体"/>
          <w:sz w:val="21"/>
          <w:szCs w:val="21"/>
          <w:lang w:val="en-US" w:eastAsia="zh-CN" w:bidi="ar-SA"/>
        </w:rPr>
        <w:t>日起，单日单个基金账户累计的申购、转换转入、定期定额投资金额限额设置为人民币50万元，如某笔申请将导致单日单个基金账户累计申购、转换转入、定期定额投资本基金C类基金份额金额超过人民币50万元（不含50万元），本基金管理人将有权拒绝该笔申请。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（2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（3）投资者可登录本基金管理人网站（www.phfund.com），或拨打客户服务电话（400-6788-533）咨询相关信息。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lastRenderedPageBreak/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007259" w:rsidRDefault="00007259">
      <w:pPr>
        <w:spacing w:line="360" w:lineRule="auto"/>
        <w:ind w:firstLine="440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特此公告。</w:t>
      </w:r>
    </w:p>
    <w:p w:rsidR="00007259" w:rsidRDefault="00007259">
      <w:pPr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鹏华基金管理有限公司</w:t>
      </w:r>
    </w:p>
    <w:p w:rsidR="00007259" w:rsidRDefault="00007259">
      <w:pPr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2021年11月30日</w:t>
      </w: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7259"/>
    <w:rsid w:val="004B3593"/>
    <w:rsid w:val="00617B0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cp:lastModifiedBy>ZHONGM</cp:lastModifiedBy>
  <cp:revision>2</cp:revision>
  <cp:lastPrinted>2021-11-29T07:20:00Z</cp:lastPrinted>
  <dcterms:created xsi:type="dcterms:W3CDTF">2021-11-29T16:04:00Z</dcterms:created>
  <dcterms:modified xsi:type="dcterms:W3CDTF">2021-11-29T16:04:00Z</dcterms:modified>
</cp:coreProperties>
</file>