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C" w:rsidRDefault="00F65A68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 w:cs="宋体"/>
          <w:color w:val="202020"/>
          <w:spacing w:val="1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</w:rPr>
        <w:t>朱雀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基金管理有限公司关于旗下部分基金</w:t>
      </w:r>
    </w:p>
    <w:p w:rsidR="00534F7C" w:rsidRDefault="00F65A68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/>
          <w:color w:val="000000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  <w:lang/>
        </w:rPr>
        <w:t>获配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非公开发行股</w:t>
      </w:r>
      <w:r>
        <w:rPr>
          <w:rFonts w:ascii="宋体" w:eastAsia="宋体" w:hAnsi="宋体" w:cs="宋体"/>
          <w:color w:val="202020"/>
          <w:spacing w:val="2"/>
          <w:sz w:val="28"/>
          <w:szCs w:val="22"/>
        </w:rPr>
        <w:t>票的公告</w:t>
      </w:r>
    </w:p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000000"/>
          <w:szCs w:val="22"/>
        </w:rPr>
        <w:t>朱雀</w:t>
      </w:r>
      <w:r>
        <w:rPr>
          <w:rFonts w:ascii="宋体" w:eastAsia="宋体" w:hAnsi="宋体" w:cs="宋体"/>
          <w:color w:val="000000"/>
          <w:szCs w:val="22"/>
        </w:rPr>
        <w:t>基金管理有限公司</w:t>
      </w:r>
      <w:r>
        <w:rPr>
          <w:rFonts w:ascii="宋体" w:eastAsia="宋体" w:hAnsi="宋体"/>
          <w:color w:val="000000"/>
          <w:spacing w:val="-1"/>
          <w:szCs w:val="22"/>
        </w:rPr>
        <w:t>(</w:t>
      </w:r>
      <w:r>
        <w:rPr>
          <w:rFonts w:ascii="宋体" w:eastAsia="宋体" w:hAnsi="宋体" w:cs="宋体"/>
          <w:color w:val="000000"/>
          <w:spacing w:val="1"/>
          <w:szCs w:val="22"/>
        </w:rPr>
        <w:t>以下称</w:t>
      </w:r>
      <w:r>
        <w:rPr>
          <w:rFonts w:ascii="宋体" w:eastAsia="宋体" w:hAnsi="宋体"/>
          <w:color w:val="000000"/>
          <w:spacing w:val="-1"/>
          <w:szCs w:val="22"/>
        </w:rPr>
        <w:t>“</w:t>
      </w:r>
      <w:r>
        <w:rPr>
          <w:rFonts w:ascii="宋体" w:eastAsia="宋体" w:hAnsi="宋体" w:cs="宋体"/>
          <w:color w:val="000000"/>
          <w:spacing w:val="2"/>
          <w:szCs w:val="22"/>
        </w:rPr>
        <w:t>本公司</w:t>
      </w:r>
      <w:r>
        <w:rPr>
          <w:rFonts w:ascii="宋体" w:eastAsia="宋体" w:hAnsi="宋体"/>
          <w:color w:val="000000"/>
          <w:spacing w:val="-1"/>
          <w:szCs w:val="22"/>
        </w:rPr>
        <w:t>”)</w:t>
      </w:r>
      <w:r>
        <w:rPr>
          <w:rFonts w:ascii="宋体" w:eastAsia="宋体" w:hAnsi="宋体" w:cs="宋体"/>
          <w:color w:val="000000"/>
          <w:szCs w:val="22"/>
        </w:rPr>
        <w:t>所管理的</w:t>
      </w:r>
      <w:r>
        <w:rPr>
          <w:rFonts w:ascii="宋体" w:eastAsia="宋体" w:hAnsi="宋体" w:cs="宋体" w:hint="eastAsia"/>
          <w:color w:val="000000"/>
          <w:szCs w:val="22"/>
        </w:rPr>
        <w:t>朱雀产业臻选混合</w:t>
      </w:r>
      <w:r>
        <w:rPr>
          <w:rFonts w:ascii="宋体" w:eastAsia="宋体" w:hAnsi="宋体" w:cs="宋体"/>
          <w:color w:val="000000"/>
          <w:spacing w:val="4"/>
          <w:szCs w:val="22"/>
        </w:rPr>
        <w:t>型证券投资基金、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朱雀产业智选混合型证券投资基金、朱雀恒心一年持有期混合型证券投资基金</w:t>
      </w:r>
      <w:r>
        <w:rPr>
          <w:rFonts w:ascii="宋体" w:eastAsia="宋体" w:hAnsi="宋体" w:cs="宋体"/>
          <w:color w:val="000000"/>
          <w:spacing w:val="-3"/>
          <w:szCs w:val="22"/>
        </w:rPr>
        <w:t>、</w:t>
      </w:r>
      <w:r>
        <w:rPr>
          <w:rFonts w:ascii="宋体" w:eastAsia="宋体" w:hAnsi="宋体" w:cs="宋体" w:hint="eastAsia"/>
          <w:color w:val="000000"/>
          <w:spacing w:val="-3"/>
          <w:szCs w:val="22"/>
        </w:rPr>
        <w:t>朱雀企业优选股票型证券投资基金、朱雀匠心一年持有期混合型证券投资基金、朱雀企业优胜股票</w:t>
      </w:r>
      <w:r>
        <w:rPr>
          <w:rFonts w:ascii="宋体" w:eastAsia="宋体" w:hAnsi="宋体" w:cs="宋体"/>
          <w:color w:val="000000"/>
          <w:spacing w:val="-3"/>
          <w:szCs w:val="22"/>
        </w:rPr>
        <w:t>型证券投资基金</w:t>
      </w:r>
      <w:r>
        <w:rPr>
          <w:rFonts w:ascii="宋体" w:eastAsia="宋体" w:hAnsi="宋体" w:cs="宋体"/>
          <w:color w:val="000000"/>
          <w:spacing w:val="4"/>
          <w:szCs w:val="22"/>
        </w:rPr>
        <w:t>参加了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欣旺达电子股份有限公司（股票简称：欣旺达，代码：3</w:t>
      </w:r>
      <w:r>
        <w:rPr>
          <w:rFonts w:ascii="宋体" w:eastAsia="宋体" w:hAnsi="宋体" w:cs="宋体"/>
          <w:color w:val="000000"/>
          <w:spacing w:val="4"/>
          <w:szCs w:val="22"/>
        </w:rPr>
        <w:t>00207）非公开发行股票的认</w:t>
      </w:r>
      <w:r>
        <w:rPr>
          <w:rFonts w:ascii="宋体" w:eastAsia="宋体" w:hAnsi="宋体" w:cs="宋体"/>
          <w:color w:val="000000"/>
          <w:spacing w:val="-2"/>
          <w:szCs w:val="22"/>
        </w:rPr>
        <w:t>购。</w:t>
      </w:r>
      <w:r>
        <w:rPr>
          <w:rFonts w:ascii="宋体" w:eastAsia="宋体" w:hAnsi="宋体" w:cs="宋体" w:hint="eastAsia"/>
          <w:color w:val="000000"/>
          <w:spacing w:val="-2"/>
          <w:szCs w:val="22"/>
          <w:lang/>
        </w:rPr>
        <w:t>且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欣旺达电子股份有限公司</w:t>
      </w:r>
      <w:r>
        <w:rPr>
          <w:rFonts w:ascii="宋体" w:eastAsia="宋体" w:hAnsi="宋体" w:cs="宋体"/>
          <w:color w:val="000000"/>
          <w:spacing w:val="-2"/>
          <w:szCs w:val="22"/>
        </w:rPr>
        <w:t>已于</w:t>
      </w:r>
      <w:r>
        <w:rPr>
          <w:rFonts w:ascii="宋体" w:eastAsia="宋体" w:hAnsi="宋体"/>
          <w:color w:val="000000"/>
          <w:spacing w:val="3"/>
          <w:szCs w:val="22"/>
        </w:rPr>
        <w:t xml:space="preserve"> </w:t>
      </w:r>
      <w:r>
        <w:rPr>
          <w:rFonts w:ascii="宋体" w:eastAsia="宋体" w:hAnsi="宋体"/>
          <w:color w:val="000000"/>
          <w:szCs w:val="22"/>
        </w:rPr>
        <w:t>2021</w:t>
      </w:r>
      <w:r>
        <w:rPr>
          <w:rFonts w:ascii="宋体" w:eastAsia="宋体" w:hAnsi="宋体" w:cs="宋体"/>
          <w:color w:val="000000"/>
          <w:szCs w:val="22"/>
        </w:rPr>
        <w:t>年</w:t>
      </w:r>
      <w:r w:rsidR="008A4CD1">
        <w:rPr>
          <w:rFonts w:ascii="宋体" w:eastAsia="宋体" w:hAnsi="宋体"/>
          <w:color w:val="000000"/>
          <w:szCs w:val="22"/>
        </w:rPr>
        <w:t>11</w:t>
      </w:r>
      <w:r>
        <w:rPr>
          <w:rFonts w:ascii="宋体" w:eastAsia="宋体" w:hAnsi="宋体" w:cs="宋体"/>
          <w:color w:val="000000"/>
          <w:szCs w:val="22"/>
        </w:rPr>
        <w:t>月</w:t>
      </w:r>
      <w:r w:rsidR="008A4CD1">
        <w:rPr>
          <w:rFonts w:ascii="宋体" w:eastAsia="宋体" w:hAnsi="宋体"/>
          <w:color w:val="000000"/>
          <w:szCs w:val="22"/>
        </w:rPr>
        <w:t>24</w:t>
      </w:r>
      <w:r>
        <w:rPr>
          <w:rFonts w:ascii="宋体" w:eastAsia="宋体" w:hAnsi="宋体" w:cs="宋体"/>
          <w:color w:val="000000"/>
          <w:spacing w:val="-6"/>
          <w:szCs w:val="22"/>
        </w:rPr>
        <w:t>日发布了《</w:t>
      </w:r>
      <w:r>
        <w:rPr>
          <w:rFonts w:ascii="宋体" w:eastAsia="宋体" w:hAnsi="宋体" w:cs="宋体" w:hint="eastAsia"/>
          <w:color w:val="000000"/>
          <w:spacing w:val="-6"/>
          <w:szCs w:val="22"/>
        </w:rPr>
        <w:t>向特定对象发行</w:t>
      </w:r>
      <w:r w:rsidR="008A4CD1">
        <w:rPr>
          <w:rFonts w:ascii="宋体" w:eastAsia="宋体" w:hAnsi="宋体" w:cs="宋体" w:hint="eastAsia"/>
          <w:color w:val="000000"/>
          <w:spacing w:val="-6"/>
          <w:szCs w:val="22"/>
        </w:rPr>
        <w:t>股票</w:t>
      </w:r>
      <w:r>
        <w:rPr>
          <w:rFonts w:ascii="宋体" w:eastAsia="宋体" w:hAnsi="宋体" w:cs="宋体" w:hint="eastAsia"/>
          <w:color w:val="000000"/>
          <w:spacing w:val="-6"/>
          <w:szCs w:val="22"/>
        </w:rPr>
        <w:t>上市公告书</w:t>
      </w:r>
      <w:r>
        <w:rPr>
          <w:rFonts w:ascii="宋体" w:eastAsia="宋体" w:hAnsi="宋体" w:cs="宋体"/>
          <w:color w:val="000000"/>
          <w:spacing w:val="-3"/>
          <w:szCs w:val="22"/>
        </w:rPr>
        <w:t>》，公布</w:t>
      </w:r>
      <w:r>
        <w:rPr>
          <w:rFonts w:ascii="宋体" w:eastAsia="宋体" w:hAnsi="宋体" w:cs="宋体"/>
          <w:color w:val="000000"/>
          <w:szCs w:val="22"/>
        </w:rPr>
        <w:t>了本次非公开发行结果。</w:t>
      </w:r>
    </w:p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根据中国</w:t>
      </w:r>
      <w:r>
        <w:rPr>
          <w:rFonts w:ascii="宋体" w:eastAsia="宋体" w:hAnsi="宋体" w:cs="宋体" w:hint="eastAsia"/>
          <w:color w:val="000000"/>
          <w:szCs w:val="22"/>
        </w:rPr>
        <w:t>证券监督管理委员会</w:t>
      </w:r>
      <w:r>
        <w:rPr>
          <w:rFonts w:ascii="宋体" w:eastAsia="宋体" w:hAnsi="宋体" w:cs="宋体"/>
          <w:color w:val="000000"/>
          <w:szCs w:val="22"/>
        </w:rPr>
        <w:t>《公开募集证券投资基金信息披露管理办法》、《关于基金投资非公开发行股票等流通受限证券有关问题的通知》等有关规定，</w:t>
      </w:r>
      <w:r>
        <w:rPr>
          <w:rFonts w:ascii="宋体" w:eastAsia="宋体" w:hAnsi="宋体" w:cs="宋体" w:hint="eastAsia"/>
          <w:color w:val="000000"/>
          <w:szCs w:val="22"/>
          <w:lang/>
        </w:rPr>
        <w:t>本公司现将旗下部分</w:t>
      </w:r>
      <w:r>
        <w:rPr>
          <w:rFonts w:ascii="宋体" w:eastAsia="宋体" w:hAnsi="宋体" w:cs="宋体"/>
          <w:color w:val="000000"/>
          <w:szCs w:val="22"/>
        </w:rPr>
        <w:t>基金获配非公开发行股票情况披露如下：</w:t>
      </w:r>
    </w:p>
    <w:p w:rsidR="00534F7C" w:rsidRDefault="00534F7C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</w:p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朱雀产业臻选混合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431900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59,996,610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84121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0.</w:t>
            </w:r>
            <w:r w:rsidR="00303926">
              <w:rPr>
                <w:rFonts w:ascii="宋体" w:eastAsia="宋体" w:hAnsi="宋体" w:cs="宋体"/>
                <w:color w:val="000000"/>
                <w:szCs w:val="22"/>
              </w:rPr>
              <w:t>90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534F7C" w:rsidRPr="007429C2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7429C2">
              <w:rPr>
                <w:rFonts w:ascii="宋体" w:eastAsia="宋体" w:hAnsi="宋体" w:cs="宋体" w:hint="eastAsia"/>
                <w:color w:val="000000"/>
                <w:szCs w:val="22"/>
              </w:rPr>
              <w:t>62,001,270.00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.93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朱雀产业智选混合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57500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6,599,250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.95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303926">
              <w:rPr>
                <w:rFonts w:ascii="宋体" w:eastAsia="宋体" w:hAnsi="宋体" w:cs="宋体"/>
                <w:color w:val="000000"/>
                <w:szCs w:val="22"/>
              </w:rPr>
              <w:t>6,819,750.00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.98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朱雀恒心一年持有期混合型证券投资基金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pacing w:val="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1,766,100.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pacing w:val="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73,999,590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lastRenderedPageBreak/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.84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303926">
              <w:rPr>
                <w:rFonts w:ascii="宋体" w:eastAsia="宋体" w:hAnsi="宋体" w:cs="宋体"/>
                <w:color w:val="000000"/>
                <w:szCs w:val="22"/>
              </w:rPr>
              <w:t>76,472,130.00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.87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3"/>
              </w:rPr>
              <w:t>朱雀企业优选股票型证券投资基金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1,145,500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>47,996,450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</w:t>
            </w:r>
            <w:r>
              <w:rPr>
                <w:rFonts w:ascii="宋体" w:eastAsia="宋体" w:hAnsi="宋体" w:cs="宋体"/>
                <w:color w:val="000000"/>
              </w:rPr>
              <w:t>.96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账面价值（元）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</w:rPr>
            </w:pPr>
            <w:r w:rsidRPr="00303926">
              <w:rPr>
                <w:rFonts w:ascii="宋体" w:eastAsia="宋体" w:hAnsi="宋体" w:cs="宋体"/>
                <w:color w:val="000000"/>
              </w:rPr>
              <w:t>49,600,150.00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bookmarkStart w:id="0" w:name="_Hlk70067123"/>
            <w:r>
              <w:rPr>
                <w:rFonts w:ascii="宋体" w:eastAsia="宋体" w:hAnsi="宋体" w:cs="宋体" w:hint="eastAsia"/>
                <w:color w:val="000000"/>
                <w:spacing w:val="-3"/>
                <w:szCs w:val="22"/>
              </w:rPr>
              <w:t>朱雀匠心一年持有期混合型证券投资基金</w:t>
            </w:r>
            <w:bookmarkEnd w:id="0"/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572,700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23,996,130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.84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303926">
              <w:rPr>
                <w:rFonts w:ascii="宋体" w:eastAsia="宋体" w:hAnsi="宋体" w:cs="宋体"/>
                <w:color w:val="000000"/>
                <w:szCs w:val="22"/>
              </w:rPr>
              <w:t>24,797,910.00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.87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534F7C" w:rsidRDefault="00534F7C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3"/>
                <w:szCs w:val="22"/>
              </w:rPr>
              <w:t>朱雀企业优胜股票型证券投资基金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欣旺达（</w:t>
            </w: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300207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）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381,800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15,997,420</w:t>
            </w:r>
            <w:r w:rsidR="003A37EF" w:rsidRPr="00303926"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.90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303926">
              <w:rPr>
                <w:rFonts w:ascii="宋体" w:eastAsia="宋体" w:hAnsi="宋体" w:cs="宋体"/>
                <w:color w:val="000000"/>
                <w:szCs w:val="22"/>
              </w:rPr>
              <w:t>16,531,940.00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534F7C" w:rsidRDefault="00303926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.93</w:t>
            </w:r>
          </w:p>
        </w:tc>
      </w:tr>
      <w:tr w:rsidR="00534F7C"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534F7C" w:rsidRDefault="00F65A68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534F7C" w:rsidRDefault="00534F7C"/>
    <w:p w:rsidR="00534F7C" w:rsidRDefault="00F65A68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注：基金</w:t>
      </w:r>
      <w:r>
        <w:rPr>
          <w:rFonts w:ascii="宋体" w:eastAsia="宋体" w:hAnsi="宋体" w:cs="宋体" w:hint="eastAsia"/>
          <w:color w:val="000000"/>
          <w:szCs w:val="22"/>
        </w:rPr>
        <w:t>净</w:t>
      </w:r>
      <w:r>
        <w:rPr>
          <w:rFonts w:ascii="宋体" w:eastAsia="宋体" w:hAnsi="宋体" w:cs="宋体"/>
          <w:color w:val="000000"/>
          <w:szCs w:val="22"/>
        </w:rPr>
        <w:t>资产、账面价值为 2021年</w:t>
      </w:r>
      <w:r w:rsidR="00303926">
        <w:rPr>
          <w:rFonts w:ascii="宋体" w:eastAsia="宋体" w:hAnsi="宋体" w:cs="宋体"/>
          <w:color w:val="000000"/>
          <w:szCs w:val="22"/>
        </w:rPr>
        <w:t>11</w:t>
      </w:r>
      <w:r>
        <w:rPr>
          <w:rFonts w:ascii="宋体" w:eastAsia="宋体" w:hAnsi="宋体" w:cs="宋体"/>
          <w:color w:val="000000"/>
          <w:szCs w:val="22"/>
        </w:rPr>
        <w:t>月</w:t>
      </w:r>
      <w:r w:rsidR="00303926">
        <w:rPr>
          <w:rFonts w:ascii="宋体" w:eastAsia="宋体" w:hAnsi="宋体" w:cs="宋体"/>
          <w:color w:val="000000"/>
          <w:szCs w:val="22"/>
        </w:rPr>
        <w:t>24</w:t>
      </w:r>
      <w:r>
        <w:rPr>
          <w:rFonts w:ascii="宋体" w:eastAsia="宋体" w:hAnsi="宋体" w:cs="宋体"/>
          <w:color w:val="000000"/>
          <w:szCs w:val="22"/>
        </w:rPr>
        <w:t>日数据。</w:t>
      </w:r>
    </w:p>
    <w:p w:rsidR="00534F7C" w:rsidRDefault="00F65A6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投资者可以登录本公司网站</w:t>
      </w:r>
      <w:r>
        <w:rPr>
          <w:rFonts w:ascii="宋体" w:eastAsia="宋体" w:hAnsi="宋体" w:cs="宋体" w:hint="eastAsia"/>
          <w:color w:val="000000"/>
          <w:szCs w:val="22"/>
        </w:rPr>
        <w:t>（</w:t>
      </w:r>
      <w:hyperlink r:id="rId7" w:history="1">
        <w:r>
          <w:rPr>
            <w:rStyle w:val="a8"/>
            <w:rFonts w:ascii="宋体" w:eastAsia="宋体" w:hAnsi="宋体" w:cs="宋体" w:hint="eastAsia"/>
            <w:szCs w:val="22"/>
          </w:rPr>
          <w:t>www.rosefinchfund.com</w:t>
        </w:r>
      </w:hyperlink>
      <w:r>
        <w:rPr>
          <w:rFonts w:ascii="宋体" w:eastAsia="宋体" w:hAnsi="宋体" w:cs="宋体" w:hint="eastAsia"/>
          <w:color w:val="000000"/>
          <w:szCs w:val="22"/>
        </w:rPr>
        <w:t>）</w:t>
      </w:r>
      <w:r>
        <w:rPr>
          <w:rFonts w:ascii="宋体" w:eastAsia="宋体" w:hAnsi="宋体" w:cs="宋体"/>
          <w:color w:val="000000"/>
          <w:szCs w:val="22"/>
        </w:rPr>
        <w:t>或拨打客服热线（</w:t>
      </w:r>
      <w:r>
        <w:t>400-921-7211</w:t>
      </w:r>
      <w:r>
        <w:rPr>
          <w:rFonts w:ascii="宋体" w:eastAsia="宋体" w:hAnsi="宋体" w:cs="宋体"/>
          <w:color w:val="000000"/>
          <w:szCs w:val="22"/>
        </w:rPr>
        <w:t>）咨询相关情况。</w:t>
      </w:r>
    </w:p>
    <w:p w:rsidR="00534F7C" w:rsidRDefault="00F65A68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特此公告。</w:t>
      </w:r>
    </w:p>
    <w:p w:rsidR="00534F7C" w:rsidRDefault="00F65A68">
      <w:pPr>
        <w:spacing w:before="218" w:line="360" w:lineRule="auto"/>
        <w:contextualSpacing/>
        <w:jc w:val="right"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202020"/>
          <w:szCs w:val="22"/>
        </w:rPr>
        <w:t>朱雀</w:t>
      </w:r>
      <w:r>
        <w:rPr>
          <w:rFonts w:ascii="宋体" w:eastAsia="宋体" w:hAnsi="宋体" w:cs="宋体"/>
          <w:color w:val="202020"/>
          <w:szCs w:val="22"/>
        </w:rPr>
        <w:t>基金管理有限公司</w:t>
      </w:r>
    </w:p>
    <w:p w:rsidR="00534F7C" w:rsidRDefault="00F65A68">
      <w:pPr>
        <w:spacing w:before="211" w:line="360" w:lineRule="auto"/>
        <w:contextualSpacing/>
        <w:jc w:val="right"/>
        <w:rPr>
          <w:rFonts w:ascii="宋体" w:eastAsia="宋体" w:hAnsi="宋体"/>
          <w:color w:val="000000"/>
          <w:szCs w:val="22"/>
          <w:lang w:eastAsia="en-US"/>
        </w:rPr>
      </w:pPr>
      <w:r w:rsidRPr="00835A69">
        <w:rPr>
          <w:rFonts w:ascii="宋体" w:eastAsia="宋体" w:hAnsi="宋体"/>
          <w:color w:val="202020"/>
          <w:szCs w:val="22"/>
          <w:lang w:eastAsia="en-US"/>
        </w:rPr>
        <w:t>2021</w:t>
      </w:r>
      <w:r w:rsidRPr="00835A69">
        <w:rPr>
          <w:rFonts w:ascii="宋体" w:eastAsia="宋体" w:hAnsi="宋体"/>
          <w:color w:val="202020"/>
          <w:spacing w:val="1"/>
          <w:szCs w:val="22"/>
          <w:lang w:eastAsia="en-US"/>
        </w:rPr>
        <w:t xml:space="preserve"> 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年</w:t>
      </w:r>
      <w:r w:rsidR="00835A69" w:rsidRPr="00835A69">
        <w:rPr>
          <w:rFonts w:ascii="宋体" w:eastAsia="宋体" w:hAnsi="宋体" w:cs="宋体"/>
          <w:color w:val="202020"/>
          <w:szCs w:val="22"/>
        </w:rPr>
        <w:t>11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月</w:t>
      </w:r>
      <w:r w:rsidR="00835A69" w:rsidRPr="00835A69">
        <w:rPr>
          <w:rFonts w:ascii="宋体" w:eastAsia="宋体" w:hAnsi="宋体"/>
          <w:color w:val="202020"/>
          <w:szCs w:val="22"/>
          <w:lang w:eastAsia="en-US"/>
        </w:rPr>
        <w:t>26</w:t>
      </w:r>
      <w:r w:rsidRPr="00835A69">
        <w:rPr>
          <w:rFonts w:ascii="宋体" w:eastAsia="宋体" w:hAnsi="宋体" w:cs="宋体"/>
          <w:color w:val="202020"/>
          <w:szCs w:val="22"/>
          <w:lang w:eastAsia="en-US"/>
        </w:rPr>
        <w:t>日</w:t>
      </w:r>
      <w:bookmarkStart w:id="1" w:name="_GoBack"/>
      <w:bookmarkEnd w:id="1"/>
    </w:p>
    <w:p w:rsidR="00534F7C" w:rsidRDefault="00534F7C"/>
    <w:sectPr w:rsidR="00534F7C" w:rsidSect="000E3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FB" w:rsidRDefault="00F00DFB" w:rsidP="008A4CD1">
      <w:r>
        <w:separator/>
      </w:r>
    </w:p>
  </w:endnote>
  <w:endnote w:type="continuationSeparator" w:id="0">
    <w:p w:rsidR="00F00DFB" w:rsidRDefault="00F00DFB" w:rsidP="008A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FB" w:rsidRDefault="00F00DFB" w:rsidP="008A4CD1">
      <w:r>
        <w:separator/>
      </w:r>
    </w:p>
  </w:footnote>
  <w:footnote w:type="continuationSeparator" w:id="0">
    <w:p w:rsidR="00F00DFB" w:rsidRDefault="00F00DFB" w:rsidP="008A4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41"/>
    <w:rsid w:val="B77205F7"/>
    <w:rsid w:val="BDFFFC01"/>
    <w:rsid w:val="EDAF9E9D"/>
    <w:rsid w:val="F3A9B3EA"/>
    <w:rsid w:val="FFA4B414"/>
    <w:rsid w:val="00007C78"/>
    <w:rsid w:val="000438AF"/>
    <w:rsid w:val="000A0076"/>
    <w:rsid w:val="000A4951"/>
    <w:rsid w:val="000E34E7"/>
    <w:rsid w:val="000F385C"/>
    <w:rsid w:val="00103D75"/>
    <w:rsid w:val="001C2B52"/>
    <w:rsid w:val="001C32FF"/>
    <w:rsid w:val="001D424D"/>
    <w:rsid w:val="001E1059"/>
    <w:rsid w:val="001F59F2"/>
    <w:rsid w:val="002A5715"/>
    <w:rsid w:val="00303926"/>
    <w:rsid w:val="00304CFD"/>
    <w:rsid w:val="00320B8B"/>
    <w:rsid w:val="00331C26"/>
    <w:rsid w:val="00384121"/>
    <w:rsid w:val="003A37EF"/>
    <w:rsid w:val="003A4E3A"/>
    <w:rsid w:val="004101FF"/>
    <w:rsid w:val="00411341"/>
    <w:rsid w:val="0047325F"/>
    <w:rsid w:val="0049057D"/>
    <w:rsid w:val="004C3315"/>
    <w:rsid w:val="004C79CA"/>
    <w:rsid w:val="00534F7C"/>
    <w:rsid w:val="00654EC3"/>
    <w:rsid w:val="00671298"/>
    <w:rsid w:val="00676B5A"/>
    <w:rsid w:val="006F7A94"/>
    <w:rsid w:val="007429C2"/>
    <w:rsid w:val="007851EB"/>
    <w:rsid w:val="00835A69"/>
    <w:rsid w:val="00892392"/>
    <w:rsid w:val="008A4CD1"/>
    <w:rsid w:val="008F1A1D"/>
    <w:rsid w:val="0099334C"/>
    <w:rsid w:val="00A509D9"/>
    <w:rsid w:val="00A81EF9"/>
    <w:rsid w:val="00AC3279"/>
    <w:rsid w:val="00B330A0"/>
    <w:rsid w:val="00B8490C"/>
    <w:rsid w:val="00C26236"/>
    <w:rsid w:val="00C57FD2"/>
    <w:rsid w:val="00D2144E"/>
    <w:rsid w:val="00DD0F96"/>
    <w:rsid w:val="00DE17A3"/>
    <w:rsid w:val="00DF787E"/>
    <w:rsid w:val="00F00DFB"/>
    <w:rsid w:val="00F2144D"/>
    <w:rsid w:val="00F65A68"/>
    <w:rsid w:val="2BBBBE20"/>
    <w:rsid w:val="2FFE9C8A"/>
    <w:rsid w:val="57FF8E4B"/>
    <w:rsid w:val="5FDEE448"/>
    <w:rsid w:val="7E4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4E7"/>
    <w:rPr>
      <w:b/>
      <w:bCs/>
    </w:rPr>
  </w:style>
  <w:style w:type="paragraph" w:styleId="a4">
    <w:name w:val="annotation text"/>
    <w:basedOn w:val="a"/>
    <w:link w:val="Char0"/>
    <w:qFormat/>
    <w:rsid w:val="000E34E7"/>
  </w:style>
  <w:style w:type="paragraph" w:styleId="a5">
    <w:name w:val="Balloon Text"/>
    <w:basedOn w:val="a"/>
    <w:link w:val="Char1"/>
    <w:uiPriority w:val="99"/>
    <w:unhideWhenUsed/>
    <w:qFormat/>
    <w:rsid w:val="000E34E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E34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E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0E34E7"/>
    <w:rPr>
      <w:color w:val="0563C1" w:themeColor="hyperlink"/>
      <w:u w:val="single"/>
    </w:rPr>
  </w:style>
  <w:style w:type="character" w:styleId="a9">
    <w:name w:val="annotation reference"/>
    <w:basedOn w:val="a0"/>
    <w:qFormat/>
    <w:rsid w:val="000E34E7"/>
    <w:rPr>
      <w:sz w:val="21"/>
      <w:szCs w:val="21"/>
    </w:rPr>
  </w:style>
  <w:style w:type="table" w:styleId="aa">
    <w:name w:val="Table Grid"/>
    <w:basedOn w:val="a1"/>
    <w:uiPriority w:val="39"/>
    <w:qFormat/>
    <w:rsid w:val="000E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qFormat/>
    <w:rsid w:val="000E34E7"/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E34E7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4E7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1">
    <w:name w:val="未处理的提及1"/>
    <w:basedOn w:val="a0"/>
    <w:uiPriority w:val="99"/>
    <w:unhideWhenUsed/>
    <w:qFormat/>
    <w:rsid w:val="000E34E7"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uiPriority w:val="99"/>
    <w:qFormat/>
    <w:rsid w:val="000E34E7"/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E34E7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99"/>
    <w:rsid w:val="003A37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finch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4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SHAN</dc:creator>
  <cp:lastModifiedBy>ZHONGM</cp:lastModifiedBy>
  <cp:revision>2</cp:revision>
  <dcterms:created xsi:type="dcterms:W3CDTF">2021-11-25T16:01:00Z</dcterms:created>
  <dcterms:modified xsi:type="dcterms:W3CDTF">2021-11-25T16:01:00Z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