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505E7">
      <w:pPr>
        <w:spacing w:line="400" w:lineRule="exact"/>
        <w:jc w:val="center"/>
        <w:rPr>
          <w:rStyle w:val="da"/>
          <w:rFonts w:ascii="宋体" w:hAnsi="宋体"/>
          <w:b/>
          <w:bCs/>
        </w:rPr>
      </w:pPr>
    </w:p>
    <w:p w:rsidR="00000000" w:rsidRDefault="009505E7">
      <w:pPr>
        <w:spacing w:line="360" w:lineRule="auto"/>
        <w:jc w:val="center"/>
        <w:rPr>
          <w:rStyle w:val="da"/>
          <w:rFonts w:ascii="宋体" w:hAnsi="宋体" w:hint="eastAsia"/>
          <w:b/>
          <w:bCs/>
          <w:sz w:val="28"/>
          <w:szCs w:val="28"/>
        </w:rPr>
      </w:pPr>
      <w:r>
        <w:rPr>
          <w:rStyle w:val="da"/>
          <w:rFonts w:ascii="宋体" w:hAnsi="宋体"/>
          <w:b/>
          <w:bCs/>
          <w:sz w:val="28"/>
          <w:szCs w:val="28"/>
        </w:rPr>
        <w:t>东吴基金管理有限公司</w:t>
      </w:r>
      <w:r>
        <w:rPr>
          <w:rStyle w:val="da"/>
          <w:rFonts w:ascii="宋体" w:hAnsi="宋体" w:hint="eastAsia"/>
          <w:b/>
          <w:bCs/>
          <w:sz w:val="28"/>
          <w:szCs w:val="28"/>
        </w:rPr>
        <w:t>关于旗下</w:t>
      </w:r>
      <w:r>
        <w:rPr>
          <w:rStyle w:val="da"/>
          <w:rFonts w:ascii="宋体" w:hAnsi="宋体" w:hint="eastAsia"/>
          <w:b/>
          <w:bCs/>
          <w:sz w:val="28"/>
          <w:szCs w:val="28"/>
        </w:rPr>
        <w:t>部分</w:t>
      </w:r>
      <w:r>
        <w:rPr>
          <w:rStyle w:val="da"/>
          <w:rFonts w:ascii="宋体" w:hAnsi="宋体" w:hint="eastAsia"/>
          <w:b/>
          <w:bCs/>
          <w:sz w:val="28"/>
          <w:szCs w:val="28"/>
        </w:rPr>
        <w:t>基金</w:t>
      </w:r>
      <w:r>
        <w:rPr>
          <w:rStyle w:val="da"/>
          <w:rFonts w:ascii="宋体" w:hAnsi="宋体" w:hint="eastAsia"/>
          <w:b/>
          <w:bCs/>
          <w:sz w:val="28"/>
          <w:szCs w:val="28"/>
        </w:rPr>
        <w:t>开通在</w:t>
      </w:r>
      <w:r>
        <w:rPr>
          <w:rStyle w:val="da"/>
          <w:rFonts w:ascii="宋体" w:hAnsi="宋体" w:hint="eastAsia"/>
          <w:b/>
          <w:bCs/>
          <w:sz w:val="28"/>
          <w:szCs w:val="28"/>
        </w:rPr>
        <w:t>渤海证券股份有限公司</w:t>
      </w:r>
      <w:r>
        <w:rPr>
          <w:rStyle w:val="da"/>
          <w:rFonts w:ascii="宋体" w:hAnsi="宋体" w:hint="eastAsia"/>
          <w:b/>
          <w:bCs/>
          <w:sz w:val="28"/>
          <w:szCs w:val="28"/>
        </w:rPr>
        <w:t>的</w:t>
      </w:r>
      <w:r>
        <w:rPr>
          <w:rStyle w:val="da"/>
          <w:rFonts w:ascii="宋体" w:hAnsi="宋体" w:hint="eastAsia"/>
          <w:b/>
          <w:bCs/>
          <w:sz w:val="28"/>
          <w:szCs w:val="28"/>
        </w:rPr>
        <w:t>定期定额业务</w:t>
      </w:r>
      <w:r>
        <w:rPr>
          <w:rStyle w:val="da"/>
          <w:rFonts w:ascii="宋体" w:hAnsi="宋体"/>
          <w:b/>
          <w:bCs/>
          <w:sz w:val="28"/>
          <w:szCs w:val="28"/>
        </w:rPr>
        <w:t>的公告</w:t>
      </w:r>
    </w:p>
    <w:p w:rsidR="00000000" w:rsidRDefault="009505E7">
      <w:pPr>
        <w:spacing w:line="400" w:lineRule="exact"/>
        <w:jc w:val="center"/>
        <w:rPr>
          <w:rStyle w:val="da"/>
          <w:rFonts w:ascii="宋体" w:hAnsi="宋体" w:cs="宋体" w:hint="eastAsia"/>
          <w:b/>
          <w:bCs/>
          <w:sz w:val="21"/>
          <w:szCs w:val="21"/>
        </w:rPr>
      </w:pPr>
    </w:p>
    <w:p w:rsidR="00000000" w:rsidRDefault="009505E7">
      <w:pPr>
        <w:widowControl/>
        <w:spacing w:line="360" w:lineRule="auto"/>
        <w:ind w:firstLineChars="200" w:firstLine="420"/>
        <w:jc w:val="left"/>
        <w:rPr>
          <w:rFonts w:ascii="宋体" w:hAnsi="宋体" w:cs="宋体" w:hint="eastAsia"/>
          <w:szCs w:val="21"/>
        </w:rPr>
      </w:pPr>
      <w:r>
        <w:rPr>
          <w:rFonts w:ascii="宋体" w:hAnsi="宋体" w:cs="宋体" w:hint="eastAsia"/>
          <w:kern w:val="0"/>
          <w:szCs w:val="21"/>
        </w:rPr>
        <w:t>为更好的满足广大投资者的理财需求，根据东吴基金管理有限公司（以下简称“东吴基金”）与渤海证券股份有限公司（以下简称</w:t>
      </w:r>
      <w:r>
        <w:rPr>
          <w:rFonts w:ascii="宋体" w:hAnsi="宋体" w:cs="宋体" w:hint="eastAsia"/>
          <w:kern w:val="0"/>
          <w:szCs w:val="21"/>
        </w:rPr>
        <w:t>"</w:t>
      </w:r>
      <w:r>
        <w:rPr>
          <w:rFonts w:ascii="宋体" w:hAnsi="宋体" w:cs="宋体" w:hint="eastAsia"/>
          <w:kern w:val="0"/>
          <w:szCs w:val="21"/>
        </w:rPr>
        <w:t>渤海证券</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11</w:t>
      </w:r>
      <w:r>
        <w:rPr>
          <w:rFonts w:ascii="宋体" w:hAnsi="宋体" w:cs="宋体" w:hint="eastAsia"/>
          <w:kern w:val="0"/>
          <w:szCs w:val="21"/>
        </w:rPr>
        <w:t>月</w:t>
      </w:r>
      <w:r>
        <w:rPr>
          <w:rFonts w:ascii="宋体" w:hAnsi="宋体" w:cs="宋体" w:hint="eastAsia"/>
          <w:kern w:val="0"/>
          <w:szCs w:val="21"/>
        </w:rPr>
        <w:t>25</w:t>
      </w:r>
      <w:r>
        <w:rPr>
          <w:rFonts w:ascii="宋体" w:hAnsi="宋体" w:cs="宋体" w:hint="eastAsia"/>
          <w:kern w:val="0"/>
          <w:szCs w:val="21"/>
        </w:rPr>
        <w:t>日起</w:t>
      </w:r>
      <w:r>
        <w:rPr>
          <w:rFonts w:ascii="宋体" w:hAnsi="宋体" w:cs="宋体" w:hint="eastAsia"/>
          <w:kern w:val="0"/>
          <w:szCs w:val="21"/>
        </w:rPr>
        <w:t>，新增开通部分基金在渤海证券的基金定期定额投资业务。</w:t>
      </w:r>
    </w:p>
    <w:p w:rsidR="00000000" w:rsidRDefault="009505E7">
      <w:pPr>
        <w:widowControl/>
        <w:spacing w:line="360" w:lineRule="auto"/>
        <w:ind w:firstLineChars="200" w:firstLine="420"/>
        <w:jc w:val="left"/>
        <w:rPr>
          <w:rFonts w:ascii="宋体" w:hAnsi="宋体" w:cs="宋体" w:hint="eastAsia"/>
          <w:szCs w:val="21"/>
        </w:rPr>
      </w:pPr>
      <w:r>
        <w:rPr>
          <w:rFonts w:ascii="宋体" w:hAnsi="宋体" w:cs="宋体" w:hint="eastAsia"/>
          <w:szCs w:val="21"/>
        </w:rPr>
        <w:t>一</w:t>
      </w:r>
      <w:r>
        <w:rPr>
          <w:rFonts w:ascii="宋体" w:hAnsi="宋体" w:cs="宋体" w:hint="eastAsia"/>
          <w:szCs w:val="21"/>
        </w:rPr>
        <w:t>、开通东吴基金旗下部分基金定期定额投资业务</w:t>
      </w:r>
    </w:p>
    <w:p w:rsidR="00000000" w:rsidRDefault="009505E7">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25</w:t>
      </w:r>
      <w:r>
        <w:rPr>
          <w:rFonts w:ascii="宋体" w:hAnsi="宋体" w:cs="宋体" w:hint="eastAsia"/>
          <w:szCs w:val="21"/>
        </w:rPr>
        <w:t>日</w:t>
      </w:r>
      <w:r>
        <w:rPr>
          <w:rFonts w:ascii="宋体" w:hAnsi="宋体" w:cs="宋体" w:hint="eastAsia"/>
          <w:szCs w:val="21"/>
        </w:rPr>
        <w:t>起开通以下基金在</w:t>
      </w:r>
      <w:r>
        <w:rPr>
          <w:rFonts w:ascii="宋体" w:hAnsi="宋体" w:cs="宋体" w:hint="eastAsia"/>
          <w:kern w:val="0"/>
          <w:szCs w:val="21"/>
        </w:rPr>
        <w:t>渤海证券</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5987"/>
        <w:gridCol w:w="1639"/>
      </w:tblGrid>
      <w:tr w:rsidR="00000000">
        <w:trPr>
          <w:jc w:val="center"/>
        </w:trPr>
        <w:tc>
          <w:tcPr>
            <w:tcW w:w="577" w:type="dxa"/>
            <w:vAlign w:val="center"/>
          </w:tcPr>
          <w:p w:rsidR="00000000" w:rsidRDefault="009505E7">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87" w:type="dxa"/>
          </w:tcPr>
          <w:p w:rsidR="00000000" w:rsidRDefault="009505E7">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39" w:type="dxa"/>
          </w:tcPr>
          <w:p w:rsidR="00000000" w:rsidRDefault="009505E7">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东吴嘉禾优势精选混合型开放式证券投资基金</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580001</w:t>
            </w:r>
          </w:p>
        </w:tc>
      </w:tr>
      <w:tr w:rsidR="00000000">
        <w:trPr>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580006/012617</w:t>
            </w:r>
          </w:p>
        </w:tc>
      </w:tr>
      <w:tr w:rsidR="00000000">
        <w:trPr>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东吴安享量化灵活配置混合型证券投资基金</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580007</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580008/011470</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583001</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东吴中证新兴产业指数证券投资基金</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585001</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582003/011707</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580009/011949</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东吴阿尔法灵活配置混合型证券投资基金</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000531</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jc w:val="left"/>
              <w:textAlignment w:val="center"/>
              <w:rPr>
                <w:rFonts w:ascii="宋体" w:hAnsi="宋体" w:cs="宋体" w:hint="eastAsia"/>
                <w:szCs w:val="21"/>
              </w:rPr>
            </w:pPr>
            <w:r>
              <w:rPr>
                <w:rFonts w:ascii="宋体" w:hAnsi="宋体" w:cs="宋体" w:hint="eastAsia"/>
                <w:szCs w:val="21"/>
                <w:lang/>
              </w:rPr>
              <w:t>东吴新趋势价值线灵活配置混合型证券投资基金</w:t>
            </w:r>
          </w:p>
        </w:tc>
        <w:tc>
          <w:tcPr>
            <w:tcW w:w="1639" w:type="dxa"/>
            <w:vAlign w:val="center"/>
          </w:tcPr>
          <w:p w:rsidR="00000000" w:rsidRDefault="009505E7">
            <w:pPr>
              <w:widowControl/>
              <w:jc w:val="left"/>
              <w:textAlignment w:val="center"/>
              <w:rPr>
                <w:rFonts w:ascii="宋体" w:hAnsi="宋体" w:cs="宋体" w:hint="eastAsia"/>
                <w:szCs w:val="21"/>
              </w:rPr>
            </w:pPr>
            <w:r>
              <w:rPr>
                <w:rFonts w:ascii="宋体" w:hAnsi="宋体" w:cs="宋体" w:hint="eastAsia"/>
                <w:color w:val="000000"/>
                <w:kern w:val="0"/>
                <w:sz w:val="20"/>
                <w:szCs w:val="20"/>
                <w:lang/>
              </w:rPr>
              <w:t>001322</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002159/012615</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东吴安盈量化灵活配置混合型证券投资基金</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002270</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东吴安鑫量化灵活配置混合型证券投资基金</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002561</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002919/011948</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003588</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rPr>
            </w:pPr>
            <w:r>
              <w:rPr>
                <w:rFonts w:ascii="宋体" w:hAnsi="宋体" w:cs="宋体" w:hint="eastAsia"/>
                <w:szCs w:val="21"/>
                <w:lang/>
              </w:rPr>
              <w:t>005144/005145</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lang/>
              </w:rPr>
            </w:pPr>
            <w:r>
              <w:rPr>
                <w:rFonts w:ascii="宋体" w:hAnsi="宋体" w:cs="宋体" w:hint="eastAsia"/>
                <w:szCs w:val="21"/>
                <w:lang/>
              </w:rPr>
              <w:t>东吴鼎</w:t>
            </w:r>
            <w:r>
              <w:rPr>
                <w:rFonts w:ascii="宋体" w:hAnsi="宋体" w:cs="宋体" w:hint="eastAsia"/>
                <w:szCs w:val="21"/>
                <w:lang/>
              </w:rPr>
              <w:t>泰纯债债券型证券投资基金</w:t>
            </w:r>
          </w:p>
        </w:tc>
        <w:tc>
          <w:tcPr>
            <w:tcW w:w="1639" w:type="dxa"/>
            <w:vAlign w:val="center"/>
          </w:tcPr>
          <w:p w:rsidR="00000000" w:rsidRDefault="009505E7">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577" w:type="dxa"/>
          </w:tcPr>
          <w:p w:rsidR="00000000" w:rsidRDefault="009505E7">
            <w:pPr>
              <w:widowControl/>
              <w:numPr>
                <w:ilvl w:val="0"/>
                <w:numId w:val="2"/>
              </w:numPr>
              <w:spacing w:line="400" w:lineRule="exact"/>
              <w:jc w:val="center"/>
              <w:rPr>
                <w:rFonts w:ascii="宋体" w:hAnsi="宋体" w:cs="宋体" w:hint="eastAsia"/>
                <w:szCs w:val="21"/>
              </w:rPr>
            </w:pPr>
          </w:p>
        </w:tc>
        <w:tc>
          <w:tcPr>
            <w:tcW w:w="5987" w:type="dxa"/>
            <w:vAlign w:val="center"/>
          </w:tcPr>
          <w:p w:rsidR="00000000" w:rsidRDefault="009505E7">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39" w:type="dxa"/>
            <w:vAlign w:val="center"/>
          </w:tcPr>
          <w:p w:rsidR="00000000" w:rsidRDefault="009505E7">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9505E7">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渤海证券</w:t>
      </w:r>
      <w:r>
        <w:rPr>
          <w:rFonts w:ascii="宋体" w:hAnsi="宋体" w:cs="宋体" w:hint="eastAsia"/>
          <w:szCs w:val="21"/>
        </w:rPr>
        <w:t>提交申请，约定每期扣款时间、扣款金额及扣款方式，由</w:t>
      </w:r>
      <w:r>
        <w:rPr>
          <w:rFonts w:ascii="宋体" w:hAnsi="宋体" w:cs="宋体" w:hint="eastAsia"/>
          <w:kern w:val="0"/>
          <w:szCs w:val="21"/>
        </w:rPr>
        <w:t>渤海证券</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9505E7">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w:t>
      </w:r>
      <w:r>
        <w:rPr>
          <w:rFonts w:ascii="宋体" w:hAnsi="宋体" w:cs="宋体" w:hint="eastAsia"/>
          <w:szCs w:val="21"/>
        </w:rPr>
        <w:t>者可</w:t>
      </w:r>
      <w:r>
        <w:rPr>
          <w:rFonts w:ascii="宋体" w:hAnsi="宋体" w:cs="宋体" w:hint="eastAsia"/>
          <w:kern w:val="0"/>
          <w:szCs w:val="21"/>
        </w:rPr>
        <w:t>通过</w:t>
      </w:r>
      <w:r>
        <w:rPr>
          <w:rFonts w:ascii="宋体" w:hAnsi="宋体" w:cs="宋体" w:hint="eastAsia"/>
          <w:kern w:val="0"/>
          <w:szCs w:val="21"/>
        </w:rPr>
        <w:t>渤海证券</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渤海证券</w:t>
      </w:r>
      <w:r>
        <w:rPr>
          <w:rFonts w:ascii="宋体" w:hAnsi="宋体" w:cs="宋体" w:hint="eastAsia"/>
          <w:szCs w:val="21"/>
        </w:rPr>
        <w:t>直接开户便可进行东吴基金定期定额投资业务。</w:t>
      </w:r>
    </w:p>
    <w:p w:rsidR="00000000" w:rsidRDefault="009505E7">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渤海证券</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9505E7">
      <w:pPr>
        <w:widowControl/>
        <w:snapToGrid w:val="0"/>
        <w:spacing w:line="360" w:lineRule="auto"/>
        <w:ind w:firstLineChars="200" w:firstLine="420"/>
        <w:jc w:val="left"/>
        <w:rPr>
          <w:rFonts w:ascii="宋体" w:hAnsi="宋体" w:cs="宋体" w:hint="eastAsia"/>
          <w:color w:val="000000"/>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渤海证券</w:t>
      </w:r>
      <w:r>
        <w:rPr>
          <w:rFonts w:ascii="宋体" w:hAnsi="宋体" w:cs="宋体" w:hint="eastAsia"/>
          <w:szCs w:val="21"/>
        </w:rPr>
        <w:t>约定每期固定扣款（申购）金额，基金每期定投</w:t>
      </w:r>
      <w:r>
        <w:rPr>
          <w:rFonts w:ascii="宋体" w:hAnsi="宋体" w:cs="宋体" w:hint="eastAsia"/>
          <w:szCs w:val="21"/>
        </w:rPr>
        <w:t>的最高最低扣款</w:t>
      </w:r>
      <w:r>
        <w:rPr>
          <w:rFonts w:ascii="宋体" w:hAnsi="宋体" w:cs="宋体" w:hint="eastAsia"/>
          <w:szCs w:val="21"/>
        </w:rPr>
        <w:t>金额以代销机构规定为准</w:t>
      </w:r>
      <w:r>
        <w:rPr>
          <w:rFonts w:ascii="宋体" w:hAnsi="宋体" w:cs="宋体" w:hint="eastAsia"/>
          <w:szCs w:val="21"/>
        </w:rPr>
        <w:t>。</w:t>
      </w:r>
    </w:p>
    <w:p w:rsidR="00000000" w:rsidRDefault="009505E7">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二</w:t>
      </w:r>
      <w:r>
        <w:rPr>
          <w:rFonts w:ascii="宋体" w:hAnsi="宋体" w:cs="宋体" w:hint="eastAsia"/>
          <w:color w:val="000000"/>
          <w:szCs w:val="21"/>
        </w:rPr>
        <w:t>、投资者可</w:t>
      </w:r>
      <w:r>
        <w:rPr>
          <w:rFonts w:ascii="宋体" w:hAnsi="宋体" w:cs="宋体" w:hint="eastAsia"/>
          <w:color w:val="000000"/>
          <w:szCs w:val="21"/>
        </w:rPr>
        <w:t>通过以下途径了解或咨询相关情况</w:t>
      </w:r>
    </w:p>
    <w:p w:rsidR="00000000" w:rsidRDefault="009505E7">
      <w:pPr>
        <w:spacing w:line="400" w:lineRule="exact"/>
        <w:rPr>
          <w:rFonts w:ascii="宋体" w:hAnsi="宋体" w:cs="宋体" w:hint="eastAsia"/>
          <w:kern w:val="0"/>
          <w:szCs w:val="21"/>
        </w:rPr>
      </w:pPr>
      <w:r>
        <w:rPr>
          <w:rFonts w:ascii="宋体" w:hAnsi="宋体" w:cs="宋体" w:hint="eastAsia"/>
          <w:kern w:val="0"/>
          <w:szCs w:val="21"/>
        </w:rPr>
        <w:t xml:space="preserve">    1</w:t>
      </w:r>
      <w:r>
        <w:rPr>
          <w:rFonts w:ascii="宋体" w:hAnsi="宋体" w:cs="宋体" w:hint="eastAsia"/>
          <w:kern w:val="0"/>
          <w:szCs w:val="21"/>
        </w:rPr>
        <w:t>）渤海证券股份有限公司</w:t>
      </w:r>
    </w:p>
    <w:p w:rsidR="00000000" w:rsidRDefault="009505E7">
      <w:pPr>
        <w:spacing w:line="400" w:lineRule="exac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400-6515-988</w:t>
      </w:r>
    </w:p>
    <w:p w:rsidR="00000000" w:rsidRDefault="009505E7">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hyperlink r:id="rId5" w:tooltip="blocked::http://www.ewww.com.cn/" w:history="1">
        <w:r>
          <w:rPr>
            <w:rFonts w:ascii="宋体" w:hAnsi="宋体" w:cs="宋体" w:hint="eastAsia"/>
            <w:kern w:val="0"/>
            <w:szCs w:val="21"/>
          </w:rPr>
          <w:t>www.ewww.com.cn</w:t>
        </w:r>
      </w:hyperlink>
    </w:p>
    <w:p w:rsidR="00000000" w:rsidRDefault="009505E7">
      <w:pPr>
        <w:spacing w:line="400" w:lineRule="exact"/>
        <w:ind w:firstLineChars="304" w:firstLine="638"/>
        <w:rPr>
          <w:rFonts w:ascii="宋体" w:hAnsi="宋体" w:cs="宋体" w:hint="eastAsia"/>
          <w:kern w:val="0"/>
          <w:szCs w:val="21"/>
        </w:rPr>
      </w:pPr>
    </w:p>
    <w:p w:rsidR="00000000" w:rsidRDefault="009505E7">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9505E7">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9505E7">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6" w:history="1">
        <w:r>
          <w:rPr>
            <w:rFonts w:ascii="宋体" w:hAnsi="宋体" w:cs="宋体" w:hint="eastAsia"/>
            <w:szCs w:val="21"/>
          </w:rPr>
          <w:t>ww</w:t>
        </w:r>
        <w:r>
          <w:rPr>
            <w:rFonts w:ascii="宋体" w:hAnsi="宋体" w:cs="宋体" w:hint="eastAsia"/>
            <w:szCs w:val="21"/>
          </w:rPr>
          <w:t>w.scfund.com.cn</w:t>
        </w:r>
      </w:hyperlink>
    </w:p>
    <w:p w:rsidR="00000000" w:rsidRDefault="009505E7">
      <w:pPr>
        <w:spacing w:line="400" w:lineRule="exact"/>
        <w:rPr>
          <w:rFonts w:ascii="宋体" w:hAnsi="宋体" w:cs="宋体" w:hint="eastAsia"/>
          <w:color w:val="000000"/>
          <w:kern w:val="0"/>
          <w:szCs w:val="21"/>
        </w:rPr>
      </w:pPr>
    </w:p>
    <w:p w:rsidR="00000000" w:rsidRDefault="009505E7">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三</w:t>
      </w:r>
      <w:r>
        <w:rPr>
          <w:rFonts w:ascii="宋体" w:hAnsi="宋体" w:cs="宋体" w:hint="eastAsia"/>
          <w:color w:val="000000"/>
          <w:kern w:val="0"/>
          <w:szCs w:val="21"/>
        </w:rPr>
        <w:t>、风险提示</w:t>
      </w:r>
    </w:p>
    <w:p w:rsidR="00000000" w:rsidRDefault="009505E7">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9505E7">
      <w:pPr>
        <w:spacing w:line="400" w:lineRule="exact"/>
        <w:ind w:firstLineChars="200" w:firstLine="420"/>
        <w:rPr>
          <w:rFonts w:ascii="宋体" w:hAnsi="宋体" w:cs="宋体" w:hint="eastAsia"/>
          <w:szCs w:val="21"/>
        </w:rPr>
      </w:pPr>
      <w:r>
        <w:rPr>
          <w:rFonts w:ascii="宋体" w:hAnsi="宋体" w:cs="宋体" w:hint="eastAsia"/>
          <w:szCs w:val="21"/>
        </w:rPr>
        <w:t>特此公告。</w:t>
      </w:r>
      <w:r>
        <w:rPr>
          <w:rFonts w:ascii="宋体" w:hAnsi="宋体" w:cs="宋体" w:hint="eastAsia"/>
          <w:szCs w:val="21"/>
        </w:rPr>
        <w:t xml:space="preserve"> </w:t>
      </w:r>
    </w:p>
    <w:p w:rsidR="00000000" w:rsidRDefault="009505E7">
      <w:pPr>
        <w:spacing w:line="400" w:lineRule="exact"/>
        <w:rPr>
          <w:rFonts w:ascii="宋体" w:hAnsi="宋体" w:cs="宋体" w:hint="eastAsia"/>
          <w:szCs w:val="21"/>
        </w:rPr>
      </w:pPr>
    </w:p>
    <w:p w:rsidR="00000000" w:rsidRDefault="009505E7">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9505E7">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11</w:t>
      </w:r>
      <w:r>
        <w:rPr>
          <w:rFonts w:ascii="宋体" w:hAnsi="宋体" w:cs="宋体" w:hint="eastAsia"/>
          <w:szCs w:val="21"/>
        </w:rPr>
        <w:t>月</w:t>
      </w:r>
      <w:r>
        <w:rPr>
          <w:rFonts w:ascii="宋体" w:hAnsi="宋体" w:cs="宋体" w:hint="eastAsia"/>
          <w:szCs w:val="21"/>
        </w:rPr>
        <w:t>24</w:t>
      </w:r>
      <w:r>
        <w:rPr>
          <w:rFonts w:ascii="宋体" w:hAnsi="宋体" w:cs="宋体" w:hint="eastAsia"/>
          <w:szCs w:val="21"/>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848CA3"/>
    <w:multiLevelType w:val="singleLevel"/>
    <w:tmpl w:val="DE848CA3"/>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05E7"/>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A9126A"/>
    <w:rsid w:val="02C4633C"/>
    <w:rsid w:val="02FE7A2C"/>
    <w:rsid w:val="03BF4636"/>
    <w:rsid w:val="0517058A"/>
    <w:rsid w:val="05282922"/>
    <w:rsid w:val="05381270"/>
    <w:rsid w:val="05FD0EAD"/>
    <w:rsid w:val="06171B42"/>
    <w:rsid w:val="0731695F"/>
    <w:rsid w:val="07426877"/>
    <w:rsid w:val="076808B4"/>
    <w:rsid w:val="097914DE"/>
    <w:rsid w:val="0A641E54"/>
    <w:rsid w:val="0AFA04AF"/>
    <w:rsid w:val="0B2854B7"/>
    <w:rsid w:val="0C1734E6"/>
    <w:rsid w:val="0D781E29"/>
    <w:rsid w:val="0F5A6124"/>
    <w:rsid w:val="0FDD728A"/>
    <w:rsid w:val="113B260F"/>
    <w:rsid w:val="11C757ED"/>
    <w:rsid w:val="11D35ECA"/>
    <w:rsid w:val="12260115"/>
    <w:rsid w:val="126C35C1"/>
    <w:rsid w:val="13A147CE"/>
    <w:rsid w:val="1412586F"/>
    <w:rsid w:val="149A6E87"/>
    <w:rsid w:val="149B08DC"/>
    <w:rsid w:val="156173A0"/>
    <w:rsid w:val="16E41E49"/>
    <w:rsid w:val="176C38A0"/>
    <w:rsid w:val="183F3F70"/>
    <w:rsid w:val="185A6A58"/>
    <w:rsid w:val="18712614"/>
    <w:rsid w:val="196E49C7"/>
    <w:rsid w:val="1B983254"/>
    <w:rsid w:val="1BED5CE0"/>
    <w:rsid w:val="1C7641D6"/>
    <w:rsid w:val="1CDF3654"/>
    <w:rsid w:val="1FC7683A"/>
    <w:rsid w:val="1FDF5B04"/>
    <w:rsid w:val="211B1988"/>
    <w:rsid w:val="21FC2E7E"/>
    <w:rsid w:val="221E1973"/>
    <w:rsid w:val="225C7323"/>
    <w:rsid w:val="2269333F"/>
    <w:rsid w:val="235231CF"/>
    <w:rsid w:val="23A83A0D"/>
    <w:rsid w:val="23DF120B"/>
    <w:rsid w:val="24140680"/>
    <w:rsid w:val="2534229A"/>
    <w:rsid w:val="25EC6BD7"/>
    <w:rsid w:val="27C45851"/>
    <w:rsid w:val="280C74C5"/>
    <w:rsid w:val="297E1EFC"/>
    <w:rsid w:val="2A490204"/>
    <w:rsid w:val="2AAE6793"/>
    <w:rsid w:val="2B382728"/>
    <w:rsid w:val="2B5C6850"/>
    <w:rsid w:val="2BE06C2E"/>
    <w:rsid w:val="2C15743B"/>
    <w:rsid w:val="2C445CD5"/>
    <w:rsid w:val="2CB23497"/>
    <w:rsid w:val="2D2F0A6E"/>
    <w:rsid w:val="2D8108DF"/>
    <w:rsid w:val="2E290C48"/>
    <w:rsid w:val="2FAA2872"/>
    <w:rsid w:val="2FCA1259"/>
    <w:rsid w:val="301369CA"/>
    <w:rsid w:val="309148BA"/>
    <w:rsid w:val="3094794A"/>
    <w:rsid w:val="312100DD"/>
    <w:rsid w:val="3258004E"/>
    <w:rsid w:val="33576347"/>
    <w:rsid w:val="33915228"/>
    <w:rsid w:val="351A72AD"/>
    <w:rsid w:val="354D41DF"/>
    <w:rsid w:val="36AC5178"/>
    <w:rsid w:val="371F6ECB"/>
    <w:rsid w:val="373E372F"/>
    <w:rsid w:val="38137F9C"/>
    <w:rsid w:val="384F7EF3"/>
    <w:rsid w:val="399D3EBE"/>
    <w:rsid w:val="39FB0130"/>
    <w:rsid w:val="3A0D38CD"/>
    <w:rsid w:val="3B7E185D"/>
    <w:rsid w:val="3DA939C5"/>
    <w:rsid w:val="3E1F1601"/>
    <w:rsid w:val="3E431917"/>
    <w:rsid w:val="3EA74EA6"/>
    <w:rsid w:val="40591B82"/>
    <w:rsid w:val="412133EB"/>
    <w:rsid w:val="41BE6799"/>
    <w:rsid w:val="41F017A8"/>
    <w:rsid w:val="42197735"/>
    <w:rsid w:val="428772D4"/>
    <w:rsid w:val="431369E3"/>
    <w:rsid w:val="443C6B00"/>
    <w:rsid w:val="453E3F7B"/>
    <w:rsid w:val="45BC5CB8"/>
    <w:rsid w:val="467C28B2"/>
    <w:rsid w:val="46B05CA5"/>
    <w:rsid w:val="46D91E43"/>
    <w:rsid w:val="47C17D67"/>
    <w:rsid w:val="48463A92"/>
    <w:rsid w:val="489354A0"/>
    <w:rsid w:val="49083735"/>
    <w:rsid w:val="490F7BDD"/>
    <w:rsid w:val="49993861"/>
    <w:rsid w:val="49FC1ED4"/>
    <w:rsid w:val="4AFB1112"/>
    <w:rsid w:val="4C182980"/>
    <w:rsid w:val="4C5E5660"/>
    <w:rsid w:val="4C8C3A8E"/>
    <w:rsid w:val="4CC340C8"/>
    <w:rsid w:val="4E053C46"/>
    <w:rsid w:val="4EC201C3"/>
    <w:rsid w:val="4F0A66AB"/>
    <w:rsid w:val="4F691C56"/>
    <w:rsid w:val="4FD81752"/>
    <w:rsid w:val="511B3346"/>
    <w:rsid w:val="51C41695"/>
    <w:rsid w:val="524B0146"/>
    <w:rsid w:val="52861B73"/>
    <w:rsid w:val="53506042"/>
    <w:rsid w:val="54C91FB6"/>
    <w:rsid w:val="551136CC"/>
    <w:rsid w:val="5794651A"/>
    <w:rsid w:val="580F7213"/>
    <w:rsid w:val="58BB67A0"/>
    <w:rsid w:val="58DA0FD3"/>
    <w:rsid w:val="58FF5142"/>
    <w:rsid w:val="59391735"/>
    <w:rsid w:val="59C33488"/>
    <w:rsid w:val="5A765101"/>
    <w:rsid w:val="5A9F0071"/>
    <w:rsid w:val="5B031ABD"/>
    <w:rsid w:val="5B850857"/>
    <w:rsid w:val="5BA33C64"/>
    <w:rsid w:val="5C661F95"/>
    <w:rsid w:val="5C712910"/>
    <w:rsid w:val="5D057564"/>
    <w:rsid w:val="5E2A5AED"/>
    <w:rsid w:val="5E7D2556"/>
    <w:rsid w:val="5F110351"/>
    <w:rsid w:val="5F37585E"/>
    <w:rsid w:val="5F433F8E"/>
    <w:rsid w:val="5F772004"/>
    <w:rsid w:val="5FAA4FFC"/>
    <w:rsid w:val="5FBB4ABD"/>
    <w:rsid w:val="600816B0"/>
    <w:rsid w:val="6025124B"/>
    <w:rsid w:val="603D5AAD"/>
    <w:rsid w:val="6072134A"/>
    <w:rsid w:val="608A7D81"/>
    <w:rsid w:val="61BE058B"/>
    <w:rsid w:val="6219297F"/>
    <w:rsid w:val="62E01DCA"/>
    <w:rsid w:val="63857653"/>
    <w:rsid w:val="63D931E2"/>
    <w:rsid w:val="641D434E"/>
    <w:rsid w:val="650A6E75"/>
    <w:rsid w:val="651560BA"/>
    <w:rsid w:val="652E52F0"/>
    <w:rsid w:val="65890AB7"/>
    <w:rsid w:val="66F43AF7"/>
    <w:rsid w:val="67787F8D"/>
    <w:rsid w:val="67F266AF"/>
    <w:rsid w:val="68FC32F2"/>
    <w:rsid w:val="697B224C"/>
    <w:rsid w:val="69A07404"/>
    <w:rsid w:val="69E95778"/>
    <w:rsid w:val="6A596387"/>
    <w:rsid w:val="6A732B77"/>
    <w:rsid w:val="6AA97939"/>
    <w:rsid w:val="6B3016EB"/>
    <w:rsid w:val="6BBB6AAD"/>
    <w:rsid w:val="6DB15CE3"/>
    <w:rsid w:val="6DCF7A62"/>
    <w:rsid w:val="6EB448FD"/>
    <w:rsid w:val="6F1C4FCE"/>
    <w:rsid w:val="6F383D07"/>
    <w:rsid w:val="6F421085"/>
    <w:rsid w:val="706C7FA2"/>
    <w:rsid w:val="71127BA2"/>
    <w:rsid w:val="726F6D4C"/>
    <w:rsid w:val="734F09D5"/>
    <w:rsid w:val="73FD2CDB"/>
    <w:rsid w:val="757438E6"/>
    <w:rsid w:val="765811C9"/>
    <w:rsid w:val="768C1119"/>
    <w:rsid w:val="776C6CE8"/>
    <w:rsid w:val="77B37523"/>
    <w:rsid w:val="77EF43DC"/>
    <w:rsid w:val="77FC49BB"/>
    <w:rsid w:val="78501E3B"/>
    <w:rsid w:val="795A5208"/>
    <w:rsid w:val="79833C7C"/>
    <w:rsid w:val="79C91A00"/>
    <w:rsid w:val="79DB41C3"/>
    <w:rsid w:val="7A56204E"/>
    <w:rsid w:val="7A5709DC"/>
    <w:rsid w:val="7B9F358C"/>
    <w:rsid w:val="7C271FE0"/>
    <w:rsid w:val="7D0801C2"/>
    <w:rsid w:val="7D3B2EE5"/>
    <w:rsid w:val="7D8E1395"/>
    <w:rsid w:val="7DA60233"/>
    <w:rsid w:val="7DB74490"/>
    <w:rsid w:val="7E1A4758"/>
    <w:rsid w:val="7F1C5F9D"/>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ailstyle21">
    <w:name w:val="emailstyle21"/>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character" w:styleId="a3">
    <w:name w:val="Hyperlink"/>
    <w:basedOn w:val="a0"/>
    <w:rPr>
      <w:color w:val="0000FF"/>
      <w:u w:val="single"/>
    </w:rPr>
  </w:style>
  <w:style w:type="character" w:styleId="a4">
    <w:name w:val="page number"/>
    <w:basedOn w:val="a0"/>
  </w:style>
  <w:style w:type="character" w:customStyle="1" w:styleId="emailstyle22">
    <w:name w:val="emailstyle22"/>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styleId="a5">
    <w:name w:val="FollowedHyperlink"/>
    <w:basedOn w:val="a0"/>
    <w:rPr>
      <w:color w:val="800080"/>
      <w:u w:val="single"/>
    </w:rPr>
  </w:style>
  <w:style w:type="character" w:customStyle="1" w:styleId="emailstyle24">
    <w:name w:val="emailstyle24"/>
    <w:rPr>
      <w:rFonts w:ascii="Calibri" w:hAnsi="Calibri" w:cs="Calibri" w:hint="default"/>
      <w:color w:val="1F497D"/>
    </w:rPr>
  </w:style>
  <w:style w:type="character" w:styleId="a6">
    <w:name w:val="annotation reference"/>
    <w:semiHidden/>
    <w:rPr>
      <w:sz w:val="21"/>
      <w:szCs w:val="21"/>
    </w:rPr>
  </w:style>
  <w:style w:type="character" w:customStyle="1" w:styleId="emailstyle25">
    <w:name w:val="emailstyle25"/>
    <w:rPr>
      <w:rFonts w:ascii="Calibri" w:hAnsi="Calibri" w:cs="Calibri" w:hint="default"/>
      <w:color w:val="1F497D"/>
    </w:rPr>
  </w:style>
  <w:style w:type="character" w:customStyle="1" w:styleId="Char">
    <w:name w:val="文档结构图 Char"/>
    <w:link w:val="a7"/>
    <w:rPr>
      <w:rFonts w:ascii="宋体"/>
      <w:kern w:val="2"/>
      <w:sz w:val="18"/>
      <w:szCs w:val="18"/>
    </w:rPr>
  </w:style>
  <w:style w:type="character" w:customStyle="1" w:styleId="da">
    <w:name w:val="da"/>
    <w:basedOn w:val="a0"/>
  </w:style>
  <w:style w:type="character" w:customStyle="1" w:styleId="Char0">
    <w:name w:val="页脚 Char"/>
    <w:link w:val="a8"/>
    <w:rPr>
      <w:kern w:val="2"/>
      <w:sz w:val="18"/>
      <w:szCs w:val="18"/>
    </w:rPr>
  </w:style>
  <w:style w:type="character" w:customStyle="1" w:styleId="emailstyle27">
    <w:name w:val="emailstyle27"/>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Char1">
    <w:name w:val="页眉 Char"/>
    <w:link w:val="a9"/>
    <w:rPr>
      <w:kern w:val="2"/>
      <w:sz w:val="18"/>
      <w:szCs w:val="18"/>
    </w:rPr>
  </w:style>
  <w:style w:type="character" w:customStyle="1" w:styleId="Char2">
    <w:name w:val="批注框文本 Char"/>
    <w:link w:val="aa"/>
    <w:rPr>
      <w:rFonts w:ascii="宋体" w:eastAsia="宋体" w:hAnsi="宋体" w:cs="宋体" w:hint="eastAsia"/>
    </w:rPr>
  </w:style>
  <w:style w:type="paragraph" w:styleId="a9">
    <w:name w:val="header"/>
    <w:basedOn w:val="a"/>
    <w:link w:val="Char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8">
    <w:name w:val="footer"/>
    <w:basedOn w:val="a"/>
    <w:link w:val="Char0"/>
    <w:pPr>
      <w:tabs>
        <w:tab w:val="center" w:pos="4153"/>
        <w:tab w:val="right" w:pos="8306"/>
      </w:tabs>
      <w:snapToGrid w:val="0"/>
      <w:jc w:val="left"/>
    </w:pPr>
    <w:rPr>
      <w:sz w:val="18"/>
      <w:szCs w:val="18"/>
    </w:rPr>
  </w:style>
  <w:style w:type="paragraph" w:styleId="aa">
    <w:name w:val="Balloon Text"/>
    <w:basedOn w:val="a"/>
    <w:link w:val="Char2"/>
    <w:semiHidden/>
    <w:rPr>
      <w:sz w:val="18"/>
      <w:szCs w:val="18"/>
    </w:rPr>
  </w:style>
  <w:style w:type="paragraph" w:styleId="ab">
    <w:name w:val="annotation text"/>
    <w:basedOn w:val="a"/>
    <w:semiHidden/>
    <w:pPr>
      <w:jc w:val="left"/>
    </w:pPr>
  </w:style>
  <w:style w:type="paragraph" w:styleId="a7">
    <w:name w:val="Document Map"/>
    <w:basedOn w:val="a"/>
    <w:link w:val="Char"/>
    <w:rPr>
      <w:rFonts w:ascii="宋体"/>
      <w:sz w:val="18"/>
      <w:szCs w:val="18"/>
    </w:rPr>
  </w:style>
  <w:style w:type="paragraph" w:styleId="ac">
    <w:name w:val="annotation subject"/>
    <w:basedOn w:val="ab"/>
    <w:next w:val="ab"/>
    <w:semiHidden/>
    <w:rPr>
      <w:b/>
      <w:bCs/>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customStyle="1" w:styleId="CharCharCharChar">
    <w:name w:val=" Char Char Char Char"/>
    <w:basedOn w:val="a"/>
    <w:link w:val="a0"/>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CharCharChar">
    <w:name w:val=" Char Char Char Char Char Char Char"/>
    <w:basedOn w:val="a"/>
    <w:pPr>
      <w:tabs>
        <w:tab w:val="left" w:pos="360"/>
      </w:tabs>
    </w:pPr>
    <w:rPr>
      <w:sz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fund.com.cn" TargetMode="External"/><Relationship Id="rId5" Type="http://schemas.openxmlformats.org/officeDocument/2006/relationships/hyperlink" Target="http://www.ewww.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4</DocSecurity>
  <PresentationFormat/>
  <Lines>14</Lines>
  <Paragraphs>4</Paragraphs>
  <Slides>0</Slides>
  <Notes>0</Notes>
  <HiddenSlides>0</HiddenSlides>
  <MMClips>0</MMClips>
  <ScaleCrop>false</ScaleCrop>
  <Manager/>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东吴基金管理有限公司关于旗下部分基金开通在深圳市渤海证券股份有限公司的定期定额业务的公告</dc:title>
  <dc:subject/>
  <dc:creator>dingxue</dc:creator>
  <cp:keywords/>
  <dc:description/>
  <cp:lastModifiedBy>ZHONGM</cp:lastModifiedBy>
  <cp:revision>2</cp:revision>
  <cp:lastPrinted>2015-06-11T02:51:00Z</cp:lastPrinted>
  <dcterms:created xsi:type="dcterms:W3CDTF">2021-11-23T16:00:00Z</dcterms:created>
  <dcterms:modified xsi:type="dcterms:W3CDTF">2021-11-23T16:00:00Z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