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B" w:rsidRPr="00B832BF" w:rsidRDefault="001420EB" w:rsidP="00CC37A0">
      <w:pPr>
        <w:widowControl/>
        <w:spacing w:line="555" w:lineRule="atLeast"/>
        <w:jc w:val="center"/>
        <w:outlineLvl w:val="0"/>
        <w:rPr>
          <w:rFonts w:ascii="黑体" w:eastAsia="黑体" w:hAnsi="宋体" w:cs="宋体"/>
          <w:color w:val="000000"/>
          <w:kern w:val="36"/>
          <w:sz w:val="30"/>
          <w:szCs w:val="30"/>
        </w:rPr>
      </w:pPr>
      <w:r w:rsidRPr="00B832BF">
        <w:rPr>
          <w:rFonts w:ascii="黑体" w:eastAsia="黑体" w:hAnsi="宋体" w:cs="宋体" w:hint="eastAsia"/>
          <w:color w:val="000000"/>
          <w:kern w:val="36"/>
          <w:sz w:val="30"/>
          <w:szCs w:val="30"/>
        </w:rPr>
        <w:t>富国基金管理有限公司关于旗下</w:t>
      </w:r>
      <w:r w:rsidR="00106014">
        <w:rPr>
          <w:rFonts w:ascii="黑体" w:eastAsia="黑体" w:hAnsi="宋体" w:cs="宋体" w:hint="eastAsia"/>
          <w:color w:val="000000"/>
          <w:kern w:val="36"/>
          <w:sz w:val="30"/>
          <w:szCs w:val="30"/>
        </w:rPr>
        <w:t>部分</w:t>
      </w:r>
      <w:r w:rsidR="00AB2340">
        <w:rPr>
          <w:rFonts w:ascii="黑体" w:eastAsia="黑体" w:hAnsi="宋体" w:cs="宋体" w:hint="eastAsia"/>
          <w:color w:val="000000"/>
          <w:kern w:val="36"/>
          <w:sz w:val="30"/>
          <w:szCs w:val="30"/>
        </w:rPr>
        <w:t>证券投资</w:t>
      </w:r>
      <w:r w:rsidRPr="00B832BF">
        <w:rPr>
          <w:rFonts w:ascii="黑体" w:eastAsia="黑体" w:hAnsi="宋体" w:cs="宋体" w:hint="eastAsia"/>
          <w:color w:val="000000"/>
          <w:kern w:val="36"/>
          <w:sz w:val="30"/>
          <w:szCs w:val="30"/>
        </w:rPr>
        <w:t>基金投资非公开发行股票的公告</w:t>
      </w:r>
    </w:p>
    <w:p w:rsidR="001420EB" w:rsidRPr="00F862D6" w:rsidRDefault="008557A3" w:rsidP="00B644CA">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富国基金管理有限公司</w:t>
      </w:r>
      <w:r>
        <w:rPr>
          <w:rFonts w:ascii="宋体" w:eastAsia="宋体" w:hAnsi="宋体" w:cs="宋体"/>
          <w:color w:val="auto"/>
        </w:rPr>
        <w:t>(以下简称“本公司”)旗下部分证券投资基金参加了顺丰控股股份有限公司（股票简称：顺丰控股，证券代码：002352）非公开发行股票的认购。</w:t>
      </w:r>
      <w:r w:rsidR="00BA7ECC">
        <w:rPr>
          <w:rFonts w:ascii="宋体" w:eastAsia="宋体" w:hAnsi="宋体" w:cs="宋体"/>
          <w:color w:val="auto"/>
        </w:rPr>
        <w:t>顺丰控股股份有限公司已发布</w:t>
      </w:r>
      <w:r w:rsidR="00BA7ECC">
        <w:rPr>
          <w:rFonts w:ascii="宋体" w:eastAsia="宋体" w:hAnsi="宋体" w:cs="宋体" w:hint="eastAsia"/>
          <w:color w:val="auto"/>
        </w:rPr>
        <w:t>《顺丰控股股份有限公司2</w:t>
      </w:r>
      <w:r w:rsidR="00BA7ECC">
        <w:rPr>
          <w:rFonts w:ascii="宋体" w:eastAsia="宋体" w:hAnsi="宋体" w:cs="宋体"/>
          <w:color w:val="auto"/>
        </w:rPr>
        <w:t>021年度非公开发行</w:t>
      </w:r>
      <w:r w:rsidR="00BA7ECC">
        <w:rPr>
          <w:rFonts w:ascii="宋体" w:eastAsia="宋体" w:hAnsi="宋体" w:cs="宋体" w:hint="eastAsia"/>
          <w:color w:val="auto"/>
        </w:rPr>
        <w:t>A股股票发行情况</w:t>
      </w:r>
      <w:r w:rsidR="00072F78">
        <w:rPr>
          <w:rFonts w:ascii="宋体" w:eastAsia="宋体" w:hAnsi="宋体" w:cs="宋体" w:hint="eastAsia"/>
          <w:color w:val="auto"/>
        </w:rPr>
        <w:t>暨</w:t>
      </w:r>
      <w:r w:rsidR="00BA7ECC">
        <w:rPr>
          <w:rFonts w:ascii="宋体" w:eastAsia="宋体" w:hAnsi="宋体" w:cs="宋体" w:hint="eastAsia"/>
          <w:color w:val="auto"/>
        </w:rPr>
        <w:t>上市公告书》。</w:t>
      </w:r>
      <w:r>
        <w:rPr>
          <w:rFonts w:ascii="宋体" w:eastAsia="宋体" w:hAnsi="宋体" w:cs="宋体"/>
          <w:color w:val="auto"/>
        </w:rPr>
        <w:t>根据中国证监会《关于基金投资非公开发行股票等流通受限证券有关问题的通知》等有关规定，本公司现将旗下证券投资基金投资此非公开发行股票的相关情况公告如下：</w:t>
      </w:r>
    </w:p>
    <w:tbl>
      <w:tblPr>
        <w:tblW w:w="11494" w:type="dxa"/>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7"/>
        <w:gridCol w:w="1277"/>
        <w:gridCol w:w="1277"/>
        <w:gridCol w:w="1419"/>
        <w:gridCol w:w="1133"/>
        <w:gridCol w:w="1847"/>
        <w:gridCol w:w="993"/>
        <w:gridCol w:w="751"/>
      </w:tblGrid>
      <w:tr w:rsidR="00B644CA" w:rsidRPr="00047BD8" w:rsidTr="00B644CA">
        <w:trPr>
          <w:trHeight w:val="1206"/>
          <w:jc w:val="center"/>
        </w:trPr>
        <w:tc>
          <w:tcPr>
            <w:tcW w:w="2797"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基金名称</w:t>
            </w:r>
          </w:p>
        </w:tc>
        <w:tc>
          <w:tcPr>
            <w:tcW w:w="1277" w:type="dxa"/>
          </w:tcPr>
          <w:p w:rsidR="00B644CA" w:rsidRDefault="00B644CA" w:rsidP="002E69BE">
            <w:pPr>
              <w:widowControl/>
              <w:spacing w:before="100" w:beforeAutospacing="1" w:after="375" w:line="360" w:lineRule="atLeast"/>
              <w:jc w:val="center"/>
              <w:rPr>
                <w:rFonts w:ascii="宋体" w:hAnsi="宋体" w:cs="宋体"/>
                <w:kern w:val="0"/>
                <w:szCs w:val="21"/>
              </w:rPr>
            </w:pPr>
          </w:p>
          <w:p w:rsidR="00B644CA" w:rsidRPr="00047BD8" w:rsidRDefault="00B644CA" w:rsidP="002E69BE">
            <w:pPr>
              <w:widowControl/>
              <w:spacing w:before="100" w:beforeAutospacing="1" w:after="375" w:line="360" w:lineRule="atLeast"/>
              <w:jc w:val="center"/>
              <w:rPr>
                <w:rFonts w:ascii="宋体" w:hAnsi="宋体" w:cs="宋体" w:hint="eastAsia"/>
                <w:kern w:val="0"/>
                <w:szCs w:val="21"/>
              </w:rPr>
            </w:pPr>
            <w:r>
              <w:rPr>
                <w:rFonts w:ascii="宋体" w:hAnsi="宋体" w:cs="宋体" w:hint="eastAsia"/>
                <w:kern w:val="0"/>
                <w:szCs w:val="21"/>
              </w:rPr>
              <w:t>证券名称</w:t>
            </w:r>
          </w:p>
        </w:tc>
        <w:tc>
          <w:tcPr>
            <w:tcW w:w="127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认购数量</w:t>
            </w:r>
            <w:r w:rsidRPr="00047BD8">
              <w:rPr>
                <w:rFonts w:ascii="宋体" w:hAnsi="宋体" w:cs="宋体"/>
                <w:kern w:val="0"/>
                <w:szCs w:val="21"/>
              </w:rPr>
              <w:t>(</w:t>
            </w:r>
            <w:r w:rsidRPr="00047BD8">
              <w:rPr>
                <w:rFonts w:ascii="宋体" w:hAnsi="宋体" w:cs="宋体" w:hint="eastAsia"/>
                <w:kern w:val="0"/>
                <w:szCs w:val="21"/>
              </w:rPr>
              <w:t>股</w:t>
            </w:r>
            <w:r w:rsidRPr="00047BD8">
              <w:rPr>
                <w:rFonts w:ascii="宋体" w:hAnsi="宋体" w:cs="宋体"/>
                <w:kern w:val="0"/>
                <w:szCs w:val="21"/>
              </w:rPr>
              <w:t>)</w:t>
            </w:r>
          </w:p>
        </w:tc>
        <w:tc>
          <w:tcPr>
            <w:tcW w:w="1419"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总成本</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1133" w:type="dxa"/>
            <w:vAlign w:val="center"/>
          </w:tcPr>
          <w:p w:rsidR="00B644CA" w:rsidRPr="00047BD8" w:rsidRDefault="00B644CA" w:rsidP="007A5AFC">
            <w:pPr>
              <w:widowControl/>
              <w:spacing w:before="100" w:beforeAutospacing="1" w:after="375" w:line="360" w:lineRule="auto"/>
              <w:jc w:val="center"/>
              <w:rPr>
                <w:rFonts w:ascii="宋体" w:cs="宋体"/>
                <w:kern w:val="0"/>
                <w:szCs w:val="21"/>
              </w:rPr>
            </w:pPr>
            <w:r w:rsidRPr="00047BD8">
              <w:rPr>
                <w:rFonts w:ascii="宋体" w:hAnsi="宋体" w:cs="宋体" w:hint="eastAsia"/>
                <w:kern w:val="0"/>
                <w:szCs w:val="21"/>
              </w:rPr>
              <w:t>总成本占基金资产净值比例</w:t>
            </w:r>
            <w:r>
              <w:rPr>
                <w:rFonts w:ascii="宋体" w:hAnsi="宋体" w:cs="宋体" w:hint="eastAsia"/>
                <w:kern w:val="0"/>
                <w:szCs w:val="21"/>
              </w:rPr>
              <w:t>（%）</w:t>
            </w:r>
          </w:p>
        </w:tc>
        <w:tc>
          <w:tcPr>
            <w:tcW w:w="184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账面价值</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3"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账面价值占基金资产净值比例</w:t>
            </w:r>
            <w:r>
              <w:rPr>
                <w:rFonts w:ascii="宋体" w:hAnsi="宋体" w:cs="宋体" w:hint="eastAsia"/>
                <w:kern w:val="0"/>
                <w:szCs w:val="21"/>
              </w:rPr>
              <w:t>（%）</w:t>
            </w:r>
          </w:p>
        </w:tc>
        <w:tc>
          <w:tcPr>
            <w:tcW w:w="751"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限售期（月）</w:t>
            </w:r>
          </w:p>
        </w:tc>
      </w:tr>
      <w:tr w:rsidR="00E7660F" w:rsidRPr="00047BD8" w:rsidTr="00B644CA">
        <w:trPr>
          <w:trHeight w:val="546"/>
          <w:jc w:val="center"/>
        </w:trPr>
        <w:tc>
          <w:tcPr>
            <w:tcW w:w="2797" w:type="dxa"/>
          </w:tcPr>
          <w:p w:rsidR="00E7660F" w:rsidRPr="00AF56D5" w:rsidRDefault="008557A3" w:rsidP="00B14051">
            <w:pPr>
              <w:rPr>
                <w:rFonts w:hint="eastAsia"/>
              </w:rPr>
            </w:pPr>
            <w:r>
              <w:rPr>
                <w:rFonts w:hint="eastAsia"/>
              </w:rPr>
              <w:t>富国低碳新经济混合型证券投资基金</w:t>
            </w:r>
          </w:p>
        </w:tc>
        <w:tc>
          <w:tcPr>
            <w:tcW w:w="1277" w:type="dxa"/>
          </w:tcPr>
          <w:p w:rsidR="00E7660F" w:rsidRPr="009B5061" w:rsidRDefault="008557A3" w:rsidP="001D0C33">
            <w:pPr>
              <w:jc w:val="center"/>
            </w:pPr>
            <w:r>
              <w:rPr>
                <w:rFonts w:hint="eastAsia"/>
              </w:rPr>
              <w:t>顺丰控股</w:t>
            </w:r>
          </w:p>
        </w:tc>
        <w:tc>
          <w:tcPr>
            <w:tcW w:w="1277" w:type="dxa"/>
          </w:tcPr>
          <w:p w:rsidR="00E7660F" w:rsidRPr="009B5061" w:rsidRDefault="008557A3" w:rsidP="001D0C33">
            <w:pPr>
              <w:jc w:val="right"/>
            </w:pPr>
            <w:r>
              <w:t>874,432.00</w:t>
            </w:r>
          </w:p>
        </w:tc>
        <w:tc>
          <w:tcPr>
            <w:tcW w:w="1419" w:type="dxa"/>
          </w:tcPr>
          <w:p w:rsidR="00E7660F" w:rsidRPr="007073CE" w:rsidRDefault="008557A3" w:rsidP="001D0C33">
            <w:pPr>
              <w:jc w:val="right"/>
            </w:pPr>
            <w:r>
              <w:t>50,000,021.76</w:t>
            </w:r>
          </w:p>
        </w:tc>
        <w:tc>
          <w:tcPr>
            <w:tcW w:w="1133" w:type="dxa"/>
          </w:tcPr>
          <w:p w:rsidR="00E7660F" w:rsidRPr="004F46FD" w:rsidRDefault="008557A3" w:rsidP="001D0C33">
            <w:pPr>
              <w:jc w:val="right"/>
            </w:pPr>
            <w:r>
              <w:t>0.9237</w:t>
            </w:r>
          </w:p>
        </w:tc>
        <w:tc>
          <w:tcPr>
            <w:tcW w:w="1847" w:type="dxa"/>
          </w:tcPr>
          <w:p w:rsidR="00E7660F" w:rsidRPr="00393B05" w:rsidRDefault="008557A3" w:rsidP="001D0C33">
            <w:pPr>
              <w:jc w:val="right"/>
            </w:pPr>
            <w:r>
              <w:t>52,229,823.36</w:t>
            </w:r>
          </w:p>
        </w:tc>
        <w:tc>
          <w:tcPr>
            <w:tcW w:w="993" w:type="dxa"/>
          </w:tcPr>
          <w:p w:rsidR="00E7660F" w:rsidRPr="00E3665A" w:rsidRDefault="008557A3" w:rsidP="001D0C33">
            <w:pPr>
              <w:jc w:val="right"/>
            </w:pPr>
            <w:r>
              <w:t>0.9648</w:t>
            </w:r>
          </w:p>
        </w:tc>
        <w:tc>
          <w:tcPr>
            <w:tcW w:w="751" w:type="dxa"/>
            <w:vAlign w:val="center"/>
          </w:tcPr>
          <w:p w:rsidR="00E7660F" w:rsidRPr="00B95123" w:rsidRDefault="008557A3" w:rsidP="00753AC8">
            <w:pPr>
              <w:jc w:val="center"/>
              <w:rPr>
                <w:rFonts w:ascii="??" w:hAnsi="??" w:cs="宋体" w:hint="eastAsia"/>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富国沪深</w:t>
            </w:r>
            <w:r>
              <w:rPr>
                <w:rFonts w:hint="eastAsia"/>
              </w:rPr>
              <w:t>300</w:t>
            </w:r>
            <w:r>
              <w:rPr>
                <w:rFonts w:hint="eastAsia"/>
              </w:rPr>
              <w:t>基本面精选股票型证券投资基金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542,148.00</w:t>
            </w:r>
          </w:p>
        </w:tc>
        <w:tc>
          <w:tcPr>
            <w:tcW w:w="1419" w:type="dxa"/>
          </w:tcPr>
          <w:p w:rsidR="008557A3" w:rsidRDefault="008557A3" w:rsidP="001D0C33">
            <w:pPr>
              <w:jc w:val="right"/>
            </w:pPr>
            <w:r>
              <w:t>31,000,022.64</w:t>
            </w:r>
          </w:p>
        </w:tc>
        <w:tc>
          <w:tcPr>
            <w:tcW w:w="1133" w:type="dxa"/>
          </w:tcPr>
          <w:p w:rsidR="008557A3" w:rsidRDefault="008557A3" w:rsidP="001D0C33">
            <w:pPr>
              <w:jc w:val="right"/>
            </w:pPr>
            <w:r>
              <w:t>1.7454</w:t>
            </w:r>
          </w:p>
        </w:tc>
        <w:tc>
          <w:tcPr>
            <w:tcW w:w="1847" w:type="dxa"/>
          </w:tcPr>
          <w:p w:rsidR="008557A3" w:rsidRDefault="008557A3" w:rsidP="001D0C33">
            <w:pPr>
              <w:jc w:val="right"/>
            </w:pPr>
            <w:r>
              <w:t>32,382,500.04</w:t>
            </w:r>
          </w:p>
        </w:tc>
        <w:tc>
          <w:tcPr>
            <w:tcW w:w="993" w:type="dxa"/>
          </w:tcPr>
          <w:p w:rsidR="008557A3" w:rsidRDefault="008557A3" w:rsidP="001D0C33">
            <w:pPr>
              <w:jc w:val="right"/>
            </w:pPr>
            <w:r>
              <w:t>1.8232</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富国价值优势混合型证券投资基金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839,454.00</w:t>
            </w:r>
          </w:p>
        </w:tc>
        <w:tc>
          <w:tcPr>
            <w:tcW w:w="1419" w:type="dxa"/>
          </w:tcPr>
          <w:p w:rsidR="008557A3" w:rsidRDefault="008557A3" w:rsidP="001D0C33">
            <w:pPr>
              <w:jc w:val="right"/>
            </w:pPr>
            <w:r>
              <w:t>47,999,979.72</w:t>
            </w:r>
          </w:p>
        </w:tc>
        <w:tc>
          <w:tcPr>
            <w:tcW w:w="1133" w:type="dxa"/>
          </w:tcPr>
          <w:p w:rsidR="008557A3" w:rsidRDefault="008557A3" w:rsidP="001D0C33">
            <w:pPr>
              <w:jc w:val="right"/>
            </w:pPr>
            <w:r>
              <w:t>0.8436</w:t>
            </w:r>
          </w:p>
        </w:tc>
        <w:tc>
          <w:tcPr>
            <w:tcW w:w="1847" w:type="dxa"/>
          </w:tcPr>
          <w:p w:rsidR="008557A3" w:rsidRDefault="008557A3" w:rsidP="001D0C33">
            <w:pPr>
              <w:jc w:val="right"/>
            </w:pPr>
            <w:r>
              <w:t>50,140,587.42</w:t>
            </w:r>
          </w:p>
        </w:tc>
        <w:tc>
          <w:tcPr>
            <w:tcW w:w="993" w:type="dxa"/>
          </w:tcPr>
          <w:p w:rsidR="008557A3" w:rsidRDefault="008557A3" w:rsidP="001D0C33">
            <w:pPr>
              <w:jc w:val="right"/>
            </w:pPr>
            <w:r>
              <w:t>0.8812</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富国美丽中国混合型证券投资基金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1,224,204.00</w:t>
            </w:r>
          </w:p>
        </w:tc>
        <w:tc>
          <w:tcPr>
            <w:tcW w:w="1419" w:type="dxa"/>
          </w:tcPr>
          <w:p w:rsidR="008557A3" w:rsidRDefault="008557A3" w:rsidP="001D0C33">
            <w:pPr>
              <w:jc w:val="right"/>
            </w:pPr>
            <w:r>
              <w:t>69,999,984.72</w:t>
            </w:r>
          </w:p>
        </w:tc>
        <w:tc>
          <w:tcPr>
            <w:tcW w:w="1133" w:type="dxa"/>
          </w:tcPr>
          <w:p w:rsidR="008557A3" w:rsidRDefault="008557A3" w:rsidP="001D0C33">
            <w:pPr>
              <w:jc w:val="right"/>
            </w:pPr>
            <w:r>
              <w:t>0.8455</w:t>
            </w:r>
          </w:p>
        </w:tc>
        <w:tc>
          <w:tcPr>
            <w:tcW w:w="1847" w:type="dxa"/>
          </w:tcPr>
          <w:p w:rsidR="008557A3" w:rsidRDefault="008557A3" w:rsidP="001D0C33">
            <w:pPr>
              <w:jc w:val="right"/>
            </w:pPr>
            <w:r>
              <w:t>73,121,704.92</w:t>
            </w:r>
          </w:p>
        </w:tc>
        <w:tc>
          <w:tcPr>
            <w:tcW w:w="993" w:type="dxa"/>
          </w:tcPr>
          <w:p w:rsidR="008557A3" w:rsidRDefault="008557A3" w:rsidP="001D0C33">
            <w:pPr>
              <w:jc w:val="right"/>
            </w:pPr>
            <w:r>
              <w:t>0.8832</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富国融泰三个月定期开放混合型发起式证券投资基金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332,284.00</w:t>
            </w:r>
          </w:p>
        </w:tc>
        <w:tc>
          <w:tcPr>
            <w:tcW w:w="1419" w:type="dxa"/>
          </w:tcPr>
          <w:p w:rsidR="008557A3" w:rsidRDefault="008557A3" w:rsidP="001D0C33">
            <w:pPr>
              <w:jc w:val="right"/>
            </w:pPr>
            <w:r>
              <w:t>18,999,999.12</w:t>
            </w:r>
          </w:p>
        </w:tc>
        <w:tc>
          <w:tcPr>
            <w:tcW w:w="1133" w:type="dxa"/>
          </w:tcPr>
          <w:p w:rsidR="008557A3" w:rsidRDefault="008557A3" w:rsidP="001D0C33">
            <w:pPr>
              <w:jc w:val="right"/>
            </w:pPr>
            <w:r>
              <w:t>1.3814</w:t>
            </w:r>
          </w:p>
        </w:tc>
        <w:tc>
          <w:tcPr>
            <w:tcW w:w="1847" w:type="dxa"/>
          </w:tcPr>
          <w:p w:rsidR="008557A3" w:rsidRDefault="008557A3" w:rsidP="001D0C33">
            <w:pPr>
              <w:jc w:val="right"/>
            </w:pPr>
            <w:r>
              <w:t>19,847,323.32</w:t>
            </w:r>
          </w:p>
        </w:tc>
        <w:tc>
          <w:tcPr>
            <w:tcW w:w="993" w:type="dxa"/>
          </w:tcPr>
          <w:p w:rsidR="008557A3" w:rsidRDefault="008557A3" w:rsidP="001D0C33">
            <w:pPr>
              <w:jc w:val="right"/>
            </w:pPr>
            <w:r>
              <w:t>1.4430</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富国天合稳健优选混合型证券投资基金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1,049,318.00</w:t>
            </w:r>
          </w:p>
        </w:tc>
        <w:tc>
          <w:tcPr>
            <w:tcW w:w="1419" w:type="dxa"/>
          </w:tcPr>
          <w:p w:rsidR="008557A3" w:rsidRDefault="008557A3" w:rsidP="001D0C33">
            <w:pPr>
              <w:jc w:val="right"/>
            </w:pPr>
            <w:r>
              <w:t>60,000,003.24</w:t>
            </w:r>
          </w:p>
        </w:tc>
        <w:tc>
          <w:tcPr>
            <w:tcW w:w="1133" w:type="dxa"/>
          </w:tcPr>
          <w:p w:rsidR="008557A3" w:rsidRDefault="008557A3" w:rsidP="001D0C33">
            <w:pPr>
              <w:jc w:val="right"/>
            </w:pPr>
            <w:r>
              <w:t>0.9160</w:t>
            </w:r>
          </w:p>
        </w:tc>
        <w:tc>
          <w:tcPr>
            <w:tcW w:w="1847" w:type="dxa"/>
          </w:tcPr>
          <w:p w:rsidR="008557A3" w:rsidRDefault="008557A3" w:rsidP="001D0C33">
            <w:pPr>
              <w:jc w:val="right"/>
            </w:pPr>
            <w:r>
              <w:t>62,675,764.14</w:t>
            </w:r>
          </w:p>
        </w:tc>
        <w:tc>
          <w:tcPr>
            <w:tcW w:w="993" w:type="dxa"/>
          </w:tcPr>
          <w:p w:rsidR="008557A3" w:rsidRDefault="008557A3" w:rsidP="001D0C33">
            <w:pPr>
              <w:jc w:val="right"/>
            </w:pPr>
            <w:r>
              <w:t>0.9568</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富国天惠精选成长混合型证券投资基金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1,748,863.00</w:t>
            </w:r>
          </w:p>
        </w:tc>
        <w:tc>
          <w:tcPr>
            <w:tcW w:w="1419" w:type="dxa"/>
          </w:tcPr>
          <w:p w:rsidR="008557A3" w:rsidRDefault="008557A3" w:rsidP="001D0C33">
            <w:pPr>
              <w:jc w:val="right"/>
            </w:pPr>
            <w:r>
              <w:t>99,999,986.34</w:t>
            </w:r>
          </w:p>
        </w:tc>
        <w:tc>
          <w:tcPr>
            <w:tcW w:w="1133" w:type="dxa"/>
          </w:tcPr>
          <w:p w:rsidR="008557A3" w:rsidRDefault="008557A3" w:rsidP="001D0C33">
            <w:pPr>
              <w:jc w:val="right"/>
            </w:pPr>
            <w:r>
              <w:t>0.2450</w:t>
            </w:r>
          </w:p>
        </w:tc>
        <w:tc>
          <w:tcPr>
            <w:tcW w:w="1847" w:type="dxa"/>
          </w:tcPr>
          <w:p w:rsidR="008557A3" w:rsidRDefault="008557A3" w:rsidP="001D0C33">
            <w:pPr>
              <w:jc w:val="right"/>
            </w:pPr>
            <w:r>
              <w:t>104,459,586.99</w:t>
            </w:r>
          </w:p>
        </w:tc>
        <w:tc>
          <w:tcPr>
            <w:tcW w:w="993" w:type="dxa"/>
          </w:tcPr>
          <w:p w:rsidR="008557A3" w:rsidRDefault="008557A3" w:rsidP="001D0C33">
            <w:pPr>
              <w:jc w:val="right"/>
            </w:pPr>
            <w:r>
              <w:t>0.2559</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富国文体健康股票型证券投资基金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139,909.00</w:t>
            </w:r>
          </w:p>
        </w:tc>
        <w:tc>
          <w:tcPr>
            <w:tcW w:w="1419" w:type="dxa"/>
          </w:tcPr>
          <w:p w:rsidR="008557A3" w:rsidRDefault="008557A3" w:rsidP="001D0C33">
            <w:pPr>
              <w:jc w:val="right"/>
            </w:pPr>
            <w:r>
              <w:t>7,999,996.62</w:t>
            </w:r>
          </w:p>
        </w:tc>
        <w:tc>
          <w:tcPr>
            <w:tcW w:w="1133" w:type="dxa"/>
          </w:tcPr>
          <w:p w:rsidR="008557A3" w:rsidRDefault="008557A3" w:rsidP="001D0C33">
            <w:pPr>
              <w:jc w:val="right"/>
            </w:pPr>
            <w:r>
              <w:t>0.4646</w:t>
            </w:r>
          </w:p>
        </w:tc>
        <w:tc>
          <w:tcPr>
            <w:tcW w:w="1847" w:type="dxa"/>
          </w:tcPr>
          <w:p w:rsidR="008557A3" w:rsidRDefault="008557A3" w:rsidP="001D0C33">
            <w:pPr>
              <w:jc w:val="right"/>
            </w:pPr>
            <w:r>
              <w:t>8,356,764.57</w:t>
            </w:r>
          </w:p>
        </w:tc>
        <w:tc>
          <w:tcPr>
            <w:tcW w:w="993" w:type="dxa"/>
          </w:tcPr>
          <w:p w:rsidR="008557A3" w:rsidRDefault="008557A3" w:rsidP="001D0C33">
            <w:pPr>
              <w:jc w:val="right"/>
            </w:pPr>
            <w:r>
              <w:t>0.4853</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富国新活力灵活配置混合型发起式证券投资基金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87,443.00</w:t>
            </w:r>
          </w:p>
        </w:tc>
        <w:tc>
          <w:tcPr>
            <w:tcW w:w="1419" w:type="dxa"/>
          </w:tcPr>
          <w:p w:rsidR="008557A3" w:rsidRDefault="008557A3" w:rsidP="001D0C33">
            <w:pPr>
              <w:jc w:val="right"/>
            </w:pPr>
            <w:r>
              <w:t>4,999,990.74</w:t>
            </w:r>
          </w:p>
        </w:tc>
        <w:tc>
          <w:tcPr>
            <w:tcW w:w="1133" w:type="dxa"/>
          </w:tcPr>
          <w:p w:rsidR="008557A3" w:rsidRDefault="008557A3" w:rsidP="001D0C33">
            <w:pPr>
              <w:jc w:val="right"/>
            </w:pPr>
            <w:r>
              <w:t>0.7576</w:t>
            </w:r>
          </w:p>
        </w:tc>
        <w:tc>
          <w:tcPr>
            <w:tcW w:w="1847" w:type="dxa"/>
          </w:tcPr>
          <w:p w:rsidR="008557A3" w:rsidRDefault="008557A3" w:rsidP="001D0C33">
            <w:pPr>
              <w:jc w:val="right"/>
            </w:pPr>
            <w:r>
              <w:t>5,222,970.39</w:t>
            </w:r>
          </w:p>
        </w:tc>
        <w:tc>
          <w:tcPr>
            <w:tcW w:w="993" w:type="dxa"/>
          </w:tcPr>
          <w:p w:rsidR="008557A3" w:rsidRDefault="008557A3" w:rsidP="001D0C33">
            <w:pPr>
              <w:jc w:val="right"/>
            </w:pPr>
            <w:r>
              <w:t>0.7914</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富国新机遇灵活配置混合型发起式证券投资基金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349,773.00</w:t>
            </w:r>
          </w:p>
        </w:tc>
        <w:tc>
          <w:tcPr>
            <w:tcW w:w="1419" w:type="dxa"/>
          </w:tcPr>
          <w:p w:rsidR="008557A3" w:rsidRDefault="008557A3" w:rsidP="001D0C33">
            <w:pPr>
              <w:jc w:val="right"/>
            </w:pPr>
            <w:r>
              <w:t>20,000,020.14</w:t>
            </w:r>
          </w:p>
        </w:tc>
        <w:tc>
          <w:tcPr>
            <w:tcW w:w="1133" w:type="dxa"/>
          </w:tcPr>
          <w:p w:rsidR="008557A3" w:rsidRDefault="008557A3" w:rsidP="001D0C33">
            <w:pPr>
              <w:jc w:val="right"/>
            </w:pPr>
            <w:r>
              <w:t>1.5149</w:t>
            </w:r>
          </w:p>
        </w:tc>
        <w:tc>
          <w:tcPr>
            <w:tcW w:w="1847" w:type="dxa"/>
          </w:tcPr>
          <w:p w:rsidR="008557A3" w:rsidRDefault="008557A3" w:rsidP="001D0C33">
            <w:pPr>
              <w:jc w:val="right"/>
            </w:pPr>
            <w:r>
              <w:t>20,891,941.29</w:t>
            </w:r>
          </w:p>
        </w:tc>
        <w:tc>
          <w:tcPr>
            <w:tcW w:w="993" w:type="dxa"/>
          </w:tcPr>
          <w:p w:rsidR="008557A3" w:rsidRDefault="008557A3" w:rsidP="001D0C33">
            <w:pPr>
              <w:jc w:val="right"/>
            </w:pPr>
            <w:r>
              <w:t>1.5824</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r w:rsidR="008557A3" w:rsidRPr="00047BD8" w:rsidTr="00B644CA">
        <w:trPr>
          <w:trHeight w:val="546"/>
          <w:jc w:val="center"/>
        </w:trPr>
        <w:tc>
          <w:tcPr>
            <w:tcW w:w="2797" w:type="dxa"/>
          </w:tcPr>
          <w:p w:rsidR="008557A3" w:rsidRDefault="008557A3" w:rsidP="00B14051">
            <w:pPr>
              <w:rPr>
                <w:rFonts w:hint="eastAsia"/>
              </w:rPr>
            </w:pPr>
            <w:r>
              <w:rPr>
                <w:rFonts w:hint="eastAsia"/>
              </w:rPr>
              <w:t>富国兴远优选</w:t>
            </w:r>
            <w:r>
              <w:rPr>
                <w:rFonts w:hint="eastAsia"/>
              </w:rPr>
              <w:t>12</w:t>
            </w:r>
            <w:r>
              <w:rPr>
                <w:rFonts w:hint="eastAsia"/>
              </w:rPr>
              <w:t>个月持有期混合型证券投资基金</w:t>
            </w:r>
          </w:p>
        </w:tc>
        <w:tc>
          <w:tcPr>
            <w:tcW w:w="1277" w:type="dxa"/>
          </w:tcPr>
          <w:p w:rsidR="008557A3" w:rsidRDefault="008557A3" w:rsidP="001D0C33">
            <w:pPr>
              <w:jc w:val="center"/>
              <w:rPr>
                <w:rFonts w:hint="eastAsia"/>
              </w:rPr>
            </w:pPr>
            <w:r>
              <w:rPr>
                <w:rFonts w:hint="eastAsia"/>
              </w:rPr>
              <w:t>顺丰控股</w:t>
            </w:r>
          </w:p>
        </w:tc>
        <w:tc>
          <w:tcPr>
            <w:tcW w:w="1277" w:type="dxa"/>
          </w:tcPr>
          <w:p w:rsidR="008557A3" w:rsidRDefault="008557A3" w:rsidP="001D0C33">
            <w:pPr>
              <w:jc w:val="right"/>
            </w:pPr>
            <w:r>
              <w:t>647,079.00</w:t>
            </w:r>
          </w:p>
        </w:tc>
        <w:tc>
          <w:tcPr>
            <w:tcW w:w="1419" w:type="dxa"/>
          </w:tcPr>
          <w:p w:rsidR="008557A3" w:rsidRDefault="008557A3" w:rsidP="001D0C33">
            <w:pPr>
              <w:jc w:val="right"/>
            </w:pPr>
            <w:r>
              <w:t>36,999,977.22</w:t>
            </w:r>
          </w:p>
        </w:tc>
        <w:tc>
          <w:tcPr>
            <w:tcW w:w="1133" w:type="dxa"/>
          </w:tcPr>
          <w:p w:rsidR="008557A3" w:rsidRDefault="008557A3" w:rsidP="001D0C33">
            <w:pPr>
              <w:jc w:val="right"/>
            </w:pPr>
            <w:r>
              <w:t>0.4672</w:t>
            </w:r>
          </w:p>
        </w:tc>
        <w:tc>
          <w:tcPr>
            <w:tcW w:w="1847" w:type="dxa"/>
          </w:tcPr>
          <w:p w:rsidR="008557A3" w:rsidRDefault="008557A3" w:rsidP="001D0C33">
            <w:pPr>
              <w:jc w:val="right"/>
            </w:pPr>
            <w:r>
              <w:t>38,650,028.67</w:t>
            </w:r>
          </w:p>
        </w:tc>
        <w:tc>
          <w:tcPr>
            <w:tcW w:w="993" w:type="dxa"/>
          </w:tcPr>
          <w:p w:rsidR="008557A3" w:rsidRDefault="008557A3" w:rsidP="001D0C33">
            <w:pPr>
              <w:jc w:val="right"/>
            </w:pPr>
            <w:r>
              <w:t>0.4881</w:t>
            </w:r>
          </w:p>
        </w:tc>
        <w:tc>
          <w:tcPr>
            <w:tcW w:w="751" w:type="dxa"/>
            <w:vAlign w:val="center"/>
          </w:tcPr>
          <w:p w:rsidR="008557A3" w:rsidRDefault="008557A3" w:rsidP="00753AC8">
            <w:pPr>
              <w:jc w:val="center"/>
              <w:rPr>
                <w:rFonts w:ascii="??" w:hAnsi="??" w:cs="宋体"/>
                <w:kern w:val="0"/>
                <w:szCs w:val="21"/>
              </w:rPr>
            </w:pPr>
            <w:r>
              <w:rPr>
                <w:rFonts w:ascii="??" w:hAnsi="??" w:cs="宋体"/>
                <w:kern w:val="0"/>
                <w:szCs w:val="21"/>
              </w:rPr>
              <w:t>6</w:t>
            </w:r>
          </w:p>
        </w:tc>
      </w:tr>
    </w:tbl>
    <w:p w:rsidR="001420EB" w:rsidRPr="00503051" w:rsidRDefault="001420EB" w:rsidP="00503051">
      <w:pPr>
        <w:pStyle w:val="Default"/>
        <w:spacing w:line="360" w:lineRule="auto"/>
        <w:ind w:firstLineChars="200" w:firstLine="480"/>
        <w:rPr>
          <w:rFonts w:ascii="宋体" w:eastAsia="宋体" w:hAnsi="宋体" w:cs="宋体"/>
          <w:color w:val="auto"/>
        </w:rPr>
      </w:pPr>
      <w:r w:rsidRPr="001D0C33">
        <w:rPr>
          <w:rFonts w:ascii="宋体" w:eastAsia="宋体" w:hAnsi="宋体" w:cs="宋体" w:hint="eastAsia"/>
          <w:color w:val="auto"/>
        </w:rPr>
        <w:t>注：基金资产净值、账面价值为</w:t>
      </w:r>
      <w:fldSimple w:instr=" DOCVARIABLE  THISENDDATE  \* MERGEFORMAT ">
        <w:r w:rsidR="008557A3">
          <w:rPr>
            <w:rFonts w:ascii="宋体" w:eastAsia="宋体" w:hAnsi="宋体" w:cs="宋体"/>
            <w:color w:val="auto"/>
          </w:rPr>
          <w:t>2021年11月17日</w:t>
        </w:r>
      </w:fldSimple>
      <w:r w:rsidRPr="001D0C33">
        <w:rPr>
          <w:rFonts w:ascii="宋体" w:eastAsia="宋体" w:hAnsi="宋体" w:cs="宋体" w:hint="eastAsia"/>
          <w:color w:val="auto"/>
        </w:rPr>
        <w:t>数据</w:t>
      </w:r>
      <w:r w:rsidRPr="00503051">
        <w:rPr>
          <w:rFonts w:ascii="宋体" w:eastAsia="宋体" w:hAnsi="宋体" w:cs="宋体" w:hint="eastAsia"/>
          <w:color w:val="auto"/>
        </w:rPr>
        <w:t>。</w:t>
      </w:r>
    </w:p>
    <w:p w:rsidR="00503051" w:rsidRPr="00503051" w:rsidRDefault="00106014"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lastRenderedPageBreak/>
        <w:t>投资者可以登陆富国基金管理有限公司网站www.fullgoal.com.cn或拨打富国基金管理有限公司客户服务热线95105686、4008880688（全国统一，均免长途费）进行相关咨询。</w:t>
      </w:r>
    </w:p>
    <w:p w:rsidR="00106014" w:rsidRPr="00503051" w:rsidRDefault="00106014" w:rsidP="00503051">
      <w:pPr>
        <w:pStyle w:val="Default"/>
        <w:spacing w:line="360" w:lineRule="auto"/>
        <w:ind w:firstLineChars="200" w:firstLine="480"/>
        <w:rPr>
          <w:rFonts w:ascii="宋体" w:eastAsia="宋体" w:hAnsi="宋体" w:cs="宋体" w:hint="eastAsia"/>
          <w:color w:val="auto"/>
        </w:rPr>
      </w:pPr>
      <w:r w:rsidRPr="00503051">
        <w:rPr>
          <w:rFonts w:ascii="宋体" w:eastAsia="宋体" w:hAnsi="宋体" w:cs="宋体" w:hint="eastAsia"/>
          <w:color w:val="auto"/>
        </w:rPr>
        <w:t>风险提示：基金管理人承诺以诚实信用、勤勉尽责的原则管理和运用基金资产，但不保证基金一定盈利，也不保证最低收益。投资者投资于</w:t>
      </w:r>
      <w:r w:rsidR="00F1353E" w:rsidRPr="00503051">
        <w:rPr>
          <w:rFonts w:ascii="宋体" w:eastAsia="宋体" w:hAnsi="宋体" w:cs="宋体" w:hint="eastAsia"/>
          <w:color w:val="auto"/>
        </w:rPr>
        <w:t>上述</w:t>
      </w:r>
      <w:r w:rsidRPr="00503051">
        <w:rPr>
          <w:rFonts w:ascii="宋体" w:eastAsia="宋体" w:hAnsi="宋体" w:cs="宋体" w:hint="eastAsia"/>
          <w:color w:val="auto"/>
        </w:rPr>
        <w:t>基金前应认真阅读相关基金的基金合同和招募说明书。</w:t>
      </w:r>
    </w:p>
    <w:p w:rsidR="00503051"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特此公告</w:t>
      </w:r>
      <w:r w:rsidR="00106014" w:rsidRPr="00503051">
        <w:rPr>
          <w:rFonts w:ascii="宋体" w:eastAsia="宋体" w:hAnsi="宋体" w:cs="宋体" w:hint="eastAsia"/>
          <w:color w:val="auto"/>
        </w:rPr>
        <w:t>。</w:t>
      </w:r>
    </w:p>
    <w:p w:rsidR="001420EB" w:rsidRPr="00047BD8" w:rsidRDefault="001420EB" w:rsidP="00503051">
      <w:pPr>
        <w:widowControl/>
        <w:spacing w:before="100" w:beforeAutospacing="1" w:after="375"/>
        <w:ind w:firstLine="420"/>
        <w:jc w:val="right"/>
        <w:rPr>
          <w:rFonts w:ascii="宋体" w:cs="宋体"/>
          <w:kern w:val="0"/>
          <w:sz w:val="24"/>
          <w:szCs w:val="24"/>
        </w:rPr>
      </w:pPr>
      <w:r w:rsidRPr="00047BD8">
        <w:rPr>
          <w:rFonts w:ascii="宋体" w:hAnsi="宋体" w:cs="宋体" w:hint="eastAsia"/>
          <w:kern w:val="0"/>
          <w:sz w:val="24"/>
          <w:szCs w:val="24"/>
        </w:rPr>
        <w:t>富国基金管理有限公司</w:t>
      </w:r>
    </w:p>
    <w:p w:rsidR="003A394A" w:rsidRPr="00B832BF" w:rsidRDefault="008557A3" w:rsidP="00503051">
      <w:pPr>
        <w:widowControl/>
        <w:spacing w:before="100" w:beforeAutospacing="1"/>
        <w:ind w:firstLine="420"/>
        <w:jc w:val="right"/>
        <w:rPr>
          <w:rFonts w:ascii="宋体" w:hAnsi="宋体" w:cs="宋体" w:hint="eastAsia"/>
          <w:color w:val="000000"/>
          <w:kern w:val="0"/>
          <w:sz w:val="24"/>
          <w:szCs w:val="24"/>
        </w:rPr>
      </w:pPr>
      <w:r>
        <w:rPr>
          <w:rFonts w:ascii="宋体" w:hAnsi="宋体" w:cs="宋体"/>
          <w:kern w:val="0"/>
          <w:sz w:val="24"/>
          <w:szCs w:val="24"/>
        </w:rPr>
        <w:t>2021年11月19日</w:t>
      </w:r>
      <w:r w:rsidR="001420EB" w:rsidRPr="00FD1D1E">
        <w:rPr>
          <w:rFonts w:ascii="宋体" w:hAnsi="宋体" w:cs="宋体"/>
          <w:color w:val="000000"/>
          <w:kern w:val="0"/>
          <w:sz w:val="24"/>
          <w:szCs w:val="24"/>
        </w:rPr>
        <w:t xml:space="preserve"> </w:t>
      </w:r>
    </w:p>
    <w:sectPr w:rsidR="003A394A" w:rsidRPr="00B832BF" w:rsidSect="00ED2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FD" w:rsidRDefault="004440FD" w:rsidP="00CC37A0">
      <w:r>
        <w:separator/>
      </w:r>
    </w:p>
  </w:endnote>
  <w:endnote w:type="continuationSeparator" w:id="0">
    <w:p w:rsidR="004440FD" w:rsidRDefault="004440FD" w:rsidP="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FD" w:rsidRDefault="004440FD" w:rsidP="00CC37A0">
      <w:r>
        <w:separator/>
      </w:r>
    </w:p>
  </w:footnote>
  <w:footnote w:type="continuationSeparator" w:id="0">
    <w:p w:rsidR="004440FD" w:rsidRDefault="004440FD" w:rsidP="00CC3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DURATION" w:val="0001年01月01日至0001年01月01日"/>
    <w:docVar w:name="LASTENDDATE" w:val="0001年01月01日"/>
    <w:docVar w:name="LASTSTARTDATE" w:val="0001年01月01日"/>
    <w:docVar w:name="THISDURATION" w:val="2021年11月17日至2021年11月17日"/>
    <w:docVar w:name="THISENDDATE" w:val="2021年11月17日"/>
    <w:docVar w:name="THISSTARTDATE" w:val="2021年11月17日"/>
  </w:docVars>
  <w:rsids>
    <w:rsidRoot w:val="003C59EA"/>
    <w:rsid w:val="0000031F"/>
    <w:rsid w:val="000236E9"/>
    <w:rsid w:val="000315D0"/>
    <w:rsid w:val="00032568"/>
    <w:rsid w:val="000330E3"/>
    <w:rsid w:val="0004190E"/>
    <w:rsid w:val="00047BD8"/>
    <w:rsid w:val="00050070"/>
    <w:rsid w:val="0006489F"/>
    <w:rsid w:val="00072C5B"/>
    <w:rsid w:val="00072F78"/>
    <w:rsid w:val="0008430E"/>
    <w:rsid w:val="00085976"/>
    <w:rsid w:val="000922AB"/>
    <w:rsid w:val="000A3F32"/>
    <w:rsid w:val="000B5BCE"/>
    <w:rsid w:val="000C2A1C"/>
    <w:rsid w:val="000C6BBA"/>
    <w:rsid w:val="000E31EF"/>
    <w:rsid w:val="000E44F6"/>
    <w:rsid w:val="000E5A74"/>
    <w:rsid w:val="000F23B7"/>
    <w:rsid w:val="000F42FC"/>
    <w:rsid w:val="000F461C"/>
    <w:rsid w:val="00106014"/>
    <w:rsid w:val="00113E78"/>
    <w:rsid w:val="00137D3A"/>
    <w:rsid w:val="001420EB"/>
    <w:rsid w:val="00142BD2"/>
    <w:rsid w:val="00146EB4"/>
    <w:rsid w:val="0015261E"/>
    <w:rsid w:val="0016522E"/>
    <w:rsid w:val="0018091A"/>
    <w:rsid w:val="0019183C"/>
    <w:rsid w:val="001957B1"/>
    <w:rsid w:val="001C188F"/>
    <w:rsid w:val="001D0144"/>
    <w:rsid w:val="001D0C33"/>
    <w:rsid w:val="001D7D1E"/>
    <w:rsid w:val="001E6159"/>
    <w:rsid w:val="001F1148"/>
    <w:rsid w:val="001F3820"/>
    <w:rsid w:val="001F535B"/>
    <w:rsid w:val="002056CB"/>
    <w:rsid w:val="00223164"/>
    <w:rsid w:val="00236FA5"/>
    <w:rsid w:val="00246F48"/>
    <w:rsid w:val="00256601"/>
    <w:rsid w:val="00261FF6"/>
    <w:rsid w:val="00265456"/>
    <w:rsid w:val="00276729"/>
    <w:rsid w:val="00293706"/>
    <w:rsid w:val="002950F3"/>
    <w:rsid w:val="002954E6"/>
    <w:rsid w:val="002B6658"/>
    <w:rsid w:val="002B7691"/>
    <w:rsid w:val="002C204E"/>
    <w:rsid w:val="002D668E"/>
    <w:rsid w:val="002E69BE"/>
    <w:rsid w:val="002F471D"/>
    <w:rsid w:val="0031062B"/>
    <w:rsid w:val="00311BA8"/>
    <w:rsid w:val="0034411B"/>
    <w:rsid w:val="00377F98"/>
    <w:rsid w:val="003863AF"/>
    <w:rsid w:val="003A394A"/>
    <w:rsid w:val="003B241E"/>
    <w:rsid w:val="003B35E9"/>
    <w:rsid w:val="003B480F"/>
    <w:rsid w:val="003B6B3F"/>
    <w:rsid w:val="003C59EA"/>
    <w:rsid w:val="003C6997"/>
    <w:rsid w:val="003D11F4"/>
    <w:rsid w:val="003E3D63"/>
    <w:rsid w:val="003E5026"/>
    <w:rsid w:val="003E7ADF"/>
    <w:rsid w:val="003F3D21"/>
    <w:rsid w:val="003F5BF3"/>
    <w:rsid w:val="003F5CDF"/>
    <w:rsid w:val="004109B4"/>
    <w:rsid w:val="004115C2"/>
    <w:rsid w:val="0041486D"/>
    <w:rsid w:val="00434648"/>
    <w:rsid w:val="004440FD"/>
    <w:rsid w:val="004665EF"/>
    <w:rsid w:val="00475029"/>
    <w:rsid w:val="004822DE"/>
    <w:rsid w:val="00484009"/>
    <w:rsid w:val="004A08E2"/>
    <w:rsid w:val="004A60C7"/>
    <w:rsid w:val="004B04FC"/>
    <w:rsid w:val="004C28CD"/>
    <w:rsid w:val="004E07FB"/>
    <w:rsid w:val="004E4226"/>
    <w:rsid w:val="004E673F"/>
    <w:rsid w:val="004F3F4A"/>
    <w:rsid w:val="004F7DC6"/>
    <w:rsid w:val="005021B7"/>
    <w:rsid w:val="00503051"/>
    <w:rsid w:val="005152A1"/>
    <w:rsid w:val="0052771A"/>
    <w:rsid w:val="00530E04"/>
    <w:rsid w:val="00531E6D"/>
    <w:rsid w:val="005333C9"/>
    <w:rsid w:val="005554E5"/>
    <w:rsid w:val="00564975"/>
    <w:rsid w:val="005929EB"/>
    <w:rsid w:val="00595430"/>
    <w:rsid w:val="005B16F5"/>
    <w:rsid w:val="005C0230"/>
    <w:rsid w:val="005C2DC3"/>
    <w:rsid w:val="006027FA"/>
    <w:rsid w:val="00603C6E"/>
    <w:rsid w:val="0060444E"/>
    <w:rsid w:val="00611390"/>
    <w:rsid w:val="0063433C"/>
    <w:rsid w:val="006371CB"/>
    <w:rsid w:val="006408E8"/>
    <w:rsid w:val="00647F2B"/>
    <w:rsid w:val="0065384E"/>
    <w:rsid w:val="006627C6"/>
    <w:rsid w:val="006755EA"/>
    <w:rsid w:val="006800DC"/>
    <w:rsid w:val="00696A9B"/>
    <w:rsid w:val="006B5813"/>
    <w:rsid w:val="006C1562"/>
    <w:rsid w:val="006C166E"/>
    <w:rsid w:val="006C4626"/>
    <w:rsid w:val="006C4EE4"/>
    <w:rsid w:val="006E1683"/>
    <w:rsid w:val="006E616E"/>
    <w:rsid w:val="006F75D9"/>
    <w:rsid w:val="007037F2"/>
    <w:rsid w:val="00724134"/>
    <w:rsid w:val="00724F46"/>
    <w:rsid w:val="0073671A"/>
    <w:rsid w:val="00744C6C"/>
    <w:rsid w:val="00746752"/>
    <w:rsid w:val="0075021F"/>
    <w:rsid w:val="00750345"/>
    <w:rsid w:val="00753AC8"/>
    <w:rsid w:val="007570BA"/>
    <w:rsid w:val="00761D5F"/>
    <w:rsid w:val="00764CBF"/>
    <w:rsid w:val="007779D3"/>
    <w:rsid w:val="007A021D"/>
    <w:rsid w:val="007A5AFC"/>
    <w:rsid w:val="007B2A9F"/>
    <w:rsid w:val="007B56D0"/>
    <w:rsid w:val="007B75F2"/>
    <w:rsid w:val="007C5156"/>
    <w:rsid w:val="007C75D9"/>
    <w:rsid w:val="007E1E85"/>
    <w:rsid w:val="007E1EB9"/>
    <w:rsid w:val="007E2073"/>
    <w:rsid w:val="007E30A6"/>
    <w:rsid w:val="007E4203"/>
    <w:rsid w:val="007F395E"/>
    <w:rsid w:val="007F4BAE"/>
    <w:rsid w:val="00805840"/>
    <w:rsid w:val="00810C9D"/>
    <w:rsid w:val="008179EF"/>
    <w:rsid w:val="008215BC"/>
    <w:rsid w:val="00821D5A"/>
    <w:rsid w:val="0082227C"/>
    <w:rsid w:val="00840965"/>
    <w:rsid w:val="0084245A"/>
    <w:rsid w:val="00853C5E"/>
    <w:rsid w:val="008557A3"/>
    <w:rsid w:val="0086164B"/>
    <w:rsid w:val="008A037E"/>
    <w:rsid w:val="008A04CA"/>
    <w:rsid w:val="008A3F03"/>
    <w:rsid w:val="008A618C"/>
    <w:rsid w:val="008D4872"/>
    <w:rsid w:val="008F3BF0"/>
    <w:rsid w:val="00901A50"/>
    <w:rsid w:val="009069A4"/>
    <w:rsid w:val="00907BD8"/>
    <w:rsid w:val="009335FF"/>
    <w:rsid w:val="00962915"/>
    <w:rsid w:val="00964D55"/>
    <w:rsid w:val="00966552"/>
    <w:rsid w:val="009668C7"/>
    <w:rsid w:val="00974A44"/>
    <w:rsid w:val="009B482D"/>
    <w:rsid w:val="009C3F12"/>
    <w:rsid w:val="009C530A"/>
    <w:rsid w:val="009E1900"/>
    <w:rsid w:val="009E47FB"/>
    <w:rsid w:val="00A06E1C"/>
    <w:rsid w:val="00A07AC3"/>
    <w:rsid w:val="00A14545"/>
    <w:rsid w:val="00A20FBA"/>
    <w:rsid w:val="00A23F9F"/>
    <w:rsid w:val="00A24F1D"/>
    <w:rsid w:val="00A26F15"/>
    <w:rsid w:val="00A40848"/>
    <w:rsid w:val="00A40971"/>
    <w:rsid w:val="00A41A4A"/>
    <w:rsid w:val="00A65ABB"/>
    <w:rsid w:val="00A8189F"/>
    <w:rsid w:val="00A81FAD"/>
    <w:rsid w:val="00A9221A"/>
    <w:rsid w:val="00A94551"/>
    <w:rsid w:val="00AA0FD1"/>
    <w:rsid w:val="00AB2340"/>
    <w:rsid w:val="00AB306F"/>
    <w:rsid w:val="00AC3E8D"/>
    <w:rsid w:val="00AC7A1D"/>
    <w:rsid w:val="00AC7F56"/>
    <w:rsid w:val="00AD2A0D"/>
    <w:rsid w:val="00AE30A4"/>
    <w:rsid w:val="00B02503"/>
    <w:rsid w:val="00B13272"/>
    <w:rsid w:val="00B14051"/>
    <w:rsid w:val="00B15910"/>
    <w:rsid w:val="00B26E3A"/>
    <w:rsid w:val="00B42208"/>
    <w:rsid w:val="00B42253"/>
    <w:rsid w:val="00B431C2"/>
    <w:rsid w:val="00B5579B"/>
    <w:rsid w:val="00B607BE"/>
    <w:rsid w:val="00B62473"/>
    <w:rsid w:val="00B644CA"/>
    <w:rsid w:val="00B72BAA"/>
    <w:rsid w:val="00B753F6"/>
    <w:rsid w:val="00B832BF"/>
    <w:rsid w:val="00B85962"/>
    <w:rsid w:val="00B95123"/>
    <w:rsid w:val="00BA7ECC"/>
    <w:rsid w:val="00BC6FE8"/>
    <w:rsid w:val="00BD4B84"/>
    <w:rsid w:val="00BE10B2"/>
    <w:rsid w:val="00C041C7"/>
    <w:rsid w:val="00C122D0"/>
    <w:rsid w:val="00C237D2"/>
    <w:rsid w:val="00C255A4"/>
    <w:rsid w:val="00C332F5"/>
    <w:rsid w:val="00C40659"/>
    <w:rsid w:val="00C42CBA"/>
    <w:rsid w:val="00C444CE"/>
    <w:rsid w:val="00C47340"/>
    <w:rsid w:val="00C551B8"/>
    <w:rsid w:val="00C83D31"/>
    <w:rsid w:val="00C85ED6"/>
    <w:rsid w:val="00CA08A1"/>
    <w:rsid w:val="00CC37A0"/>
    <w:rsid w:val="00CD032D"/>
    <w:rsid w:val="00CD782C"/>
    <w:rsid w:val="00CE1881"/>
    <w:rsid w:val="00CE3D83"/>
    <w:rsid w:val="00CE56A2"/>
    <w:rsid w:val="00D10A99"/>
    <w:rsid w:val="00D112B2"/>
    <w:rsid w:val="00D1291A"/>
    <w:rsid w:val="00D26CAC"/>
    <w:rsid w:val="00D41770"/>
    <w:rsid w:val="00D42E5F"/>
    <w:rsid w:val="00D55408"/>
    <w:rsid w:val="00D619BE"/>
    <w:rsid w:val="00D66FD5"/>
    <w:rsid w:val="00D727A4"/>
    <w:rsid w:val="00D74AF2"/>
    <w:rsid w:val="00D803DC"/>
    <w:rsid w:val="00D808C7"/>
    <w:rsid w:val="00D83B89"/>
    <w:rsid w:val="00D85433"/>
    <w:rsid w:val="00D96CA2"/>
    <w:rsid w:val="00DA5013"/>
    <w:rsid w:val="00DC00EB"/>
    <w:rsid w:val="00DC0FA0"/>
    <w:rsid w:val="00DD5C27"/>
    <w:rsid w:val="00DD677F"/>
    <w:rsid w:val="00DD6D6E"/>
    <w:rsid w:val="00DE3FCD"/>
    <w:rsid w:val="00DF25D2"/>
    <w:rsid w:val="00E00DC5"/>
    <w:rsid w:val="00E01F49"/>
    <w:rsid w:val="00E07149"/>
    <w:rsid w:val="00E130CA"/>
    <w:rsid w:val="00E279D2"/>
    <w:rsid w:val="00E30FF7"/>
    <w:rsid w:val="00E31B3E"/>
    <w:rsid w:val="00E458F7"/>
    <w:rsid w:val="00E50C70"/>
    <w:rsid w:val="00E5732A"/>
    <w:rsid w:val="00E57552"/>
    <w:rsid w:val="00E7660F"/>
    <w:rsid w:val="00E8077B"/>
    <w:rsid w:val="00EB165D"/>
    <w:rsid w:val="00EB4B61"/>
    <w:rsid w:val="00EC0541"/>
    <w:rsid w:val="00EC21AA"/>
    <w:rsid w:val="00EC3C3A"/>
    <w:rsid w:val="00EC4627"/>
    <w:rsid w:val="00ED2E2E"/>
    <w:rsid w:val="00ED515D"/>
    <w:rsid w:val="00ED5B31"/>
    <w:rsid w:val="00ED69ED"/>
    <w:rsid w:val="00EE1AF3"/>
    <w:rsid w:val="00EE3160"/>
    <w:rsid w:val="00EF24FC"/>
    <w:rsid w:val="00EF4B5E"/>
    <w:rsid w:val="00EF7D90"/>
    <w:rsid w:val="00F1353E"/>
    <w:rsid w:val="00F13C6A"/>
    <w:rsid w:val="00F40A0C"/>
    <w:rsid w:val="00F45241"/>
    <w:rsid w:val="00F51BD8"/>
    <w:rsid w:val="00F565E7"/>
    <w:rsid w:val="00F605B4"/>
    <w:rsid w:val="00F72B9E"/>
    <w:rsid w:val="00F81885"/>
    <w:rsid w:val="00F85CEE"/>
    <w:rsid w:val="00F862D6"/>
    <w:rsid w:val="00F91D8D"/>
    <w:rsid w:val="00FA7BE4"/>
    <w:rsid w:val="00FB5803"/>
    <w:rsid w:val="00FD0031"/>
    <w:rsid w:val="00FD1D1E"/>
    <w:rsid w:val="00FF3C86"/>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E"/>
    <w:pPr>
      <w:widowControl w:val="0"/>
      <w:jc w:val="both"/>
    </w:pPr>
    <w:rPr>
      <w:kern w:val="2"/>
      <w:sz w:val="21"/>
      <w:szCs w:val="22"/>
    </w:rPr>
  </w:style>
  <w:style w:type="paragraph" w:styleId="1">
    <w:name w:val="heading 1"/>
    <w:basedOn w:val="a"/>
    <w:link w:val="1Char"/>
    <w:uiPriority w:val="99"/>
    <w:qFormat/>
    <w:rsid w:val="00CC37A0"/>
    <w:pPr>
      <w:widowControl/>
      <w:spacing w:before="100" w:beforeAutospacing="1" w:after="100" w:afterAutospacing="1"/>
      <w:jc w:val="left"/>
      <w:outlineLvl w:val="0"/>
    </w:pPr>
    <w:rPr>
      <w:rFonts w:ascii="宋体" w:hAnsi="宋体"/>
      <w:b/>
      <w:bCs/>
      <w:color w:val="000000"/>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C37A0"/>
    <w:rPr>
      <w:rFonts w:ascii="宋体" w:eastAsia="宋体" w:hAnsi="宋体" w:cs="宋体"/>
      <w:b/>
      <w:bCs/>
      <w:color w:val="000000"/>
      <w:kern w:val="36"/>
      <w:sz w:val="48"/>
      <w:szCs w:val="48"/>
    </w:rPr>
  </w:style>
  <w:style w:type="paragraph" w:styleId="a3">
    <w:name w:val="header"/>
    <w:basedOn w:val="a"/>
    <w:link w:val="Char"/>
    <w:uiPriority w:val="99"/>
    <w:semiHidden/>
    <w:rsid w:val="00CC37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7A0"/>
    <w:rPr>
      <w:rFonts w:cs="Times New Roman"/>
      <w:sz w:val="18"/>
      <w:szCs w:val="18"/>
    </w:rPr>
  </w:style>
  <w:style w:type="paragraph" w:styleId="a4">
    <w:name w:val="footer"/>
    <w:basedOn w:val="a"/>
    <w:link w:val="Char0"/>
    <w:uiPriority w:val="99"/>
    <w:semiHidden/>
    <w:rsid w:val="00CC37A0"/>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7A0"/>
    <w:rPr>
      <w:rFonts w:cs="Times New Roman"/>
      <w:sz w:val="18"/>
      <w:szCs w:val="18"/>
    </w:rPr>
  </w:style>
  <w:style w:type="character" w:styleId="a5">
    <w:name w:val="Hyperlink"/>
    <w:uiPriority w:val="99"/>
    <w:semiHidden/>
    <w:rsid w:val="00CC37A0"/>
    <w:rPr>
      <w:rFonts w:cs="Times New Roman"/>
      <w:color w:val="000000"/>
      <w:u w:val="none"/>
      <w:effect w:val="none"/>
    </w:rPr>
  </w:style>
  <w:style w:type="character" w:customStyle="1" w:styleId="agreen">
    <w:name w:val="agreen"/>
    <w:uiPriority w:val="99"/>
    <w:rsid w:val="00CC37A0"/>
    <w:rPr>
      <w:rFonts w:cs="Times New Roman"/>
    </w:rPr>
  </w:style>
  <w:style w:type="table" w:styleId="a6">
    <w:name w:val="Table Grid"/>
    <w:basedOn w:val="a1"/>
    <w:uiPriority w:val="99"/>
    <w:rsid w:val="00CC3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uiPriority w:val="99"/>
    <w:qFormat/>
    <w:rsid w:val="00F40A0C"/>
    <w:rPr>
      <w:rFonts w:cs="Times New Roman"/>
      <w:color w:val="CC0033"/>
    </w:rPr>
  </w:style>
  <w:style w:type="paragraph" w:styleId="a8">
    <w:name w:val="Balloon Text"/>
    <w:basedOn w:val="a"/>
    <w:link w:val="Char1"/>
    <w:uiPriority w:val="99"/>
    <w:semiHidden/>
    <w:unhideWhenUsed/>
    <w:rsid w:val="00AB2340"/>
    <w:rPr>
      <w:sz w:val="18"/>
      <w:szCs w:val="18"/>
      <w:lang/>
    </w:rPr>
  </w:style>
  <w:style w:type="character" w:customStyle="1" w:styleId="Char1">
    <w:name w:val="批注框文本 Char"/>
    <w:link w:val="a8"/>
    <w:uiPriority w:val="99"/>
    <w:semiHidden/>
    <w:rsid w:val="00AB2340"/>
    <w:rPr>
      <w:kern w:val="2"/>
      <w:sz w:val="18"/>
      <w:szCs w:val="18"/>
    </w:rPr>
  </w:style>
  <w:style w:type="character" w:styleId="a9">
    <w:name w:val="annotation reference"/>
    <w:uiPriority w:val="99"/>
    <w:semiHidden/>
    <w:unhideWhenUsed/>
    <w:rsid w:val="00AB2340"/>
    <w:rPr>
      <w:sz w:val="21"/>
      <w:szCs w:val="21"/>
    </w:rPr>
  </w:style>
  <w:style w:type="paragraph" w:styleId="aa">
    <w:name w:val="annotation text"/>
    <w:basedOn w:val="a"/>
    <w:link w:val="Char2"/>
    <w:uiPriority w:val="99"/>
    <w:semiHidden/>
    <w:unhideWhenUsed/>
    <w:rsid w:val="00AB2340"/>
    <w:pPr>
      <w:jc w:val="left"/>
    </w:pPr>
    <w:rPr>
      <w:lang/>
    </w:rPr>
  </w:style>
  <w:style w:type="character" w:customStyle="1" w:styleId="Char2">
    <w:name w:val="批注文字 Char"/>
    <w:link w:val="aa"/>
    <w:uiPriority w:val="99"/>
    <w:semiHidden/>
    <w:rsid w:val="00AB2340"/>
    <w:rPr>
      <w:kern w:val="2"/>
      <w:sz w:val="21"/>
      <w:szCs w:val="22"/>
    </w:rPr>
  </w:style>
  <w:style w:type="paragraph" w:styleId="ab">
    <w:name w:val="annotation subject"/>
    <w:basedOn w:val="aa"/>
    <w:next w:val="aa"/>
    <w:link w:val="Char3"/>
    <w:uiPriority w:val="99"/>
    <w:semiHidden/>
    <w:unhideWhenUsed/>
    <w:rsid w:val="00AB2340"/>
    <w:rPr>
      <w:b/>
      <w:bCs/>
    </w:rPr>
  </w:style>
  <w:style w:type="character" w:customStyle="1" w:styleId="Char3">
    <w:name w:val="批注主题 Char"/>
    <w:link w:val="ab"/>
    <w:uiPriority w:val="99"/>
    <w:semiHidden/>
    <w:rsid w:val="00AB2340"/>
    <w:rPr>
      <w:b/>
      <w:bCs/>
      <w:kern w:val="2"/>
      <w:sz w:val="21"/>
      <w:szCs w:val="22"/>
    </w:rPr>
  </w:style>
  <w:style w:type="paragraph" w:customStyle="1" w:styleId="Default">
    <w:name w:val="Default"/>
    <w:rsid w:val="00611390"/>
    <w:pPr>
      <w:widowControl w:val="0"/>
      <w:autoSpaceDE w:val="0"/>
      <w:autoSpaceDN w:val="0"/>
      <w:adjustRightInd w:val="0"/>
    </w:pPr>
    <w:rPr>
      <w:rFonts w:ascii="华文中宋" w:eastAsia="华文中宋" w:cs="华文中宋"/>
      <w:color w:val="000000"/>
      <w:sz w:val="24"/>
      <w:szCs w:val="24"/>
    </w:rPr>
  </w:style>
  <w:style w:type="paragraph" w:styleId="HTML">
    <w:name w:val="HTML Preformatted"/>
    <w:basedOn w:val="a"/>
    <w:link w:val="HTMLChar"/>
    <w:uiPriority w:val="99"/>
    <w:unhideWhenUsed/>
    <w:rsid w:val="00CE1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CE188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273551">
      <w:bodyDiv w:val="1"/>
      <w:marLeft w:val="0"/>
      <w:marRight w:val="0"/>
      <w:marTop w:val="0"/>
      <w:marBottom w:val="0"/>
      <w:divBdr>
        <w:top w:val="none" w:sz="0" w:space="0" w:color="auto"/>
        <w:left w:val="none" w:sz="0" w:space="0" w:color="auto"/>
        <w:bottom w:val="none" w:sz="0" w:space="0" w:color="auto"/>
        <w:right w:val="none" w:sz="0" w:space="0" w:color="auto"/>
      </w:divBdr>
    </w:div>
    <w:div w:id="70978291">
      <w:bodyDiv w:val="1"/>
      <w:marLeft w:val="0"/>
      <w:marRight w:val="0"/>
      <w:marTop w:val="0"/>
      <w:marBottom w:val="0"/>
      <w:divBdr>
        <w:top w:val="none" w:sz="0" w:space="0" w:color="auto"/>
        <w:left w:val="none" w:sz="0" w:space="0" w:color="auto"/>
        <w:bottom w:val="none" w:sz="0" w:space="0" w:color="auto"/>
        <w:right w:val="none" w:sz="0" w:space="0" w:color="auto"/>
      </w:divBdr>
    </w:div>
    <w:div w:id="106169610">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202595031">
      <w:bodyDiv w:val="1"/>
      <w:marLeft w:val="0"/>
      <w:marRight w:val="0"/>
      <w:marTop w:val="0"/>
      <w:marBottom w:val="0"/>
      <w:divBdr>
        <w:top w:val="none" w:sz="0" w:space="0" w:color="auto"/>
        <w:left w:val="none" w:sz="0" w:space="0" w:color="auto"/>
        <w:bottom w:val="none" w:sz="0" w:space="0" w:color="auto"/>
        <w:right w:val="none" w:sz="0" w:space="0" w:color="auto"/>
      </w:divBdr>
    </w:div>
    <w:div w:id="268859002">
      <w:bodyDiv w:val="1"/>
      <w:marLeft w:val="0"/>
      <w:marRight w:val="0"/>
      <w:marTop w:val="0"/>
      <w:marBottom w:val="0"/>
      <w:divBdr>
        <w:top w:val="none" w:sz="0" w:space="0" w:color="auto"/>
        <w:left w:val="none" w:sz="0" w:space="0" w:color="auto"/>
        <w:bottom w:val="none" w:sz="0" w:space="0" w:color="auto"/>
        <w:right w:val="none" w:sz="0" w:space="0" w:color="auto"/>
      </w:divBdr>
    </w:div>
    <w:div w:id="296616066">
      <w:bodyDiv w:val="1"/>
      <w:marLeft w:val="0"/>
      <w:marRight w:val="0"/>
      <w:marTop w:val="0"/>
      <w:marBottom w:val="0"/>
      <w:divBdr>
        <w:top w:val="none" w:sz="0" w:space="0" w:color="auto"/>
        <w:left w:val="none" w:sz="0" w:space="0" w:color="auto"/>
        <w:bottom w:val="none" w:sz="0" w:space="0" w:color="auto"/>
        <w:right w:val="none" w:sz="0" w:space="0" w:color="auto"/>
      </w:divBdr>
    </w:div>
    <w:div w:id="367267274">
      <w:bodyDiv w:val="1"/>
      <w:marLeft w:val="0"/>
      <w:marRight w:val="0"/>
      <w:marTop w:val="0"/>
      <w:marBottom w:val="0"/>
      <w:divBdr>
        <w:top w:val="none" w:sz="0" w:space="0" w:color="auto"/>
        <w:left w:val="none" w:sz="0" w:space="0" w:color="auto"/>
        <w:bottom w:val="none" w:sz="0" w:space="0" w:color="auto"/>
        <w:right w:val="none" w:sz="0" w:space="0" w:color="auto"/>
      </w:divBdr>
    </w:div>
    <w:div w:id="384765180">
      <w:bodyDiv w:val="1"/>
      <w:marLeft w:val="0"/>
      <w:marRight w:val="0"/>
      <w:marTop w:val="0"/>
      <w:marBottom w:val="0"/>
      <w:divBdr>
        <w:top w:val="none" w:sz="0" w:space="0" w:color="auto"/>
        <w:left w:val="none" w:sz="0" w:space="0" w:color="auto"/>
        <w:bottom w:val="none" w:sz="0" w:space="0" w:color="auto"/>
        <w:right w:val="none" w:sz="0" w:space="0" w:color="auto"/>
      </w:divBdr>
    </w:div>
    <w:div w:id="388774683">
      <w:bodyDiv w:val="1"/>
      <w:marLeft w:val="0"/>
      <w:marRight w:val="0"/>
      <w:marTop w:val="0"/>
      <w:marBottom w:val="0"/>
      <w:divBdr>
        <w:top w:val="none" w:sz="0" w:space="0" w:color="auto"/>
        <w:left w:val="none" w:sz="0" w:space="0" w:color="auto"/>
        <w:bottom w:val="none" w:sz="0" w:space="0" w:color="auto"/>
        <w:right w:val="none" w:sz="0" w:space="0" w:color="auto"/>
      </w:divBdr>
    </w:div>
    <w:div w:id="399251580">
      <w:bodyDiv w:val="1"/>
      <w:marLeft w:val="0"/>
      <w:marRight w:val="0"/>
      <w:marTop w:val="0"/>
      <w:marBottom w:val="0"/>
      <w:divBdr>
        <w:top w:val="none" w:sz="0" w:space="0" w:color="auto"/>
        <w:left w:val="none" w:sz="0" w:space="0" w:color="auto"/>
        <w:bottom w:val="none" w:sz="0" w:space="0" w:color="auto"/>
        <w:right w:val="none" w:sz="0" w:space="0" w:color="auto"/>
      </w:divBdr>
    </w:div>
    <w:div w:id="452602782">
      <w:bodyDiv w:val="1"/>
      <w:marLeft w:val="0"/>
      <w:marRight w:val="0"/>
      <w:marTop w:val="0"/>
      <w:marBottom w:val="0"/>
      <w:divBdr>
        <w:top w:val="none" w:sz="0" w:space="0" w:color="auto"/>
        <w:left w:val="none" w:sz="0" w:space="0" w:color="auto"/>
        <w:bottom w:val="none" w:sz="0" w:space="0" w:color="auto"/>
        <w:right w:val="none" w:sz="0" w:space="0" w:color="auto"/>
      </w:divBdr>
    </w:div>
    <w:div w:id="453912247">
      <w:bodyDiv w:val="1"/>
      <w:marLeft w:val="0"/>
      <w:marRight w:val="0"/>
      <w:marTop w:val="0"/>
      <w:marBottom w:val="0"/>
      <w:divBdr>
        <w:top w:val="none" w:sz="0" w:space="0" w:color="auto"/>
        <w:left w:val="none" w:sz="0" w:space="0" w:color="auto"/>
        <w:bottom w:val="none" w:sz="0" w:space="0" w:color="auto"/>
        <w:right w:val="none" w:sz="0" w:space="0" w:color="auto"/>
      </w:divBdr>
    </w:div>
    <w:div w:id="460224933">
      <w:bodyDiv w:val="1"/>
      <w:marLeft w:val="0"/>
      <w:marRight w:val="0"/>
      <w:marTop w:val="0"/>
      <w:marBottom w:val="0"/>
      <w:divBdr>
        <w:top w:val="none" w:sz="0" w:space="0" w:color="auto"/>
        <w:left w:val="none" w:sz="0" w:space="0" w:color="auto"/>
        <w:bottom w:val="none" w:sz="0" w:space="0" w:color="auto"/>
        <w:right w:val="none" w:sz="0" w:space="0" w:color="auto"/>
      </w:divBdr>
    </w:div>
    <w:div w:id="541556003">
      <w:bodyDiv w:val="1"/>
      <w:marLeft w:val="0"/>
      <w:marRight w:val="0"/>
      <w:marTop w:val="0"/>
      <w:marBottom w:val="0"/>
      <w:divBdr>
        <w:top w:val="none" w:sz="0" w:space="0" w:color="auto"/>
        <w:left w:val="none" w:sz="0" w:space="0" w:color="auto"/>
        <w:bottom w:val="none" w:sz="0" w:space="0" w:color="auto"/>
        <w:right w:val="none" w:sz="0" w:space="0" w:color="auto"/>
      </w:divBdr>
    </w:div>
    <w:div w:id="558593944">
      <w:bodyDiv w:val="1"/>
      <w:marLeft w:val="0"/>
      <w:marRight w:val="0"/>
      <w:marTop w:val="0"/>
      <w:marBottom w:val="0"/>
      <w:divBdr>
        <w:top w:val="none" w:sz="0" w:space="0" w:color="auto"/>
        <w:left w:val="none" w:sz="0" w:space="0" w:color="auto"/>
        <w:bottom w:val="none" w:sz="0" w:space="0" w:color="auto"/>
        <w:right w:val="none" w:sz="0" w:space="0" w:color="auto"/>
      </w:divBdr>
    </w:div>
    <w:div w:id="571426398">
      <w:bodyDiv w:val="1"/>
      <w:marLeft w:val="0"/>
      <w:marRight w:val="0"/>
      <w:marTop w:val="0"/>
      <w:marBottom w:val="0"/>
      <w:divBdr>
        <w:top w:val="none" w:sz="0" w:space="0" w:color="auto"/>
        <w:left w:val="none" w:sz="0" w:space="0" w:color="auto"/>
        <w:bottom w:val="none" w:sz="0" w:space="0" w:color="auto"/>
        <w:right w:val="none" w:sz="0" w:space="0" w:color="auto"/>
      </w:divBdr>
    </w:div>
    <w:div w:id="626543312">
      <w:bodyDiv w:val="1"/>
      <w:marLeft w:val="0"/>
      <w:marRight w:val="0"/>
      <w:marTop w:val="0"/>
      <w:marBottom w:val="0"/>
      <w:divBdr>
        <w:top w:val="none" w:sz="0" w:space="0" w:color="auto"/>
        <w:left w:val="none" w:sz="0" w:space="0" w:color="auto"/>
        <w:bottom w:val="none" w:sz="0" w:space="0" w:color="auto"/>
        <w:right w:val="none" w:sz="0" w:space="0" w:color="auto"/>
      </w:divBdr>
    </w:div>
    <w:div w:id="681124295">
      <w:bodyDiv w:val="1"/>
      <w:marLeft w:val="0"/>
      <w:marRight w:val="0"/>
      <w:marTop w:val="0"/>
      <w:marBottom w:val="0"/>
      <w:divBdr>
        <w:top w:val="none" w:sz="0" w:space="0" w:color="auto"/>
        <w:left w:val="none" w:sz="0" w:space="0" w:color="auto"/>
        <w:bottom w:val="none" w:sz="0" w:space="0" w:color="auto"/>
        <w:right w:val="none" w:sz="0" w:space="0" w:color="auto"/>
      </w:divBdr>
    </w:div>
    <w:div w:id="736323842">
      <w:bodyDiv w:val="1"/>
      <w:marLeft w:val="0"/>
      <w:marRight w:val="0"/>
      <w:marTop w:val="0"/>
      <w:marBottom w:val="0"/>
      <w:divBdr>
        <w:top w:val="none" w:sz="0" w:space="0" w:color="auto"/>
        <w:left w:val="none" w:sz="0" w:space="0" w:color="auto"/>
        <w:bottom w:val="none" w:sz="0" w:space="0" w:color="auto"/>
        <w:right w:val="none" w:sz="0" w:space="0" w:color="auto"/>
      </w:divBdr>
    </w:div>
    <w:div w:id="791948588">
      <w:bodyDiv w:val="1"/>
      <w:marLeft w:val="0"/>
      <w:marRight w:val="0"/>
      <w:marTop w:val="0"/>
      <w:marBottom w:val="0"/>
      <w:divBdr>
        <w:top w:val="none" w:sz="0" w:space="0" w:color="auto"/>
        <w:left w:val="none" w:sz="0" w:space="0" w:color="auto"/>
        <w:bottom w:val="none" w:sz="0" w:space="0" w:color="auto"/>
        <w:right w:val="none" w:sz="0" w:space="0" w:color="auto"/>
      </w:divBdr>
    </w:div>
    <w:div w:id="794258356">
      <w:bodyDiv w:val="1"/>
      <w:marLeft w:val="0"/>
      <w:marRight w:val="0"/>
      <w:marTop w:val="0"/>
      <w:marBottom w:val="0"/>
      <w:divBdr>
        <w:top w:val="none" w:sz="0" w:space="0" w:color="auto"/>
        <w:left w:val="none" w:sz="0" w:space="0" w:color="auto"/>
        <w:bottom w:val="none" w:sz="0" w:space="0" w:color="auto"/>
        <w:right w:val="none" w:sz="0" w:space="0" w:color="auto"/>
      </w:divBdr>
    </w:div>
    <w:div w:id="833758532">
      <w:bodyDiv w:val="1"/>
      <w:marLeft w:val="0"/>
      <w:marRight w:val="0"/>
      <w:marTop w:val="0"/>
      <w:marBottom w:val="0"/>
      <w:divBdr>
        <w:top w:val="none" w:sz="0" w:space="0" w:color="auto"/>
        <w:left w:val="none" w:sz="0" w:space="0" w:color="auto"/>
        <w:bottom w:val="none" w:sz="0" w:space="0" w:color="auto"/>
        <w:right w:val="none" w:sz="0" w:space="0" w:color="auto"/>
      </w:divBdr>
    </w:div>
    <w:div w:id="864633446">
      <w:bodyDiv w:val="1"/>
      <w:marLeft w:val="0"/>
      <w:marRight w:val="0"/>
      <w:marTop w:val="0"/>
      <w:marBottom w:val="0"/>
      <w:divBdr>
        <w:top w:val="none" w:sz="0" w:space="0" w:color="auto"/>
        <w:left w:val="none" w:sz="0" w:space="0" w:color="auto"/>
        <w:bottom w:val="none" w:sz="0" w:space="0" w:color="auto"/>
        <w:right w:val="none" w:sz="0" w:space="0" w:color="auto"/>
      </w:divBdr>
    </w:div>
    <w:div w:id="909847428">
      <w:bodyDiv w:val="1"/>
      <w:marLeft w:val="0"/>
      <w:marRight w:val="0"/>
      <w:marTop w:val="0"/>
      <w:marBottom w:val="0"/>
      <w:divBdr>
        <w:top w:val="none" w:sz="0" w:space="0" w:color="auto"/>
        <w:left w:val="none" w:sz="0" w:space="0" w:color="auto"/>
        <w:bottom w:val="none" w:sz="0" w:space="0" w:color="auto"/>
        <w:right w:val="none" w:sz="0" w:space="0" w:color="auto"/>
      </w:divBdr>
    </w:div>
    <w:div w:id="1089237465">
      <w:bodyDiv w:val="1"/>
      <w:marLeft w:val="0"/>
      <w:marRight w:val="0"/>
      <w:marTop w:val="0"/>
      <w:marBottom w:val="0"/>
      <w:divBdr>
        <w:top w:val="none" w:sz="0" w:space="0" w:color="auto"/>
        <w:left w:val="none" w:sz="0" w:space="0" w:color="auto"/>
        <w:bottom w:val="none" w:sz="0" w:space="0" w:color="auto"/>
        <w:right w:val="none" w:sz="0" w:space="0" w:color="auto"/>
      </w:divBdr>
    </w:div>
    <w:div w:id="1121190229">
      <w:bodyDiv w:val="1"/>
      <w:marLeft w:val="0"/>
      <w:marRight w:val="0"/>
      <w:marTop w:val="0"/>
      <w:marBottom w:val="0"/>
      <w:divBdr>
        <w:top w:val="none" w:sz="0" w:space="0" w:color="auto"/>
        <w:left w:val="none" w:sz="0" w:space="0" w:color="auto"/>
        <w:bottom w:val="none" w:sz="0" w:space="0" w:color="auto"/>
        <w:right w:val="none" w:sz="0" w:space="0" w:color="auto"/>
      </w:divBdr>
    </w:div>
    <w:div w:id="1130249194">
      <w:bodyDiv w:val="1"/>
      <w:marLeft w:val="0"/>
      <w:marRight w:val="0"/>
      <w:marTop w:val="0"/>
      <w:marBottom w:val="0"/>
      <w:divBdr>
        <w:top w:val="none" w:sz="0" w:space="0" w:color="auto"/>
        <w:left w:val="none" w:sz="0" w:space="0" w:color="auto"/>
        <w:bottom w:val="none" w:sz="0" w:space="0" w:color="auto"/>
        <w:right w:val="none" w:sz="0" w:space="0" w:color="auto"/>
      </w:divBdr>
    </w:div>
    <w:div w:id="1139879019">
      <w:bodyDiv w:val="1"/>
      <w:marLeft w:val="0"/>
      <w:marRight w:val="0"/>
      <w:marTop w:val="0"/>
      <w:marBottom w:val="0"/>
      <w:divBdr>
        <w:top w:val="none" w:sz="0" w:space="0" w:color="auto"/>
        <w:left w:val="none" w:sz="0" w:space="0" w:color="auto"/>
        <w:bottom w:val="none" w:sz="0" w:space="0" w:color="auto"/>
        <w:right w:val="none" w:sz="0" w:space="0" w:color="auto"/>
      </w:divBdr>
    </w:div>
    <w:div w:id="1190218756">
      <w:bodyDiv w:val="1"/>
      <w:marLeft w:val="0"/>
      <w:marRight w:val="0"/>
      <w:marTop w:val="0"/>
      <w:marBottom w:val="0"/>
      <w:divBdr>
        <w:top w:val="none" w:sz="0" w:space="0" w:color="auto"/>
        <w:left w:val="none" w:sz="0" w:space="0" w:color="auto"/>
        <w:bottom w:val="none" w:sz="0" w:space="0" w:color="auto"/>
        <w:right w:val="none" w:sz="0" w:space="0" w:color="auto"/>
      </w:divBdr>
    </w:div>
    <w:div w:id="1229803428">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255015494">
      <w:bodyDiv w:val="1"/>
      <w:marLeft w:val="0"/>
      <w:marRight w:val="0"/>
      <w:marTop w:val="0"/>
      <w:marBottom w:val="0"/>
      <w:divBdr>
        <w:top w:val="none" w:sz="0" w:space="0" w:color="auto"/>
        <w:left w:val="none" w:sz="0" w:space="0" w:color="auto"/>
        <w:bottom w:val="none" w:sz="0" w:space="0" w:color="auto"/>
        <w:right w:val="none" w:sz="0" w:space="0" w:color="auto"/>
      </w:divBdr>
    </w:div>
    <w:div w:id="1258757287">
      <w:bodyDiv w:val="1"/>
      <w:marLeft w:val="0"/>
      <w:marRight w:val="0"/>
      <w:marTop w:val="0"/>
      <w:marBottom w:val="0"/>
      <w:divBdr>
        <w:top w:val="none" w:sz="0" w:space="0" w:color="auto"/>
        <w:left w:val="none" w:sz="0" w:space="0" w:color="auto"/>
        <w:bottom w:val="none" w:sz="0" w:space="0" w:color="auto"/>
        <w:right w:val="none" w:sz="0" w:space="0" w:color="auto"/>
      </w:divBdr>
    </w:div>
    <w:div w:id="1270508590">
      <w:bodyDiv w:val="1"/>
      <w:marLeft w:val="0"/>
      <w:marRight w:val="0"/>
      <w:marTop w:val="0"/>
      <w:marBottom w:val="0"/>
      <w:divBdr>
        <w:top w:val="none" w:sz="0" w:space="0" w:color="auto"/>
        <w:left w:val="none" w:sz="0" w:space="0" w:color="auto"/>
        <w:bottom w:val="none" w:sz="0" w:space="0" w:color="auto"/>
        <w:right w:val="none" w:sz="0" w:space="0" w:color="auto"/>
      </w:divBdr>
    </w:div>
    <w:div w:id="1293707347">
      <w:bodyDiv w:val="1"/>
      <w:marLeft w:val="0"/>
      <w:marRight w:val="0"/>
      <w:marTop w:val="0"/>
      <w:marBottom w:val="0"/>
      <w:divBdr>
        <w:top w:val="none" w:sz="0" w:space="0" w:color="auto"/>
        <w:left w:val="none" w:sz="0" w:space="0" w:color="auto"/>
        <w:bottom w:val="none" w:sz="0" w:space="0" w:color="auto"/>
        <w:right w:val="none" w:sz="0" w:space="0" w:color="auto"/>
      </w:divBdr>
    </w:div>
    <w:div w:id="1325279456">
      <w:bodyDiv w:val="1"/>
      <w:marLeft w:val="0"/>
      <w:marRight w:val="0"/>
      <w:marTop w:val="0"/>
      <w:marBottom w:val="0"/>
      <w:divBdr>
        <w:top w:val="none" w:sz="0" w:space="0" w:color="auto"/>
        <w:left w:val="none" w:sz="0" w:space="0" w:color="auto"/>
        <w:bottom w:val="none" w:sz="0" w:space="0" w:color="auto"/>
        <w:right w:val="none" w:sz="0" w:space="0" w:color="auto"/>
      </w:divBdr>
    </w:div>
    <w:div w:id="1425833665">
      <w:bodyDiv w:val="1"/>
      <w:marLeft w:val="0"/>
      <w:marRight w:val="0"/>
      <w:marTop w:val="0"/>
      <w:marBottom w:val="0"/>
      <w:divBdr>
        <w:top w:val="none" w:sz="0" w:space="0" w:color="auto"/>
        <w:left w:val="none" w:sz="0" w:space="0" w:color="auto"/>
        <w:bottom w:val="none" w:sz="0" w:space="0" w:color="auto"/>
        <w:right w:val="none" w:sz="0" w:space="0" w:color="auto"/>
      </w:divBdr>
    </w:div>
    <w:div w:id="1481728655">
      <w:bodyDiv w:val="1"/>
      <w:marLeft w:val="0"/>
      <w:marRight w:val="0"/>
      <w:marTop w:val="0"/>
      <w:marBottom w:val="0"/>
      <w:divBdr>
        <w:top w:val="none" w:sz="0" w:space="0" w:color="auto"/>
        <w:left w:val="none" w:sz="0" w:space="0" w:color="auto"/>
        <w:bottom w:val="none" w:sz="0" w:space="0" w:color="auto"/>
        <w:right w:val="none" w:sz="0" w:space="0" w:color="auto"/>
      </w:divBdr>
    </w:div>
    <w:div w:id="1552114796">
      <w:bodyDiv w:val="1"/>
      <w:marLeft w:val="0"/>
      <w:marRight w:val="0"/>
      <w:marTop w:val="0"/>
      <w:marBottom w:val="0"/>
      <w:divBdr>
        <w:top w:val="none" w:sz="0" w:space="0" w:color="auto"/>
        <w:left w:val="none" w:sz="0" w:space="0" w:color="auto"/>
        <w:bottom w:val="none" w:sz="0" w:space="0" w:color="auto"/>
        <w:right w:val="none" w:sz="0" w:space="0" w:color="auto"/>
      </w:divBdr>
    </w:div>
    <w:div w:id="1554002134">
      <w:bodyDiv w:val="1"/>
      <w:marLeft w:val="0"/>
      <w:marRight w:val="0"/>
      <w:marTop w:val="0"/>
      <w:marBottom w:val="0"/>
      <w:divBdr>
        <w:top w:val="none" w:sz="0" w:space="0" w:color="auto"/>
        <w:left w:val="none" w:sz="0" w:space="0" w:color="auto"/>
        <w:bottom w:val="none" w:sz="0" w:space="0" w:color="auto"/>
        <w:right w:val="none" w:sz="0" w:space="0" w:color="auto"/>
      </w:divBdr>
    </w:div>
    <w:div w:id="1561209212">
      <w:bodyDiv w:val="1"/>
      <w:marLeft w:val="0"/>
      <w:marRight w:val="0"/>
      <w:marTop w:val="0"/>
      <w:marBottom w:val="0"/>
      <w:divBdr>
        <w:top w:val="none" w:sz="0" w:space="0" w:color="auto"/>
        <w:left w:val="none" w:sz="0" w:space="0" w:color="auto"/>
        <w:bottom w:val="none" w:sz="0" w:space="0" w:color="auto"/>
        <w:right w:val="none" w:sz="0" w:space="0" w:color="auto"/>
      </w:divBdr>
    </w:div>
    <w:div w:id="1630745061">
      <w:bodyDiv w:val="1"/>
      <w:marLeft w:val="0"/>
      <w:marRight w:val="0"/>
      <w:marTop w:val="0"/>
      <w:marBottom w:val="0"/>
      <w:divBdr>
        <w:top w:val="none" w:sz="0" w:space="0" w:color="auto"/>
        <w:left w:val="none" w:sz="0" w:space="0" w:color="auto"/>
        <w:bottom w:val="none" w:sz="0" w:space="0" w:color="auto"/>
        <w:right w:val="none" w:sz="0" w:space="0" w:color="auto"/>
      </w:divBdr>
    </w:div>
    <w:div w:id="1652901583">
      <w:marLeft w:val="0"/>
      <w:marRight w:val="0"/>
      <w:marTop w:val="0"/>
      <w:marBottom w:val="0"/>
      <w:divBdr>
        <w:top w:val="none" w:sz="0" w:space="0" w:color="auto"/>
        <w:left w:val="none" w:sz="0" w:space="0" w:color="auto"/>
        <w:bottom w:val="none" w:sz="0" w:space="0" w:color="auto"/>
        <w:right w:val="none" w:sz="0" w:space="0" w:color="auto"/>
      </w:divBdr>
      <w:divsChild>
        <w:div w:id="1652901581">
          <w:marLeft w:val="0"/>
          <w:marRight w:val="0"/>
          <w:marTop w:val="0"/>
          <w:marBottom w:val="0"/>
          <w:divBdr>
            <w:top w:val="none" w:sz="0" w:space="0" w:color="auto"/>
            <w:left w:val="none" w:sz="0" w:space="0" w:color="auto"/>
            <w:bottom w:val="none" w:sz="0" w:space="0" w:color="auto"/>
            <w:right w:val="none" w:sz="0" w:space="0" w:color="auto"/>
          </w:divBdr>
          <w:divsChild>
            <w:div w:id="1652901585">
              <w:marLeft w:val="0"/>
              <w:marRight w:val="120"/>
              <w:marTop w:val="0"/>
              <w:marBottom w:val="0"/>
              <w:divBdr>
                <w:top w:val="none" w:sz="0" w:space="0" w:color="auto"/>
                <w:left w:val="none" w:sz="0" w:space="0" w:color="auto"/>
                <w:bottom w:val="none" w:sz="0" w:space="0" w:color="auto"/>
                <w:right w:val="none" w:sz="0" w:space="0" w:color="auto"/>
              </w:divBdr>
              <w:divsChild>
                <w:div w:id="1652901582">
                  <w:marLeft w:val="0"/>
                  <w:marRight w:val="0"/>
                  <w:marTop w:val="0"/>
                  <w:marBottom w:val="0"/>
                  <w:divBdr>
                    <w:top w:val="none" w:sz="0" w:space="0" w:color="auto"/>
                    <w:left w:val="none" w:sz="0" w:space="0" w:color="auto"/>
                    <w:bottom w:val="none" w:sz="0" w:space="0" w:color="auto"/>
                    <w:right w:val="none" w:sz="0" w:space="0" w:color="auto"/>
                  </w:divBdr>
                  <w:divsChild>
                    <w:div w:id="1652901584">
                      <w:marLeft w:val="0"/>
                      <w:marRight w:val="0"/>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 w:id="1676684293">
      <w:bodyDiv w:val="1"/>
      <w:marLeft w:val="0"/>
      <w:marRight w:val="0"/>
      <w:marTop w:val="0"/>
      <w:marBottom w:val="0"/>
      <w:divBdr>
        <w:top w:val="none" w:sz="0" w:space="0" w:color="auto"/>
        <w:left w:val="none" w:sz="0" w:space="0" w:color="auto"/>
        <w:bottom w:val="none" w:sz="0" w:space="0" w:color="auto"/>
        <w:right w:val="none" w:sz="0" w:space="0" w:color="auto"/>
      </w:divBdr>
    </w:div>
    <w:div w:id="1772310512">
      <w:bodyDiv w:val="1"/>
      <w:marLeft w:val="0"/>
      <w:marRight w:val="0"/>
      <w:marTop w:val="0"/>
      <w:marBottom w:val="0"/>
      <w:divBdr>
        <w:top w:val="none" w:sz="0" w:space="0" w:color="auto"/>
        <w:left w:val="none" w:sz="0" w:space="0" w:color="auto"/>
        <w:bottom w:val="none" w:sz="0" w:space="0" w:color="auto"/>
        <w:right w:val="none" w:sz="0" w:space="0" w:color="auto"/>
      </w:divBdr>
    </w:div>
    <w:div w:id="1784691489">
      <w:bodyDiv w:val="1"/>
      <w:marLeft w:val="0"/>
      <w:marRight w:val="0"/>
      <w:marTop w:val="0"/>
      <w:marBottom w:val="0"/>
      <w:divBdr>
        <w:top w:val="none" w:sz="0" w:space="0" w:color="auto"/>
        <w:left w:val="none" w:sz="0" w:space="0" w:color="auto"/>
        <w:bottom w:val="none" w:sz="0" w:space="0" w:color="auto"/>
        <w:right w:val="none" w:sz="0" w:space="0" w:color="auto"/>
      </w:divBdr>
    </w:div>
    <w:div w:id="1936857780">
      <w:bodyDiv w:val="1"/>
      <w:marLeft w:val="0"/>
      <w:marRight w:val="0"/>
      <w:marTop w:val="0"/>
      <w:marBottom w:val="0"/>
      <w:divBdr>
        <w:top w:val="none" w:sz="0" w:space="0" w:color="auto"/>
        <w:left w:val="none" w:sz="0" w:space="0" w:color="auto"/>
        <w:bottom w:val="none" w:sz="0" w:space="0" w:color="auto"/>
        <w:right w:val="none" w:sz="0" w:space="0" w:color="auto"/>
      </w:divBdr>
    </w:div>
    <w:div w:id="2022396393">
      <w:bodyDiv w:val="1"/>
      <w:marLeft w:val="0"/>
      <w:marRight w:val="0"/>
      <w:marTop w:val="0"/>
      <w:marBottom w:val="0"/>
      <w:divBdr>
        <w:top w:val="none" w:sz="0" w:space="0" w:color="auto"/>
        <w:left w:val="none" w:sz="0" w:space="0" w:color="auto"/>
        <w:bottom w:val="none" w:sz="0" w:space="0" w:color="auto"/>
        <w:right w:val="none" w:sz="0" w:space="0" w:color="auto"/>
      </w:divBdr>
    </w:div>
    <w:div w:id="2056544033">
      <w:bodyDiv w:val="1"/>
      <w:marLeft w:val="0"/>
      <w:marRight w:val="0"/>
      <w:marTop w:val="0"/>
      <w:marBottom w:val="0"/>
      <w:divBdr>
        <w:top w:val="none" w:sz="0" w:space="0" w:color="auto"/>
        <w:left w:val="none" w:sz="0" w:space="0" w:color="auto"/>
        <w:bottom w:val="none" w:sz="0" w:space="0" w:color="auto"/>
        <w:right w:val="none" w:sz="0" w:space="0" w:color="auto"/>
      </w:divBdr>
    </w:div>
    <w:div w:id="20658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5237;&#36164;&#38750;&#20844;&#24320;&#21457;&#34892;&#35777;&#21048;&#20844;&#21578;)_LS0000_&#20844;&#21215;&#20020;&#26102;&#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BD638-45C5-410D-9322-EA3557A2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共同基金_临时公告(投资非公开发行证券公告)_LS0000_公募临时公告.dot</Template>
  <TotalTime>0</TotalTime>
  <Pages>2</Pages>
  <Words>222</Words>
  <Characters>1268</Characters>
  <Application>Microsoft Office Word</Application>
  <DocSecurity>4</DocSecurity>
  <Lines>10</Lines>
  <Paragraphs>2</Paragraphs>
  <ScaleCrop>false</ScaleCrop>
  <Company>fullgoal</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富国基金管理有限公司投资非公开发行证券公告(公募临时公告)</dc:title>
  <dc:subject>806971</dc:subject>
  <dc:creator>朱敏</dc:creator>
  <cp:keywords/>
  <cp:lastModifiedBy>ZHONGM</cp:lastModifiedBy>
  <cp:revision>2</cp:revision>
  <cp:lastPrinted>2010-07-02T11:05:00Z</cp:lastPrinted>
  <dcterms:created xsi:type="dcterms:W3CDTF">2021-11-18T16:01:00Z</dcterms:created>
  <dcterms:modified xsi:type="dcterms:W3CDTF">2021-11-18T16:01:00Z</dcterms:modified>
</cp:coreProperties>
</file>