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AF" w:rsidRDefault="009877A4" w:rsidP="00786DAF">
      <w:pPr>
        <w:pStyle w:val="a7"/>
        <w:spacing w:before="0" w:beforeAutospacing="0" w:after="0" w:afterAutospacing="0" w:line="360" w:lineRule="auto"/>
        <w:ind w:left="723" w:hangingChars="300" w:hanging="723"/>
        <w:jc w:val="center"/>
        <w:rPr>
          <w:b/>
          <w:bCs/>
        </w:rPr>
      </w:pPr>
      <w:r w:rsidRPr="00DC079C">
        <w:rPr>
          <w:rFonts w:hint="eastAsia"/>
          <w:b/>
          <w:bCs/>
        </w:rPr>
        <w:t>金鹰基金管理有限公司</w:t>
      </w:r>
      <w:r w:rsidR="00786DAF">
        <w:rPr>
          <w:rFonts w:hint="eastAsia"/>
          <w:b/>
          <w:bCs/>
        </w:rPr>
        <w:t>旗下部分基金</w:t>
      </w:r>
      <w:r w:rsidRPr="00DC079C">
        <w:rPr>
          <w:rFonts w:hint="eastAsia"/>
          <w:b/>
          <w:bCs/>
        </w:rPr>
        <w:t>新增</w:t>
      </w:r>
      <w:r w:rsidR="00DB3A6F">
        <w:rPr>
          <w:rFonts w:hint="eastAsia"/>
          <w:b/>
          <w:bCs/>
        </w:rPr>
        <w:t>华林证券</w:t>
      </w:r>
      <w:r w:rsidRPr="00DC079C">
        <w:rPr>
          <w:rFonts w:hint="eastAsia"/>
          <w:b/>
          <w:bCs/>
        </w:rPr>
        <w:t>为</w:t>
      </w:r>
      <w:r w:rsidR="00447446" w:rsidRPr="00DC079C">
        <w:rPr>
          <w:rFonts w:hint="eastAsia"/>
          <w:b/>
          <w:bCs/>
        </w:rPr>
        <w:t>代销机构</w:t>
      </w:r>
      <w:r w:rsidR="00680493" w:rsidRPr="00DC079C">
        <w:rPr>
          <w:rFonts w:hint="eastAsia"/>
          <w:b/>
          <w:bCs/>
        </w:rPr>
        <w:t>并开通基金转换、基金定投业务及费率优惠的公告</w:t>
      </w:r>
    </w:p>
    <w:p w:rsidR="00DC079C" w:rsidRPr="00680493" w:rsidRDefault="00DC079C"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DB3A6F" w:rsidRPr="00D22A6E">
        <w:rPr>
          <w:rFonts w:hint="eastAsia"/>
        </w:rPr>
        <w:t>华林证券股份有限公司</w:t>
      </w:r>
      <w:r w:rsidR="00163302">
        <w:rPr>
          <w:rFonts w:hint="eastAsia"/>
        </w:rPr>
        <w:t>（以下简称“</w:t>
      </w:r>
      <w:r w:rsidR="00DB3A6F">
        <w:rPr>
          <w:rFonts w:hint="eastAsia"/>
        </w:rPr>
        <w:t>华林证券</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2021</w:t>
      </w:r>
      <w:r w:rsidRPr="009877A4">
        <w:rPr>
          <w:rFonts w:cs="Calibri" w:hint="eastAsia"/>
        </w:rPr>
        <w:t>年</w:t>
      </w:r>
      <w:r w:rsidR="00EA7DD1">
        <w:rPr>
          <w:rFonts w:cs="Calibri"/>
        </w:rPr>
        <w:t>1</w:t>
      </w:r>
      <w:r w:rsidR="00DA199C">
        <w:rPr>
          <w:rFonts w:cs="Calibri"/>
        </w:rPr>
        <w:t>1</w:t>
      </w:r>
      <w:r w:rsidRPr="009877A4">
        <w:rPr>
          <w:rFonts w:cs="Calibri" w:hint="eastAsia"/>
        </w:rPr>
        <w:t>月</w:t>
      </w:r>
      <w:r w:rsidR="00D81E13">
        <w:rPr>
          <w:rFonts w:cs="Calibri"/>
        </w:rPr>
        <w:t>12</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DB3A6F">
        <w:rPr>
          <w:rFonts w:asciiTheme="minorEastAsia" w:hAnsiTheme="minorEastAsia" w:cs="Calibri" w:hint="eastAsia"/>
        </w:rPr>
        <w:t>华林证券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 </w:t>
      </w:r>
      <w:r w:rsidR="002A228B">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2173DE" w:rsidRPr="004636F5" w:rsidTr="00E1030D">
        <w:trPr>
          <w:trHeight w:val="330"/>
        </w:trPr>
        <w:tc>
          <w:tcPr>
            <w:tcW w:w="1526" w:type="dxa"/>
            <w:noWrap/>
            <w:vAlign w:val="center"/>
            <w:hideMark/>
          </w:tcPr>
          <w:p w:rsidR="002173DE" w:rsidRPr="00267EE3" w:rsidRDefault="002173DE" w:rsidP="002173DE">
            <w:pPr>
              <w:pStyle w:val="a7"/>
              <w:spacing w:line="360" w:lineRule="auto"/>
              <w:ind w:firstLine="420"/>
            </w:pPr>
            <w:r>
              <w:rPr>
                <w:rFonts w:hint="eastAsia"/>
                <w:color w:val="000000"/>
              </w:rPr>
              <w:t>210008</w:t>
            </w:r>
          </w:p>
        </w:tc>
        <w:tc>
          <w:tcPr>
            <w:tcW w:w="6662" w:type="dxa"/>
            <w:noWrap/>
            <w:vAlign w:val="center"/>
            <w:hideMark/>
          </w:tcPr>
          <w:p w:rsidR="002173DE" w:rsidRPr="004636F5" w:rsidRDefault="002173DE" w:rsidP="002173DE">
            <w:pPr>
              <w:pStyle w:val="a7"/>
              <w:spacing w:line="360" w:lineRule="auto"/>
              <w:ind w:firstLine="420"/>
              <w:rPr>
                <w:rFonts w:asciiTheme="minorEastAsia" w:hAnsiTheme="minorEastAsia" w:cstheme="minorEastAsia"/>
                <w:color w:val="000000" w:themeColor="text1"/>
              </w:rPr>
            </w:pPr>
            <w:r>
              <w:rPr>
                <w:rFonts w:hint="eastAsia"/>
                <w:color w:val="000000"/>
              </w:rPr>
              <w:t>金鹰策略配置混合型证券投资基金</w:t>
            </w:r>
          </w:p>
        </w:tc>
      </w:tr>
      <w:tr w:rsidR="002173DE" w:rsidRPr="004636F5" w:rsidTr="00E0753D">
        <w:trPr>
          <w:trHeight w:val="330"/>
        </w:trPr>
        <w:tc>
          <w:tcPr>
            <w:tcW w:w="1526" w:type="dxa"/>
            <w:noWrap/>
            <w:vAlign w:val="center"/>
            <w:hideMark/>
          </w:tcPr>
          <w:p w:rsidR="002173DE" w:rsidRPr="00267EE3" w:rsidRDefault="002173DE" w:rsidP="002173DE">
            <w:pPr>
              <w:pStyle w:val="a7"/>
              <w:spacing w:line="360" w:lineRule="auto"/>
              <w:ind w:firstLine="420"/>
            </w:pPr>
            <w:r>
              <w:rPr>
                <w:rFonts w:hint="eastAsia"/>
                <w:color w:val="000000"/>
              </w:rPr>
              <w:t>001366</w:t>
            </w:r>
          </w:p>
        </w:tc>
        <w:tc>
          <w:tcPr>
            <w:tcW w:w="6662" w:type="dxa"/>
            <w:noWrap/>
            <w:vAlign w:val="center"/>
            <w:hideMark/>
          </w:tcPr>
          <w:p w:rsidR="002173DE" w:rsidRPr="004636F5" w:rsidRDefault="002173DE" w:rsidP="002173DE">
            <w:pPr>
              <w:pStyle w:val="a7"/>
              <w:spacing w:line="360" w:lineRule="auto"/>
              <w:ind w:firstLine="420"/>
              <w:rPr>
                <w:rFonts w:asciiTheme="minorEastAsia" w:hAnsiTheme="minorEastAsia" w:cstheme="minorEastAsia"/>
                <w:color w:val="000000" w:themeColor="text1"/>
              </w:rPr>
            </w:pPr>
            <w:r>
              <w:rPr>
                <w:rFonts w:hint="eastAsia"/>
                <w:color w:val="000000"/>
              </w:rPr>
              <w:t>金鹰产业整合灵活配置混合型证券投资基金</w:t>
            </w:r>
          </w:p>
        </w:tc>
      </w:tr>
      <w:tr w:rsidR="002173DE" w:rsidRPr="004636F5" w:rsidTr="00DA13DE">
        <w:trPr>
          <w:trHeight w:val="330"/>
        </w:trPr>
        <w:tc>
          <w:tcPr>
            <w:tcW w:w="1526" w:type="dxa"/>
            <w:noWrap/>
            <w:vAlign w:val="center"/>
          </w:tcPr>
          <w:p w:rsidR="002173DE" w:rsidRPr="00D71159" w:rsidRDefault="002173DE" w:rsidP="002173DE">
            <w:pPr>
              <w:pStyle w:val="a7"/>
              <w:spacing w:line="360" w:lineRule="auto"/>
              <w:ind w:firstLine="420"/>
            </w:pPr>
            <w:r>
              <w:rPr>
                <w:rFonts w:hint="eastAsia"/>
                <w:color w:val="000000"/>
              </w:rPr>
              <w:t>210009</w:t>
            </w:r>
          </w:p>
        </w:tc>
        <w:tc>
          <w:tcPr>
            <w:tcW w:w="6662" w:type="dxa"/>
            <w:noWrap/>
            <w:vAlign w:val="center"/>
          </w:tcPr>
          <w:p w:rsidR="002173DE" w:rsidRPr="00D71159" w:rsidRDefault="002173DE" w:rsidP="002173DE">
            <w:pPr>
              <w:pStyle w:val="a7"/>
              <w:spacing w:line="360" w:lineRule="auto"/>
              <w:ind w:firstLine="420"/>
            </w:pPr>
            <w:r>
              <w:rPr>
                <w:rFonts w:hint="eastAsia"/>
                <w:color w:val="000000"/>
              </w:rPr>
              <w:t>金鹰核心资源混合型证券投资基金</w:t>
            </w:r>
          </w:p>
        </w:tc>
      </w:tr>
      <w:tr w:rsidR="002173DE" w:rsidRPr="004636F5" w:rsidTr="00234ED1">
        <w:trPr>
          <w:trHeight w:val="330"/>
        </w:trPr>
        <w:tc>
          <w:tcPr>
            <w:tcW w:w="1526" w:type="dxa"/>
            <w:noWrap/>
            <w:vAlign w:val="center"/>
          </w:tcPr>
          <w:p w:rsidR="002173DE" w:rsidRPr="005B287B" w:rsidRDefault="002173DE" w:rsidP="002173DE">
            <w:pPr>
              <w:pStyle w:val="a7"/>
              <w:spacing w:line="360" w:lineRule="auto"/>
              <w:ind w:firstLine="420"/>
            </w:pPr>
            <w:r>
              <w:rPr>
                <w:rFonts w:hint="eastAsia"/>
                <w:color w:val="000000"/>
              </w:rPr>
              <w:t>001298</w:t>
            </w:r>
          </w:p>
        </w:tc>
        <w:tc>
          <w:tcPr>
            <w:tcW w:w="6662" w:type="dxa"/>
            <w:noWrap/>
            <w:vAlign w:val="center"/>
          </w:tcPr>
          <w:p w:rsidR="002173DE" w:rsidRPr="005B287B" w:rsidRDefault="002173DE" w:rsidP="002173DE">
            <w:pPr>
              <w:pStyle w:val="a7"/>
              <w:spacing w:line="360" w:lineRule="auto"/>
              <w:ind w:firstLine="420"/>
            </w:pPr>
            <w:r>
              <w:rPr>
                <w:rFonts w:hint="eastAsia"/>
                <w:color w:val="000000"/>
              </w:rPr>
              <w:t>金鹰民族新兴灵活配置混合型证券投资基金</w:t>
            </w:r>
          </w:p>
        </w:tc>
      </w:tr>
      <w:tr w:rsidR="00293ED1" w:rsidRPr="004636F5" w:rsidTr="002928AB">
        <w:trPr>
          <w:trHeight w:val="330"/>
        </w:trPr>
        <w:tc>
          <w:tcPr>
            <w:tcW w:w="1526" w:type="dxa"/>
            <w:noWrap/>
            <w:vAlign w:val="center"/>
          </w:tcPr>
          <w:p w:rsidR="00293ED1" w:rsidRPr="005B287B" w:rsidRDefault="00293ED1" w:rsidP="00293ED1">
            <w:pPr>
              <w:pStyle w:val="a7"/>
              <w:spacing w:line="360" w:lineRule="auto"/>
              <w:ind w:firstLine="420"/>
            </w:pPr>
            <w:r>
              <w:rPr>
                <w:rFonts w:hint="eastAsia"/>
                <w:color w:val="000000"/>
              </w:rPr>
              <w:t>210003</w:t>
            </w:r>
          </w:p>
        </w:tc>
        <w:tc>
          <w:tcPr>
            <w:tcW w:w="6662" w:type="dxa"/>
            <w:noWrap/>
            <w:vAlign w:val="center"/>
          </w:tcPr>
          <w:p w:rsidR="00293ED1" w:rsidRPr="005B287B" w:rsidRDefault="00293ED1" w:rsidP="00293ED1">
            <w:pPr>
              <w:pStyle w:val="a7"/>
              <w:spacing w:line="360" w:lineRule="auto"/>
              <w:ind w:firstLine="420"/>
            </w:pPr>
            <w:r>
              <w:rPr>
                <w:rFonts w:hint="eastAsia"/>
                <w:color w:val="000000"/>
              </w:rPr>
              <w:t>金鹰行业优势混合型证券投资基金</w:t>
            </w:r>
          </w:p>
        </w:tc>
      </w:tr>
      <w:tr w:rsidR="00293ED1" w:rsidRPr="004636F5" w:rsidTr="00B51924">
        <w:trPr>
          <w:trHeight w:val="330"/>
        </w:trPr>
        <w:tc>
          <w:tcPr>
            <w:tcW w:w="1526" w:type="dxa"/>
            <w:noWrap/>
            <w:vAlign w:val="center"/>
          </w:tcPr>
          <w:p w:rsidR="00293ED1" w:rsidRPr="005B287B" w:rsidRDefault="00293ED1" w:rsidP="00293ED1">
            <w:pPr>
              <w:pStyle w:val="a7"/>
              <w:spacing w:line="360" w:lineRule="auto"/>
              <w:ind w:firstLine="420"/>
            </w:pPr>
            <w:r>
              <w:rPr>
                <w:rFonts w:hint="eastAsia"/>
                <w:color w:val="000000"/>
              </w:rPr>
              <w:t>162102</w:t>
            </w:r>
          </w:p>
        </w:tc>
        <w:tc>
          <w:tcPr>
            <w:tcW w:w="6662" w:type="dxa"/>
            <w:noWrap/>
            <w:vAlign w:val="center"/>
          </w:tcPr>
          <w:p w:rsidR="00293ED1" w:rsidRPr="005B287B" w:rsidRDefault="00293ED1" w:rsidP="00293ED1">
            <w:pPr>
              <w:pStyle w:val="a7"/>
              <w:spacing w:line="360" w:lineRule="auto"/>
              <w:ind w:firstLine="420"/>
            </w:pPr>
            <w:r>
              <w:rPr>
                <w:rFonts w:hint="eastAsia"/>
                <w:color w:val="000000"/>
              </w:rPr>
              <w:t>金鹰中小盘精选证券投资基金</w:t>
            </w:r>
          </w:p>
        </w:tc>
      </w:tr>
    </w:tbl>
    <w:p w:rsidR="00A00AAF" w:rsidRPr="009877A4" w:rsidRDefault="009877A4" w:rsidP="009974A3">
      <w:pPr>
        <w:pStyle w:val="Default"/>
        <w:snapToGrid w:val="0"/>
        <w:spacing w:line="360" w:lineRule="auto"/>
        <w:ind w:firstLineChars="200" w:firstLine="480"/>
        <w:jc w:val="both"/>
        <w:rPr>
          <w:rFonts w:ascii="宋体" w:eastAsia="宋体" w:hAnsi="宋体" w:cs="Calibri"/>
          <w:color w:val="auto"/>
        </w:rPr>
      </w:pPr>
      <w:r w:rsidRPr="009877A4">
        <w:rPr>
          <w:rFonts w:ascii="宋体" w:eastAsia="宋体" w:hAnsi="宋体" w:cs="Calibri" w:hint="eastAsia"/>
          <w:color w:val="auto"/>
        </w:rPr>
        <w:t xml:space="preserve">  </w:t>
      </w: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DB3A6F">
        <w:rPr>
          <w:rFonts w:asciiTheme="minorEastAsia" w:eastAsiaTheme="minorEastAsia" w:hAnsiTheme="minorEastAsia" w:cstheme="minorEastAsia" w:hint="eastAsia"/>
          <w:color w:val="000000" w:themeColor="text1"/>
        </w:rPr>
        <w:t>华林证券</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28120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、转换不适用基金：对于本基金管理人后端收费模式基金以及中登系统基金不支持与其他基金之间相互转换；对于同一只基金不同份额之间不支持相互转换。</w:t>
      </w:r>
    </w:p>
    <w:p w:rsidR="0028120E"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3</w:t>
      </w:r>
      <w:r w:rsidR="0028120E">
        <w:rPr>
          <w:rFonts w:asciiTheme="minorEastAsia" w:eastAsiaTheme="minorEastAsia" w:hAnsiTheme="minorEastAsia" w:cstheme="minorEastAsia" w:hint="eastAsia"/>
          <w:color w:val="000000" w:themeColor="text1"/>
        </w:rPr>
        <w:t>、本基金管理人旗下基金在</w:t>
      </w:r>
      <w:r w:rsidR="00DB3A6F">
        <w:rPr>
          <w:rFonts w:hint="eastAsia"/>
        </w:rPr>
        <w:t>华林证券</w:t>
      </w:r>
      <w:r w:rsidR="0028120E">
        <w:rPr>
          <w:rFonts w:asciiTheme="minorEastAsia" w:eastAsiaTheme="minorEastAsia" w:hAnsiTheme="minorEastAsia" w:cstheme="minorEastAsia" w:hint="eastAsia"/>
          <w:color w:val="000000" w:themeColor="text1"/>
        </w:rPr>
        <w:t>的申购、定投费率折扣最低不低于1折，</w:t>
      </w:r>
      <w:r w:rsidR="00DB3A6F">
        <w:rPr>
          <w:rFonts w:hint="eastAsia"/>
        </w:rPr>
        <w:t>华林证券</w:t>
      </w:r>
      <w:r w:rsidR="0028120E">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DB3A6F">
        <w:rPr>
          <w:rFonts w:hint="eastAsia"/>
        </w:rPr>
        <w:t>华林证券</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DB3A6F">
        <w:rPr>
          <w:rFonts w:hint="eastAsia"/>
        </w:rPr>
        <w:t>华林证券</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6554A2"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DB3A6F">
        <w:rPr>
          <w:rFonts w:hint="eastAsia"/>
        </w:rPr>
        <w:t>华林证券</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DB3A6F">
        <w:rPr>
          <w:rFonts w:cs="Calibri" w:hint="eastAsia"/>
        </w:rPr>
        <w:t>华林证券</w:t>
      </w:r>
    </w:p>
    <w:p w:rsidR="006928B4" w:rsidRPr="006928B4"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客服电话：</w:t>
      </w:r>
      <w:r w:rsidR="00CA73E7" w:rsidRPr="00D22A6E">
        <w:t>400-188-3888</w:t>
      </w:r>
    </w:p>
    <w:p w:rsidR="005A54A0" w:rsidRPr="005A54A0"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网址：</w:t>
      </w:r>
      <w:r w:rsidR="00CA73E7" w:rsidRPr="00D22A6E">
        <w:t>www.chinalions.com</w:t>
      </w:r>
    </w:p>
    <w:p w:rsidR="00A00AAF" w:rsidRPr="009877A4" w:rsidRDefault="0016330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r w:rsidR="009877A4" w:rsidRPr="009877A4">
        <w:rPr>
          <w:rFonts w:cs="Calibri" w:hint="eastAsia"/>
        </w:rPr>
        <w:t> </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lastRenderedPageBreak/>
        <w:t>特此公告。</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2021</w:t>
      </w:r>
      <w:r w:rsidR="009877A4" w:rsidRPr="009877A4">
        <w:rPr>
          <w:rFonts w:cs="Calibri" w:hint="eastAsia"/>
        </w:rPr>
        <w:t>年</w:t>
      </w:r>
      <w:r w:rsidR="002B1024">
        <w:rPr>
          <w:rFonts w:cs="Calibri"/>
        </w:rPr>
        <w:t>1</w:t>
      </w:r>
      <w:r w:rsidR="001B433C">
        <w:rPr>
          <w:rFonts w:cs="Calibri"/>
        </w:rPr>
        <w:t>1</w:t>
      </w:r>
      <w:r w:rsidR="009877A4" w:rsidRPr="009877A4">
        <w:rPr>
          <w:rFonts w:cs="Calibri" w:hint="eastAsia"/>
        </w:rPr>
        <w:t>月</w:t>
      </w:r>
      <w:r w:rsidR="00D81E13">
        <w:rPr>
          <w:rFonts w:cs="Calibri"/>
        </w:rPr>
        <w:t>12</w:t>
      </w:r>
      <w:r w:rsidR="009877A4" w:rsidRPr="009877A4">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BF4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6C" w:rsidRDefault="00B56E6C" w:rsidP="00E3201D">
      <w:r>
        <w:separator/>
      </w:r>
    </w:p>
  </w:endnote>
  <w:endnote w:type="continuationSeparator" w:id="0">
    <w:p w:rsidR="00B56E6C" w:rsidRDefault="00B56E6C"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6C" w:rsidRDefault="00B56E6C" w:rsidP="00E3201D">
      <w:r>
        <w:separator/>
      </w:r>
    </w:p>
  </w:footnote>
  <w:footnote w:type="continuationSeparator" w:id="0">
    <w:p w:rsidR="00B56E6C" w:rsidRDefault="00B56E6C"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668C"/>
    <w:rsid w:val="000B1AB2"/>
    <w:rsid w:val="000D170F"/>
    <w:rsid w:val="000E10B7"/>
    <w:rsid w:val="00112143"/>
    <w:rsid w:val="00126069"/>
    <w:rsid w:val="00142F9B"/>
    <w:rsid w:val="00156402"/>
    <w:rsid w:val="00163302"/>
    <w:rsid w:val="00172A27"/>
    <w:rsid w:val="0018431F"/>
    <w:rsid w:val="001B433C"/>
    <w:rsid w:val="001C22C6"/>
    <w:rsid w:val="002000F3"/>
    <w:rsid w:val="00204212"/>
    <w:rsid w:val="002173DE"/>
    <w:rsid w:val="0026767D"/>
    <w:rsid w:val="0028120E"/>
    <w:rsid w:val="00293ED1"/>
    <w:rsid w:val="00296229"/>
    <w:rsid w:val="002A228B"/>
    <w:rsid w:val="002B1024"/>
    <w:rsid w:val="002B1557"/>
    <w:rsid w:val="002B4142"/>
    <w:rsid w:val="002B6B49"/>
    <w:rsid w:val="002C28DF"/>
    <w:rsid w:val="002C547F"/>
    <w:rsid w:val="002C5740"/>
    <w:rsid w:val="00317240"/>
    <w:rsid w:val="00336D66"/>
    <w:rsid w:val="00347FF3"/>
    <w:rsid w:val="00364825"/>
    <w:rsid w:val="00390CB1"/>
    <w:rsid w:val="003C7AEC"/>
    <w:rsid w:val="003D3C4C"/>
    <w:rsid w:val="003E168F"/>
    <w:rsid w:val="003F276E"/>
    <w:rsid w:val="00420793"/>
    <w:rsid w:val="0043356C"/>
    <w:rsid w:val="00445F84"/>
    <w:rsid w:val="00447446"/>
    <w:rsid w:val="004840C8"/>
    <w:rsid w:val="004944A3"/>
    <w:rsid w:val="004A0E27"/>
    <w:rsid w:val="004A1B5A"/>
    <w:rsid w:val="004B1512"/>
    <w:rsid w:val="004C26F2"/>
    <w:rsid w:val="004D0845"/>
    <w:rsid w:val="004E2142"/>
    <w:rsid w:val="00500661"/>
    <w:rsid w:val="00504054"/>
    <w:rsid w:val="00506924"/>
    <w:rsid w:val="00522178"/>
    <w:rsid w:val="00534398"/>
    <w:rsid w:val="00566D76"/>
    <w:rsid w:val="005706A4"/>
    <w:rsid w:val="005970DC"/>
    <w:rsid w:val="005A54A0"/>
    <w:rsid w:val="005B7934"/>
    <w:rsid w:val="005E5033"/>
    <w:rsid w:val="005F0540"/>
    <w:rsid w:val="00627EE6"/>
    <w:rsid w:val="00631BBC"/>
    <w:rsid w:val="00636821"/>
    <w:rsid w:val="006434F1"/>
    <w:rsid w:val="00646793"/>
    <w:rsid w:val="006554A2"/>
    <w:rsid w:val="00680493"/>
    <w:rsid w:val="006928B4"/>
    <w:rsid w:val="006D717C"/>
    <w:rsid w:val="0070267D"/>
    <w:rsid w:val="0072741B"/>
    <w:rsid w:val="007424F2"/>
    <w:rsid w:val="00786DAF"/>
    <w:rsid w:val="0079226C"/>
    <w:rsid w:val="007C4602"/>
    <w:rsid w:val="007E2426"/>
    <w:rsid w:val="007F166F"/>
    <w:rsid w:val="007F31CD"/>
    <w:rsid w:val="007F42E4"/>
    <w:rsid w:val="0082536C"/>
    <w:rsid w:val="0082716F"/>
    <w:rsid w:val="008512B8"/>
    <w:rsid w:val="00860E1D"/>
    <w:rsid w:val="00864CDD"/>
    <w:rsid w:val="008769F5"/>
    <w:rsid w:val="0088224E"/>
    <w:rsid w:val="008919C0"/>
    <w:rsid w:val="008A29CE"/>
    <w:rsid w:val="008E589A"/>
    <w:rsid w:val="008F5130"/>
    <w:rsid w:val="00941216"/>
    <w:rsid w:val="00953E06"/>
    <w:rsid w:val="0096184E"/>
    <w:rsid w:val="009877A4"/>
    <w:rsid w:val="009974A3"/>
    <w:rsid w:val="009B7508"/>
    <w:rsid w:val="009D5A96"/>
    <w:rsid w:val="009F38CE"/>
    <w:rsid w:val="00A00AAF"/>
    <w:rsid w:val="00A33404"/>
    <w:rsid w:val="00A46BE9"/>
    <w:rsid w:val="00A522B4"/>
    <w:rsid w:val="00A70945"/>
    <w:rsid w:val="00AD4BE8"/>
    <w:rsid w:val="00AF1A2D"/>
    <w:rsid w:val="00AF76F6"/>
    <w:rsid w:val="00B0516D"/>
    <w:rsid w:val="00B300A3"/>
    <w:rsid w:val="00B33433"/>
    <w:rsid w:val="00B336E6"/>
    <w:rsid w:val="00B56E6C"/>
    <w:rsid w:val="00B632AB"/>
    <w:rsid w:val="00B679FB"/>
    <w:rsid w:val="00B80061"/>
    <w:rsid w:val="00B975FE"/>
    <w:rsid w:val="00BB0D06"/>
    <w:rsid w:val="00BB477F"/>
    <w:rsid w:val="00BB5BDE"/>
    <w:rsid w:val="00BC2167"/>
    <w:rsid w:val="00BC38F5"/>
    <w:rsid w:val="00BC560B"/>
    <w:rsid w:val="00BC7D60"/>
    <w:rsid w:val="00BD01CC"/>
    <w:rsid w:val="00BE1FB8"/>
    <w:rsid w:val="00BF4F03"/>
    <w:rsid w:val="00C06005"/>
    <w:rsid w:val="00C27637"/>
    <w:rsid w:val="00C51529"/>
    <w:rsid w:val="00C52FB1"/>
    <w:rsid w:val="00C5608E"/>
    <w:rsid w:val="00CA1413"/>
    <w:rsid w:val="00CA2869"/>
    <w:rsid w:val="00CA36CF"/>
    <w:rsid w:val="00CA3B8C"/>
    <w:rsid w:val="00CA62D2"/>
    <w:rsid w:val="00CA73E7"/>
    <w:rsid w:val="00CD2771"/>
    <w:rsid w:val="00D61C64"/>
    <w:rsid w:val="00D81E13"/>
    <w:rsid w:val="00D861DB"/>
    <w:rsid w:val="00D90F6C"/>
    <w:rsid w:val="00DA199C"/>
    <w:rsid w:val="00DA5245"/>
    <w:rsid w:val="00DB229B"/>
    <w:rsid w:val="00DB3A6F"/>
    <w:rsid w:val="00DB40C6"/>
    <w:rsid w:val="00DC079C"/>
    <w:rsid w:val="00DC4CB3"/>
    <w:rsid w:val="00DC5262"/>
    <w:rsid w:val="00DF7CC2"/>
    <w:rsid w:val="00E13E9E"/>
    <w:rsid w:val="00E14296"/>
    <w:rsid w:val="00E22DBA"/>
    <w:rsid w:val="00E26862"/>
    <w:rsid w:val="00E3201D"/>
    <w:rsid w:val="00E57911"/>
    <w:rsid w:val="00E7053C"/>
    <w:rsid w:val="00E723F9"/>
    <w:rsid w:val="00E87CD2"/>
    <w:rsid w:val="00EA1F68"/>
    <w:rsid w:val="00EA60E4"/>
    <w:rsid w:val="00EA695E"/>
    <w:rsid w:val="00EA7DD1"/>
    <w:rsid w:val="00EE68E6"/>
    <w:rsid w:val="00F14BCF"/>
    <w:rsid w:val="00F23E9A"/>
    <w:rsid w:val="00F31BC6"/>
    <w:rsid w:val="00F53580"/>
    <w:rsid w:val="00F55EE7"/>
    <w:rsid w:val="00F624D8"/>
    <w:rsid w:val="00F8346B"/>
    <w:rsid w:val="00F95BB3"/>
    <w:rsid w:val="00FA3C34"/>
    <w:rsid w:val="00FC0836"/>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03"/>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BF4F0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F4F03"/>
    <w:pPr>
      <w:jc w:val="left"/>
    </w:pPr>
  </w:style>
  <w:style w:type="paragraph" w:styleId="a4">
    <w:name w:val="Balloon Text"/>
    <w:basedOn w:val="a"/>
    <w:link w:val="Char0"/>
    <w:uiPriority w:val="99"/>
    <w:semiHidden/>
    <w:unhideWhenUsed/>
    <w:qFormat/>
    <w:rsid w:val="00BF4F03"/>
    <w:rPr>
      <w:sz w:val="18"/>
      <w:szCs w:val="18"/>
    </w:rPr>
  </w:style>
  <w:style w:type="paragraph" w:styleId="a5">
    <w:name w:val="footer"/>
    <w:basedOn w:val="a"/>
    <w:link w:val="Char1"/>
    <w:uiPriority w:val="99"/>
    <w:unhideWhenUsed/>
    <w:qFormat/>
    <w:rsid w:val="00BF4F0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F4F0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F4F03"/>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BF4F03"/>
    <w:rPr>
      <w:b/>
      <w:bCs/>
    </w:rPr>
  </w:style>
  <w:style w:type="table" w:styleId="a9">
    <w:name w:val="Table Grid"/>
    <w:basedOn w:val="a1"/>
    <w:uiPriority w:val="59"/>
    <w:qFormat/>
    <w:rsid w:val="00BF4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BF4F03"/>
    <w:rPr>
      <w:color w:val="4C4C4C"/>
      <w:u w:val="none"/>
    </w:rPr>
  </w:style>
  <w:style w:type="character" w:styleId="ab">
    <w:name w:val="Emphasis"/>
    <w:basedOn w:val="a0"/>
    <w:uiPriority w:val="20"/>
    <w:qFormat/>
    <w:rsid w:val="00BF4F03"/>
  </w:style>
  <w:style w:type="character" w:styleId="HTML">
    <w:name w:val="HTML Acronym"/>
    <w:basedOn w:val="a0"/>
    <w:uiPriority w:val="99"/>
    <w:semiHidden/>
    <w:unhideWhenUsed/>
    <w:qFormat/>
    <w:rsid w:val="00BF4F03"/>
  </w:style>
  <w:style w:type="character" w:styleId="ac">
    <w:name w:val="Hyperlink"/>
    <w:basedOn w:val="a0"/>
    <w:uiPriority w:val="99"/>
    <w:unhideWhenUsed/>
    <w:qFormat/>
    <w:rsid w:val="00BF4F03"/>
    <w:rPr>
      <w:color w:val="0000FF"/>
      <w:u w:val="single"/>
    </w:rPr>
  </w:style>
  <w:style w:type="character" w:styleId="ad">
    <w:name w:val="annotation reference"/>
    <w:basedOn w:val="a0"/>
    <w:uiPriority w:val="99"/>
    <w:semiHidden/>
    <w:unhideWhenUsed/>
    <w:qFormat/>
    <w:rsid w:val="00BF4F03"/>
    <w:rPr>
      <w:sz w:val="21"/>
      <w:szCs w:val="21"/>
    </w:rPr>
  </w:style>
  <w:style w:type="character" w:customStyle="1" w:styleId="3Char">
    <w:name w:val="标题 3 Char"/>
    <w:basedOn w:val="a0"/>
    <w:link w:val="3"/>
    <w:uiPriority w:val="9"/>
    <w:qFormat/>
    <w:rsid w:val="00BF4F03"/>
    <w:rPr>
      <w:rFonts w:ascii="宋体" w:eastAsia="宋体" w:hAnsi="宋体" w:cs="宋体"/>
      <w:b/>
      <w:bCs/>
      <w:kern w:val="0"/>
      <w:sz w:val="27"/>
      <w:szCs w:val="27"/>
    </w:rPr>
  </w:style>
  <w:style w:type="character" w:customStyle="1" w:styleId="span4">
    <w:name w:val="span4"/>
    <w:basedOn w:val="a0"/>
    <w:qFormat/>
    <w:rsid w:val="00BF4F03"/>
  </w:style>
  <w:style w:type="character" w:customStyle="1" w:styleId="span01">
    <w:name w:val="span01"/>
    <w:basedOn w:val="a0"/>
    <w:qFormat/>
    <w:rsid w:val="00BF4F03"/>
    <w:rPr>
      <w:sz w:val="24"/>
      <w:szCs w:val="24"/>
    </w:rPr>
  </w:style>
  <w:style w:type="character" w:customStyle="1" w:styleId="icon2">
    <w:name w:val="icon2"/>
    <w:basedOn w:val="a0"/>
    <w:qFormat/>
    <w:rsid w:val="00BF4F03"/>
  </w:style>
  <w:style w:type="character" w:customStyle="1" w:styleId="fqrsyliswk">
    <w:name w:val="fqrsyl_iswk"/>
    <w:basedOn w:val="a0"/>
    <w:qFormat/>
    <w:rsid w:val="00BF4F03"/>
  </w:style>
  <w:style w:type="character" w:customStyle="1" w:styleId="span03">
    <w:name w:val="span03"/>
    <w:basedOn w:val="a0"/>
    <w:qFormat/>
    <w:rsid w:val="00BF4F03"/>
  </w:style>
  <w:style w:type="character" w:customStyle="1" w:styleId="span031">
    <w:name w:val="span031"/>
    <w:basedOn w:val="a0"/>
    <w:qFormat/>
    <w:rsid w:val="00BF4F03"/>
  </w:style>
  <w:style w:type="character" w:customStyle="1" w:styleId="fmwfsyiswk">
    <w:name w:val="fmwfsy_iswk"/>
    <w:basedOn w:val="a0"/>
    <w:qFormat/>
    <w:rsid w:val="00BF4F03"/>
  </w:style>
  <w:style w:type="character" w:customStyle="1" w:styleId="span1">
    <w:name w:val="span1"/>
    <w:basedOn w:val="a0"/>
    <w:qFormat/>
    <w:rsid w:val="00BF4F03"/>
  </w:style>
  <w:style w:type="character" w:customStyle="1" w:styleId="span2">
    <w:name w:val="span2"/>
    <w:basedOn w:val="a0"/>
    <w:qFormat/>
    <w:rsid w:val="00BF4F03"/>
  </w:style>
  <w:style w:type="character" w:customStyle="1" w:styleId="hover46">
    <w:name w:val="hover46"/>
    <w:basedOn w:val="a0"/>
    <w:qFormat/>
    <w:rsid w:val="00BF4F03"/>
    <w:rPr>
      <w:shd w:val="clear" w:color="auto" w:fill="FEF2E7"/>
    </w:rPr>
  </w:style>
  <w:style w:type="character" w:customStyle="1" w:styleId="hover47">
    <w:name w:val="hover47"/>
    <w:basedOn w:val="a0"/>
    <w:qFormat/>
    <w:rsid w:val="00BF4F03"/>
    <w:rPr>
      <w:color w:val="F88413"/>
    </w:rPr>
  </w:style>
  <w:style w:type="character" w:customStyle="1" w:styleId="span02">
    <w:name w:val="span02"/>
    <w:basedOn w:val="a0"/>
    <w:qFormat/>
    <w:rsid w:val="00BF4F03"/>
    <w:rPr>
      <w:sz w:val="24"/>
      <w:szCs w:val="24"/>
    </w:rPr>
  </w:style>
  <w:style w:type="character" w:customStyle="1" w:styleId="span021">
    <w:name w:val="span021"/>
    <w:basedOn w:val="a0"/>
    <w:qFormat/>
    <w:rsid w:val="00BF4F03"/>
  </w:style>
  <w:style w:type="character" w:customStyle="1" w:styleId="on26">
    <w:name w:val="on26"/>
    <w:basedOn w:val="a0"/>
    <w:qFormat/>
    <w:rsid w:val="00BF4F03"/>
    <w:rPr>
      <w:color w:val="F88413"/>
    </w:rPr>
  </w:style>
  <w:style w:type="character" w:customStyle="1" w:styleId="on27">
    <w:name w:val="on27"/>
    <w:basedOn w:val="a0"/>
    <w:qFormat/>
    <w:rsid w:val="00BF4F03"/>
  </w:style>
  <w:style w:type="character" w:customStyle="1" w:styleId="span3">
    <w:name w:val="span3"/>
    <w:basedOn w:val="a0"/>
    <w:qFormat/>
    <w:rsid w:val="00BF4F03"/>
  </w:style>
  <w:style w:type="character" w:customStyle="1" w:styleId="span011">
    <w:name w:val="span011"/>
    <w:basedOn w:val="a0"/>
    <w:qFormat/>
    <w:rsid w:val="00BF4F03"/>
  </w:style>
  <w:style w:type="character" w:customStyle="1" w:styleId="icon">
    <w:name w:val="icon"/>
    <w:basedOn w:val="a0"/>
    <w:qFormat/>
    <w:rsid w:val="00BF4F03"/>
  </w:style>
  <w:style w:type="character" w:customStyle="1" w:styleId="hover44">
    <w:name w:val="hover44"/>
    <w:basedOn w:val="a0"/>
    <w:qFormat/>
    <w:rsid w:val="00BF4F03"/>
    <w:rPr>
      <w:shd w:val="clear" w:color="auto" w:fill="FEF2E7"/>
    </w:rPr>
  </w:style>
  <w:style w:type="character" w:customStyle="1" w:styleId="hover45">
    <w:name w:val="hover45"/>
    <w:basedOn w:val="a0"/>
    <w:qFormat/>
    <w:rsid w:val="00BF4F03"/>
    <w:rPr>
      <w:color w:val="F88413"/>
    </w:rPr>
  </w:style>
  <w:style w:type="character" w:customStyle="1" w:styleId="on">
    <w:name w:val="on"/>
    <w:basedOn w:val="a0"/>
    <w:qFormat/>
    <w:rsid w:val="00BF4F03"/>
    <w:rPr>
      <w:color w:val="F88413"/>
    </w:rPr>
  </w:style>
  <w:style w:type="character" w:customStyle="1" w:styleId="on1">
    <w:name w:val="on1"/>
    <w:basedOn w:val="a0"/>
    <w:qFormat/>
    <w:rsid w:val="00BF4F03"/>
  </w:style>
  <w:style w:type="character" w:customStyle="1" w:styleId="Char2">
    <w:name w:val="页眉 Char"/>
    <w:basedOn w:val="a0"/>
    <w:link w:val="a6"/>
    <w:uiPriority w:val="99"/>
    <w:qFormat/>
    <w:rsid w:val="00BF4F03"/>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BF4F03"/>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BF4F03"/>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BF4F03"/>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BF4F03"/>
    <w:rPr>
      <w:rFonts w:asciiTheme="minorHAnsi" w:eastAsiaTheme="minorEastAsia" w:hAnsiTheme="minorHAnsi" w:cstheme="minorBidi"/>
      <w:kern w:val="2"/>
      <w:sz w:val="18"/>
      <w:szCs w:val="18"/>
    </w:rPr>
  </w:style>
  <w:style w:type="character" w:customStyle="1" w:styleId="hover43">
    <w:name w:val="hover43"/>
    <w:basedOn w:val="a0"/>
    <w:qFormat/>
    <w:rsid w:val="00BF4F03"/>
    <w:rPr>
      <w:color w:val="F88413"/>
    </w:rPr>
  </w:style>
  <w:style w:type="paragraph" w:customStyle="1" w:styleId="Default">
    <w:name w:val="Default"/>
    <w:qFormat/>
    <w:rsid w:val="00BF4F03"/>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BF4F03"/>
    <w:rPr>
      <w:color w:val="F88413"/>
    </w:rPr>
  </w:style>
  <w:style w:type="character" w:customStyle="1" w:styleId="hover1">
    <w:name w:val="hover1"/>
    <w:basedOn w:val="a0"/>
    <w:qFormat/>
    <w:rsid w:val="00BF4F03"/>
    <w:rPr>
      <w:shd w:val="clear" w:color="auto" w:fill="FEF2E7"/>
    </w:rPr>
  </w:style>
  <w:style w:type="character" w:customStyle="1" w:styleId="hover42">
    <w:name w:val="hover42"/>
    <w:basedOn w:val="a0"/>
    <w:qFormat/>
    <w:rsid w:val="00BF4F03"/>
    <w:rPr>
      <w:shd w:val="clear" w:color="auto" w:fill="FEF2E7"/>
    </w:rPr>
  </w:style>
  <w:style w:type="character" w:customStyle="1" w:styleId="on3">
    <w:name w:val="on3"/>
    <w:basedOn w:val="a0"/>
    <w:qFormat/>
    <w:rsid w:val="00BF4F03"/>
  </w:style>
  <w:style w:type="character" w:customStyle="1" w:styleId="on4">
    <w:name w:val="on4"/>
    <w:basedOn w:val="a0"/>
    <w:qFormat/>
    <w:rsid w:val="00BF4F03"/>
    <w:rPr>
      <w:color w:val="F88413"/>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1261</Characters>
  <Application>Microsoft Office Word</Application>
  <DocSecurity>4</DocSecurity>
  <Lines>10</Lines>
  <Paragraphs>2</Paragraphs>
  <ScaleCrop>false</ScaleCrop>
  <Company>Microsoft</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2021-11-11T16:01:00Z</dcterms:created>
  <dcterms:modified xsi:type="dcterms:W3CDTF">2021-11-11T16:01:00Z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