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center"/>
        <w:rPr>
          <w:rFonts w:eastAsia="Times New Roman"/>
          <w:sz w:val="48"/>
          <w:szCs w:val="48"/>
          <w:lang w:val="en-US" w:eastAsia="zh-CN" w:bidi="ar-SA"/>
        </w:rPr>
      </w:pPr>
      <w:bookmarkStart w:id="0" w:name="t_6_0_table"/>
      <w:bookmarkEnd w:id="0"/>
      <w:r>
        <w:rPr>
          <w:rFonts w:ascii="宋体" w:eastAsia="宋体" w:hAnsi="宋体" w:cs="宋体"/>
          <w:b/>
          <w:bCs/>
          <w:sz w:val="48"/>
          <w:szCs w:val="48"/>
          <w:lang w:val="en-US" w:eastAsia="zh-CN" w:bidi="ar-SA"/>
        </w:rPr>
        <w:t>鹏华基金管理有限公司关于鹏华金城灵活配置混合型证券投资基金</w:t>
      </w:r>
      <w:r>
        <w:rPr>
          <w:rFonts w:ascii="宋体" w:eastAsia="宋体" w:hAnsi="宋体" w:cs="宋体"/>
          <w:b/>
          <w:bCs/>
          <w:sz w:val="48"/>
          <w:szCs w:val="48"/>
          <w:lang w:val="en-US" w:eastAsia="zh-CN" w:bidi="ar-SA"/>
        </w:rPr>
        <w:t>2021</w:t>
      </w:r>
      <w:r>
        <w:rPr>
          <w:rFonts w:ascii="宋体" w:eastAsia="宋体" w:hAnsi="宋体" w:cs="宋体"/>
          <w:b/>
          <w:bCs/>
          <w:sz w:val="48"/>
          <w:szCs w:val="48"/>
          <w:lang w:val="en-US" w:eastAsia="zh-CN" w:bidi="ar-SA"/>
        </w:rPr>
        <w:t>年第</w:t>
      </w:r>
      <w:r>
        <w:rPr>
          <w:rFonts w:ascii="宋体" w:eastAsia="宋体" w:hAnsi="宋体" w:cs="宋体"/>
          <w:b/>
          <w:bCs/>
          <w:sz w:val="48"/>
          <w:szCs w:val="48"/>
          <w:lang w:val="en-US" w:eastAsia="zh-CN" w:bidi="ar-SA"/>
        </w:rPr>
        <w:t>1</w:t>
      </w:r>
      <w:r>
        <w:rPr>
          <w:rFonts w:ascii="宋体" w:eastAsia="宋体" w:hAnsi="宋体" w:cs="宋体"/>
          <w:b/>
          <w:bCs/>
          <w:sz w:val="48"/>
          <w:szCs w:val="48"/>
          <w:lang w:val="en-US" w:eastAsia="zh-CN" w:bidi="ar-SA"/>
        </w:rPr>
        <w:t>次分红公告</w:t>
      </w:r>
    </w:p>
    <w:p w:rsidR="00000000" w:rsidRDefault="001221CA">
      <w:pPr>
        <w:jc w:val="center"/>
        <w:rPr>
          <w:rFonts w:eastAsia="Times New Roman"/>
          <w:sz w:val="48"/>
          <w:szCs w:val="48"/>
          <w:lang w:val="en-US" w:eastAsia="zh-CN" w:bidi="ar-SA"/>
        </w:rPr>
      </w:pPr>
      <w:r>
        <w:rPr>
          <w:rFonts w:ascii="Calibri" w:eastAsia="Calibri" w:hAnsi="Calibri" w:cs="Calibri"/>
          <w:sz w:val="48"/>
          <w:szCs w:val="48"/>
          <w:lang w:val="en-US" w:eastAsia="zh-CN" w:bidi="ar-SA"/>
        </w:rPr>
        <w:t> </w:t>
      </w:r>
      <w:bookmarkStart w:id="1" w:name="t_6_0_0002_a2_fm1"/>
      <w:bookmarkEnd w:id="1"/>
      <w:r>
        <w:rPr>
          <w:rFonts w:ascii="Calibri" w:eastAsia="Calibri" w:hAnsi="Calibri" w:cs="Calibri"/>
          <w:sz w:val="30"/>
          <w:szCs w:val="30"/>
          <w:lang w:val="en-US" w:eastAsia="zh-CN" w:bidi="ar-SA"/>
        </w:rPr>
        <w:t> </w:t>
      </w: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ind w:left="2100" w:firstLine="420"/>
        <w:jc w:val="both"/>
        <w:rPr>
          <w:rFonts w:eastAsia="Times New Roman"/>
          <w:sz w:val="28"/>
          <w:szCs w:val="28"/>
          <w:lang w:val="en-US" w:eastAsia="zh-CN" w:bidi="ar-SA"/>
        </w:rPr>
      </w:pPr>
      <w:r>
        <w:rPr>
          <w:rFonts w:ascii="宋体" w:eastAsia="宋体" w:hAnsi="宋体" w:cs="宋体"/>
          <w:b/>
          <w:bCs/>
          <w:sz w:val="28"/>
          <w:szCs w:val="28"/>
          <w:lang w:val="en-US" w:eastAsia="zh-CN" w:bidi="ar-SA"/>
        </w:rPr>
        <w:t>公告送出日期：</w:t>
      </w:r>
      <w:r>
        <w:rPr>
          <w:rFonts w:ascii="宋体" w:eastAsia="宋体" w:hAnsi="宋体" w:cs="宋体"/>
          <w:b/>
          <w:bCs/>
          <w:sz w:val="28"/>
          <w:szCs w:val="28"/>
          <w:lang w:val="en-US" w:eastAsia="zh-CN" w:bidi="ar-SA"/>
        </w:rPr>
        <w:t>2021</w:t>
      </w:r>
      <w:r>
        <w:rPr>
          <w:rFonts w:ascii="宋体" w:eastAsia="宋体" w:hAnsi="宋体" w:cs="宋体"/>
          <w:b/>
          <w:bCs/>
          <w:sz w:val="28"/>
          <w:szCs w:val="28"/>
          <w:lang w:val="en-US" w:eastAsia="zh-CN" w:bidi="ar-SA"/>
        </w:rPr>
        <w:t>年</w:t>
      </w:r>
      <w:r>
        <w:rPr>
          <w:rFonts w:ascii="宋体" w:eastAsia="宋体" w:hAnsi="宋体" w:cs="宋体"/>
          <w:b/>
          <w:bCs/>
          <w:sz w:val="28"/>
          <w:szCs w:val="28"/>
          <w:lang w:val="en-US" w:eastAsia="zh-CN" w:bidi="ar-SA"/>
        </w:rPr>
        <w:t>11</w:t>
      </w:r>
      <w:r>
        <w:rPr>
          <w:rFonts w:ascii="宋体" w:eastAsia="宋体" w:hAnsi="宋体" w:cs="宋体"/>
          <w:b/>
          <w:bCs/>
          <w:sz w:val="28"/>
          <w:szCs w:val="28"/>
          <w:lang w:val="en-US" w:eastAsia="zh-CN" w:bidi="ar-SA"/>
        </w:rPr>
        <w:t>月</w:t>
      </w:r>
      <w:r>
        <w:rPr>
          <w:rFonts w:ascii="宋体" w:eastAsia="宋体" w:hAnsi="宋体" w:cs="宋体"/>
          <w:b/>
          <w:bCs/>
          <w:sz w:val="28"/>
          <w:szCs w:val="28"/>
          <w:lang w:val="en-US" w:eastAsia="zh-CN" w:bidi="ar-SA"/>
        </w:rPr>
        <w:t>10</w:t>
      </w:r>
      <w:r>
        <w:rPr>
          <w:rFonts w:ascii="宋体" w:eastAsia="宋体" w:hAnsi="宋体" w:cs="宋体"/>
          <w:b/>
          <w:bCs/>
          <w:sz w:val="28"/>
          <w:szCs w:val="28"/>
          <w:lang w:val="en-US" w:eastAsia="zh-CN" w:bidi="ar-SA"/>
        </w:rPr>
        <w:t>日</w:t>
      </w:r>
      <w:bookmarkStart w:id="2" w:name="t_6_0_0003_a1_fm1"/>
      <w:bookmarkEnd w:id="2"/>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sz w:val="21"/>
          <w:szCs w:val="21"/>
          <w:lang w:val="en-US" w:eastAsia="zh-CN" w:bidi="ar-SA"/>
        </w:rPr>
      </w:pPr>
      <w:r>
        <w:rPr>
          <w:rFonts w:eastAsia="Times New Roman"/>
          <w:sz w:val="21"/>
          <w:szCs w:val="21"/>
          <w:lang w:val="en-US" w:eastAsia="zh-CN" w:bidi="ar-SA"/>
        </w:rPr>
        <w:t> </w:t>
      </w:r>
    </w:p>
    <w:p w:rsidR="00000000" w:rsidRDefault="001221CA">
      <w:pPr>
        <w:jc w:val="both"/>
        <w:rPr>
          <w:rFonts w:eastAsia="Times New Roman"/>
          <w:sz w:val="21"/>
          <w:szCs w:val="21"/>
          <w:lang w:val="en-US" w:eastAsia="zh-CN" w:bidi="ar-SA"/>
        </w:rPr>
      </w:pPr>
      <w:r>
        <w:rPr>
          <w:rFonts w:eastAsia="Times New Roman"/>
          <w:sz w:val="21"/>
          <w:szCs w:val="21"/>
          <w:lang w:val="en-US" w:eastAsia="zh-CN" w:bidi="ar-SA"/>
        </w:rPr>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lastRenderedPageBreak/>
        <w:t> </w:t>
      </w:r>
    </w:p>
    <w:p w:rsidR="00000000" w:rsidRDefault="001221CA">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jc w:val="both"/>
        <w:rPr>
          <w:rFonts w:eastAsia="Times New Roman"/>
          <w:lang w:val="en-US" w:eastAsia="zh-CN" w:bidi="ar-SA"/>
        </w:rPr>
      </w:pPr>
      <w:r>
        <w:rPr>
          <w:rFonts w:ascii="Calibri" w:eastAsia="Calibri" w:hAnsi="Calibri" w:cs="Calibri"/>
          <w:b/>
          <w:bCs/>
          <w:sz w:val="21"/>
          <w:szCs w:val="21"/>
          <w:lang w:val="en-US" w:eastAsia="zh-CN" w:bidi="ar-SA"/>
        </w:rPr>
        <w:t>  </w:t>
      </w:r>
      <w:bookmarkStart w:id="3" w:name="t_qh_6_1_table"/>
      <w:bookmarkEnd w:id="3"/>
      <w:r>
        <w:rPr>
          <w:rFonts w:ascii="Calibri" w:eastAsia="Calibri" w:hAnsi="Calibri" w:cs="Calibri"/>
          <w:b/>
          <w:bCs/>
          <w:lang w:val="en-US" w:eastAsia="zh-CN" w:bidi="ar-SA"/>
        </w:rPr>
        <w:t>1.</w:t>
      </w:r>
      <w:r>
        <w:rPr>
          <w:b/>
          <w:bCs/>
          <w:sz w:val="14"/>
          <w:szCs w:val="14"/>
          <w:lang w:val="en-US" w:eastAsia="zh-CN" w:bidi="ar-SA"/>
        </w:rPr>
        <w:t xml:space="preserve">  </w:t>
      </w:r>
      <w:r>
        <w:rPr>
          <w:rFonts w:ascii="Calibri" w:eastAsia="Calibri" w:hAnsi="Calibri" w:cs="Calibri"/>
          <w:b/>
          <w:bCs/>
          <w:lang w:val="en-US" w:eastAsia="zh-CN" w:bidi="ar-SA"/>
        </w:rPr>
        <w:t> </w:t>
      </w:r>
      <w:bookmarkStart w:id="4" w:name="m01"/>
      <w:bookmarkEnd w:id="4"/>
      <w:r>
        <w:rPr>
          <w:rFonts w:ascii="宋体" w:eastAsia="宋体" w:hAnsi="宋体" w:cs="宋体"/>
          <w:b/>
          <w:bCs/>
          <w:lang w:val="en-US" w:eastAsia="zh-CN" w:bidi="ar-SA"/>
        </w:rPr>
        <w:t>公告基本信息</w:t>
      </w:r>
    </w:p>
    <w:tbl>
      <w:tblPr>
        <w:tblW w:w="0" w:type="auto"/>
        <w:tblInd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tblPr>
      <w:tblGrid>
        <w:gridCol w:w="1459"/>
        <w:gridCol w:w="3449"/>
        <w:gridCol w:w="4688"/>
      </w:tblGrid>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5" w:name="m01_tab"/>
            <w:bookmarkEnd w:id="5"/>
            <w:r>
              <w:rPr>
                <w:rFonts w:ascii="宋体" w:eastAsia="宋体" w:hAnsi="宋体" w:cs="宋体"/>
                <w:sz w:val="21"/>
                <w:szCs w:val="21"/>
                <w:lang w:val="en-US" w:eastAsia="zh-CN" w:bidi="ar-SA"/>
              </w:rPr>
              <w:t>基金名称</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6" w:name="t_qh_6_1_0009_a1_fm1"/>
            <w:bookmarkEnd w:id="6"/>
            <w:r>
              <w:rPr>
                <w:rFonts w:ascii="宋体" w:eastAsia="宋体" w:hAnsi="宋体" w:cs="宋体"/>
                <w:sz w:val="21"/>
                <w:szCs w:val="21"/>
                <w:lang w:val="en-US" w:eastAsia="zh-CN" w:bidi="ar-SA"/>
              </w:rPr>
              <w:t>鹏华金城灵活配置混合型证券投资基金（以下简称</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本基金</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基金简称</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7" w:name="t_qh_6_1_0011_a1_fm1"/>
            <w:bookmarkEnd w:id="7"/>
            <w:r>
              <w:rPr>
                <w:rFonts w:ascii="宋体" w:eastAsia="宋体" w:hAnsi="宋体" w:cs="宋体"/>
                <w:sz w:val="21"/>
                <w:szCs w:val="21"/>
                <w:lang w:val="en-US" w:eastAsia="zh-CN" w:bidi="ar-SA"/>
              </w:rPr>
              <w:t>鹏华金城混合</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基金主代码</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8" w:name="t_qh_6_1_0012_a1_fm1"/>
            <w:bookmarkEnd w:id="8"/>
            <w:r>
              <w:rPr>
                <w:rFonts w:ascii="宋体" w:eastAsia="宋体" w:hAnsi="宋体" w:cs="宋体"/>
                <w:sz w:val="21"/>
                <w:szCs w:val="21"/>
                <w:lang w:val="en-US" w:eastAsia="zh-CN" w:bidi="ar-SA"/>
              </w:rPr>
              <w:t>002714</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基金合同生效日</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9" w:name="t_qh_6_1_0018_a1_fm1"/>
            <w:bookmarkEnd w:id="9"/>
            <w:r>
              <w:rPr>
                <w:rFonts w:ascii="宋体" w:eastAsia="宋体" w:hAnsi="宋体" w:cs="宋体"/>
                <w:sz w:val="21"/>
                <w:szCs w:val="21"/>
                <w:lang w:val="en-US" w:eastAsia="zh-CN" w:bidi="ar-SA"/>
              </w:rPr>
              <w:t>2019</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06</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07</w:t>
            </w:r>
            <w:r>
              <w:rPr>
                <w:rFonts w:ascii="宋体" w:eastAsia="宋体" w:hAnsi="宋体" w:cs="宋体"/>
                <w:sz w:val="21"/>
                <w:szCs w:val="21"/>
                <w:lang w:val="en-US" w:eastAsia="zh-CN" w:bidi="ar-SA"/>
              </w:rPr>
              <w:t>日</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基金管理人名称</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10" w:name="t_qh_6_1_0186_a1_fm1"/>
            <w:bookmarkEnd w:id="10"/>
            <w:r>
              <w:rPr>
                <w:rFonts w:ascii="宋体" w:eastAsia="宋体" w:hAnsi="宋体" w:cs="宋体"/>
                <w:sz w:val="21"/>
                <w:szCs w:val="21"/>
                <w:lang w:val="en-US" w:eastAsia="zh-CN" w:bidi="ar-SA"/>
              </w:rPr>
              <w:t>鹏华</w:t>
            </w:r>
            <w:r>
              <w:rPr>
                <w:rFonts w:ascii="宋体" w:eastAsia="宋体" w:hAnsi="宋体" w:cs="宋体"/>
                <w:sz w:val="21"/>
                <w:szCs w:val="21"/>
                <w:lang w:val="en-US" w:eastAsia="zh-CN" w:bidi="ar-SA"/>
              </w:rPr>
              <w:t>基金管理有限公司</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基金托管人名称</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11" w:name="t_qh_6_1_0213_a1_fm1"/>
            <w:bookmarkEnd w:id="11"/>
            <w:r>
              <w:rPr>
                <w:rFonts w:ascii="宋体" w:eastAsia="宋体" w:hAnsi="宋体" w:cs="宋体"/>
                <w:sz w:val="21"/>
                <w:szCs w:val="21"/>
                <w:lang w:val="en-US" w:eastAsia="zh-CN" w:bidi="ar-SA"/>
              </w:rPr>
              <w:t>中国银行股份有限公司</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公告依据</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12" w:name="t_qh_6_1_2631_a1_fm1"/>
            <w:bookmarkEnd w:id="12"/>
            <w:r>
              <w:rPr>
                <w:rFonts w:ascii="宋体" w:eastAsia="宋体" w:hAnsi="宋体" w:cs="宋体"/>
                <w:sz w:val="21"/>
                <w:szCs w:val="21"/>
                <w:lang w:val="en-US" w:eastAsia="zh-CN" w:bidi="ar-SA"/>
              </w:rPr>
              <w:t>根据《中华人民共和国证券投资基金法》、《公开募集证券投资基金运作管理办法》等法律法规有关规定及《鹏华金城灵活配置混合型证券投资基金基金合同》及《鹏华金城灵活配置混合型证券投资基金招募说明书》及更新的约定</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收益分配基准日</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13" w:name="t_qh_6_1_2637_a1_fm1"/>
            <w:bookmarkEnd w:id="13"/>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02</w:t>
            </w:r>
            <w:r>
              <w:rPr>
                <w:rFonts w:ascii="宋体" w:eastAsia="宋体" w:hAnsi="宋体" w:cs="宋体"/>
                <w:sz w:val="21"/>
                <w:szCs w:val="21"/>
                <w:lang w:val="en-US" w:eastAsia="zh-CN" w:bidi="ar-SA"/>
              </w:rPr>
              <w:t>日</w:t>
            </w:r>
          </w:p>
        </w:tc>
      </w:tr>
      <w:tr w:rsidR="00000000">
        <w:trPr>
          <w:trHeight w:val="312"/>
        </w:trPr>
        <w:tc>
          <w:tcPr>
            <w:tcW w:w="1459" w:type="dxa"/>
            <w:vMerge w:val="restart"/>
            <w:tcBorders>
              <w:bottom w:val="single" w:sz="8" w:space="0" w:color="auto"/>
              <w:right w:val="single" w:sz="8" w:space="0" w:color="auto"/>
            </w:tcBorders>
            <w:tcMar>
              <w:top w:w="10" w:type="dxa"/>
              <w:left w:w="118" w:type="dxa"/>
              <w:bottom w:w="10" w:type="dxa"/>
              <w:right w:w="118" w:type="dxa"/>
            </w:tcMar>
            <w:vAlign w:val="center"/>
          </w:tcPr>
          <w:p w:rsidR="00000000" w:rsidRDefault="001221CA">
            <w:pPr>
              <w:rPr>
                <w:rFonts w:eastAsia="Times New Roman"/>
                <w:sz w:val="21"/>
                <w:szCs w:val="21"/>
                <w:lang w:val="en-US" w:eastAsia="zh-CN" w:bidi="ar-SA"/>
              </w:rPr>
            </w:pPr>
            <w:r>
              <w:rPr>
                <w:rFonts w:ascii="宋体" w:eastAsia="宋体" w:hAnsi="宋体" w:cs="宋体"/>
                <w:sz w:val="21"/>
                <w:szCs w:val="21"/>
                <w:lang w:val="en-US" w:eastAsia="zh-CN" w:bidi="ar-SA"/>
              </w:rPr>
              <w:t>截止收益分配基准日的相关指标</w:t>
            </w: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1221CA">
            <w:pPr>
              <w:rPr>
                <w:rFonts w:eastAsia="Times New Roman"/>
                <w:sz w:val="21"/>
                <w:szCs w:val="21"/>
                <w:lang w:val="en-US" w:eastAsia="zh-CN" w:bidi="ar-SA"/>
              </w:rPr>
            </w:pPr>
            <w:r>
              <w:rPr>
                <w:rFonts w:ascii="宋体" w:eastAsia="宋体" w:hAnsi="宋体" w:cs="宋体"/>
                <w:sz w:val="21"/>
                <w:szCs w:val="21"/>
                <w:lang w:val="en-US" w:eastAsia="zh-CN" w:bidi="ar-SA"/>
              </w:rPr>
              <w:t>基准日基金份额净值（单位：人民币元）</w:t>
            </w:r>
          </w:p>
        </w:tc>
        <w:tc>
          <w:tcPr>
            <w:tcW w:w="4688" w:type="dxa"/>
            <w:tcBorders>
              <w:bottom w:val="single" w:sz="8" w:space="0" w:color="auto"/>
            </w:tcBorders>
            <w:tcMar>
              <w:top w:w="10" w:type="dxa"/>
              <w:left w:w="118" w:type="dxa"/>
              <w:bottom w:w="10" w:type="dxa"/>
              <w:right w:w="118" w:type="dxa"/>
            </w:tcMar>
          </w:tcPr>
          <w:p w:rsidR="00000000" w:rsidRDefault="001221CA">
            <w:pPr>
              <w:rPr>
                <w:rFonts w:eastAsia="宋体" w:hint="eastAsia"/>
                <w:sz w:val="21"/>
                <w:szCs w:val="21"/>
                <w:lang w:bidi="ar-SA"/>
              </w:rPr>
            </w:pPr>
            <w:bookmarkStart w:id="14" w:name="t_qh_6_1_2638_a1_fm2210"/>
            <w:bookmarkEnd w:id="14"/>
            <w:r>
              <w:rPr>
                <w:rFonts w:ascii="宋体" w:eastAsia="宋体" w:hAnsi="宋体" w:cs="宋体"/>
                <w:sz w:val="21"/>
                <w:szCs w:val="21"/>
                <w:lang w:val="en-US" w:eastAsia="zh-CN" w:bidi="ar-SA"/>
              </w:rPr>
              <w:t>1.354</w:t>
            </w:r>
          </w:p>
        </w:tc>
      </w:tr>
      <w:tr w:rsidR="00000000">
        <w:trPr>
          <w:trHeight w:val="142"/>
        </w:trPr>
        <w:tc>
          <w:tcPr>
            <w:tcW w:w="1459" w:type="dxa"/>
            <w:vMerge/>
            <w:tcBorders>
              <w:bottom w:val="single" w:sz="8" w:space="0" w:color="auto"/>
              <w:right w:val="single" w:sz="8" w:space="0" w:color="auto"/>
            </w:tcBorders>
            <w:vAlign w:val="center"/>
          </w:tcPr>
          <w:p w:rsidR="00000000" w:rsidRDefault="001221CA">
            <w:pPr>
              <w:rPr>
                <w:rFonts w:ascii="宋体" w:eastAsia="宋体" w:hAnsi="宋体" w:cs="宋体"/>
                <w:sz w:val="21"/>
                <w:szCs w:val="21"/>
                <w:lang w:val="en-US" w:eastAsia="zh-CN" w:bidi="ar-SA"/>
              </w:rPr>
            </w:pP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基准日基金可供分配利润（单位：人民币元）</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15" w:name="t_qh_6_1_2640_a1_fm2210"/>
            <w:bookmarkEnd w:id="15"/>
            <w:r>
              <w:rPr>
                <w:rFonts w:ascii="宋体" w:eastAsia="宋体" w:hAnsi="宋体" w:cs="宋体"/>
                <w:sz w:val="21"/>
                <w:szCs w:val="21"/>
                <w:lang w:val="en-US" w:eastAsia="zh-CN" w:bidi="ar-SA"/>
              </w:rPr>
              <w:t>197,321,573.51</w:t>
            </w:r>
          </w:p>
        </w:tc>
      </w:tr>
      <w:tr w:rsidR="00000000">
        <w:trPr>
          <w:trHeight w:val="142"/>
        </w:trPr>
        <w:tc>
          <w:tcPr>
            <w:tcW w:w="1459" w:type="dxa"/>
            <w:vMerge/>
            <w:tcBorders>
              <w:bottom w:val="single" w:sz="8" w:space="0" w:color="auto"/>
              <w:right w:val="single" w:sz="8" w:space="0" w:color="auto"/>
            </w:tcBorders>
            <w:vAlign w:val="center"/>
          </w:tcPr>
          <w:p w:rsidR="00000000" w:rsidRDefault="001221CA">
            <w:pPr>
              <w:rPr>
                <w:rFonts w:ascii="宋体" w:eastAsia="宋体" w:hAnsi="宋体" w:cs="宋体"/>
                <w:sz w:val="21"/>
                <w:szCs w:val="21"/>
                <w:lang w:val="en-US" w:eastAsia="zh-CN" w:bidi="ar-SA"/>
              </w:rPr>
            </w:pP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截止基准日按照基金合同约定的分红比</w:t>
            </w:r>
            <w:r>
              <w:rPr>
                <w:rFonts w:ascii="宋体" w:eastAsia="宋体" w:hAnsi="宋体" w:cs="宋体"/>
                <w:sz w:val="21"/>
                <w:szCs w:val="21"/>
                <w:lang w:val="en-US" w:eastAsia="zh-CN" w:bidi="ar-SA"/>
              </w:rPr>
              <w:t>例计算的应分配金额（单位：人民币元）</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16" w:name="t_qh_6_1_2814_a1_fm2210"/>
            <w:bookmarkEnd w:id="16"/>
            <w:r>
              <w:rPr>
                <w:rFonts w:ascii="宋体" w:eastAsia="宋体" w:hAnsi="宋体" w:cs="宋体"/>
                <w:sz w:val="21"/>
                <w:szCs w:val="21"/>
                <w:lang w:val="en-US" w:eastAsia="zh-CN" w:bidi="ar-SA"/>
              </w:rPr>
              <w:t>-</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本次分红方案（单位：元</w:t>
            </w:r>
            <w:r>
              <w:rPr>
                <w:rFonts w:ascii="宋体" w:eastAsia="宋体" w:hAnsi="宋体" w:cs="宋体"/>
                <w:sz w:val="21"/>
                <w:szCs w:val="21"/>
                <w:lang w:val="en-US" w:eastAsia="zh-CN" w:bidi="ar-SA"/>
              </w:rPr>
              <w:t>/10</w:t>
            </w:r>
            <w:r>
              <w:rPr>
                <w:rFonts w:ascii="宋体" w:eastAsia="宋体" w:hAnsi="宋体" w:cs="宋体"/>
                <w:sz w:val="21"/>
                <w:szCs w:val="21"/>
                <w:lang w:val="en-US" w:eastAsia="zh-CN" w:bidi="ar-SA"/>
              </w:rPr>
              <w:t>份基金份额）</w:t>
            </w:r>
          </w:p>
        </w:tc>
        <w:tc>
          <w:tcPr>
            <w:tcW w:w="4688"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17" w:name="t_qh_6_1_2641_a1_fm2210"/>
            <w:bookmarkEnd w:id="17"/>
            <w:r>
              <w:rPr>
                <w:rFonts w:ascii="宋体" w:eastAsia="宋体" w:hAnsi="宋体" w:cs="宋体"/>
                <w:sz w:val="21"/>
                <w:szCs w:val="21"/>
                <w:lang w:val="en-US" w:eastAsia="zh-CN" w:bidi="ar-SA"/>
              </w:rPr>
              <w:t>0.6</w:t>
            </w:r>
          </w:p>
        </w:tc>
      </w:tr>
      <w:tr w:rsidR="00000000">
        <w:trPr>
          <w:trHeight w:val="312"/>
        </w:trPr>
        <w:tc>
          <w:tcPr>
            <w:tcW w:w="4908" w:type="dxa"/>
            <w:gridSpan w:val="2"/>
            <w:tcBorders>
              <w:right w:val="single" w:sz="8" w:space="0" w:color="auto"/>
            </w:tcBorders>
            <w:tcMar>
              <w:top w:w="10" w:type="dxa"/>
              <w:left w:w="118" w:type="dxa"/>
              <w:bottom w:w="10" w:type="dxa"/>
              <w:right w:w="118" w:type="dxa"/>
            </w:tcMar>
            <w:vAlign w:val="cente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有关年度分红次数的说明</w:t>
            </w:r>
          </w:p>
        </w:tc>
        <w:tc>
          <w:tcPr>
            <w:tcW w:w="4688" w:type="dxa"/>
            <w:tcMar>
              <w:top w:w="10" w:type="dxa"/>
              <w:left w:w="118" w:type="dxa"/>
              <w:bottom w:w="10" w:type="dxa"/>
              <w:right w:w="118" w:type="dxa"/>
            </w:tcMar>
            <w:vAlign w:val="center"/>
          </w:tcPr>
          <w:p w:rsidR="00000000" w:rsidRDefault="001221CA">
            <w:pPr>
              <w:jc w:val="both"/>
              <w:rPr>
                <w:rFonts w:eastAsia="Times New Roman"/>
                <w:sz w:val="21"/>
                <w:szCs w:val="21"/>
                <w:lang w:val="en-US" w:eastAsia="zh-CN" w:bidi="ar-SA"/>
              </w:rPr>
            </w:pPr>
            <w:bookmarkStart w:id="18" w:name="t_qh_6_1_2815_a1_fm1"/>
            <w:bookmarkEnd w:id="18"/>
            <w:r>
              <w:rPr>
                <w:rFonts w:ascii="宋体" w:eastAsia="宋体" w:hAnsi="宋体" w:cs="宋体"/>
                <w:sz w:val="21"/>
                <w:szCs w:val="21"/>
                <w:lang w:val="en-US" w:eastAsia="zh-CN" w:bidi="ar-SA"/>
              </w:rPr>
              <w:t>本次分红为</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年第</w:t>
            </w: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次分红</w:t>
            </w:r>
          </w:p>
        </w:tc>
      </w:tr>
    </w:tbl>
    <w:p w:rsidR="00000000" w:rsidRDefault="001221CA">
      <w:pPr>
        <w:spacing w:line="360" w:lineRule="auto"/>
        <w:rPr>
          <w:rFonts w:eastAsia="Times New Roman"/>
          <w:sz w:val="21"/>
          <w:szCs w:val="21"/>
          <w:lang w:val="en-US" w:eastAsia="zh-CN" w:bidi="ar-SA"/>
        </w:rPr>
      </w:pPr>
      <w:bookmarkStart w:id="19" w:name="t_qh_6_1_2645_a1_fm1"/>
      <w:bookmarkEnd w:id="19"/>
      <w:r>
        <w:rPr>
          <w:rFonts w:ascii="宋体" w:eastAsia="宋体" w:hAnsi="宋体" w:cs="宋体"/>
          <w:sz w:val="21"/>
          <w:szCs w:val="21"/>
          <w:lang w:val="en-US" w:eastAsia="zh-CN" w:bidi="ar-SA"/>
        </w:rPr>
        <w:t>注：根据《鹏华金城灵活配置混合型证券投资基金基金合同》的约定，在符合有关基金分红条件的前提下，本基金管理人可以根据实际情况进行收益分配。</w:t>
      </w:r>
    </w:p>
    <w:p w:rsidR="00000000" w:rsidRDefault="001221CA">
      <w:pPr>
        <w:pStyle w:val="2"/>
        <w:spacing w:before="156" w:after="156" w:line="413" w:lineRule="auto"/>
        <w:ind w:left="420" w:hanging="420"/>
        <w:jc w:val="both"/>
        <w:rPr>
          <w:rFonts w:ascii="Times New Roman" w:eastAsia="Times New Roman" w:hAnsi="Times New Roman" w:cs="Times New Roman"/>
          <w:lang w:val="en-US" w:eastAsia="zh-CN" w:bidi="ar-SA"/>
        </w:rPr>
      </w:pPr>
      <w:bookmarkStart w:id="20" w:name="m02"/>
      <w:bookmarkStart w:id="21" w:name="t_6_2_table"/>
      <w:bookmarkEnd w:id="20"/>
      <w:bookmarkEnd w:id="21"/>
      <w:r>
        <w:rPr>
          <w:rFonts w:eastAsia="Arial"/>
          <w:i w:val="0"/>
          <w:iCs w:val="0"/>
          <w:sz w:val="24"/>
          <w:szCs w:val="24"/>
          <w:lang w:val="en-US" w:eastAsia="zh-CN" w:bidi="ar-SA"/>
        </w:rPr>
        <w:t>2.</w:t>
      </w:r>
      <w:r>
        <w:rPr>
          <w:rFonts w:ascii="Times New Roman" w:hAnsi="Times New Roman" w:cs="Times New Roman"/>
          <w:i w:val="0"/>
          <w:iCs w:val="0"/>
          <w:sz w:val="14"/>
          <w:szCs w:val="14"/>
          <w:lang w:val="en-US" w:eastAsia="zh-CN" w:bidi="ar-SA"/>
        </w:rPr>
        <w:t xml:space="preserve">  </w:t>
      </w:r>
      <w:r>
        <w:rPr>
          <w:rFonts w:ascii="黑体" w:eastAsia="黑体" w:hAnsi="黑体" w:cs="黑体"/>
          <w:i w:val="0"/>
          <w:iCs w:val="0"/>
          <w:sz w:val="24"/>
          <w:szCs w:val="24"/>
          <w:lang w:val="en-US" w:eastAsia="zh-CN" w:bidi="ar-SA"/>
        </w:rPr>
        <w:t>与分红相关的其他信息</w:t>
      </w:r>
    </w:p>
    <w:tbl>
      <w:tblPr>
        <w:tblW w:w="0" w:type="auto"/>
        <w:tblInd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tblPr>
      <w:tblGrid>
        <w:gridCol w:w="3486"/>
        <w:gridCol w:w="6110"/>
      </w:tblGrid>
      <w:tr w:rsidR="00000000">
        <w:trPr>
          <w:trHeight w:val="320"/>
        </w:trPr>
        <w:tc>
          <w:tcPr>
            <w:tcW w:w="3486" w:type="dxa"/>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22" w:name="m02_tab"/>
            <w:bookmarkEnd w:id="22"/>
            <w:r>
              <w:rPr>
                <w:rFonts w:ascii="宋体" w:eastAsia="宋体" w:hAnsi="宋体" w:cs="宋体"/>
                <w:sz w:val="21"/>
                <w:szCs w:val="21"/>
                <w:lang w:val="en-US" w:eastAsia="zh-CN" w:bidi="ar-SA"/>
              </w:rPr>
              <w:t>权益登记日</w:t>
            </w:r>
          </w:p>
        </w:tc>
        <w:tc>
          <w:tcPr>
            <w:tcW w:w="6110"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23" w:name="t_6_2_2758_a1_fm1"/>
            <w:bookmarkEnd w:id="23"/>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日</w:t>
            </w:r>
          </w:p>
        </w:tc>
      </w:tr>
      <w:tr w:rsidR="00000000">
        <w:trPr>
          <w:trHeight w:val="335"/>
        </w:trPr>
        <w:tc>
          <w:tcPr>
            <w:tcW w:w="3486" w:type="dxa"/>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除息日</w:t>
            </w:r>
          </w:p>
        </w:tc>
        <w:tc>
          <w:tcPr>
            <w:tcW w:w="6110"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日</w:t>
            </w:r>
          </w:p>
        </w:tc>
      </w:tr>
      <w:tr w:rsidR="00000000">
        <w:trPr>
          <w:trHeight w:val="320"/>
        </w:trPr>
        <w:tc>
          <w:tcPr>
            <w:tcW w:w="3486" w:type="dxa"/>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现金红利发放日</w:t>
            </w:r>
          </w:p>
        </w:tc>
        <w:tc>
          <w:tcPr>
            <w:tcW w:w="6110" w:type="dxa"/>
            <w:tcBorders>
              <w:bottom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bookmarkStart w:id="24" w:name="t_6_2_2760_a1_fm1"/>
            <w:bookmarkEnd w:id="24"/>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16</w:t>
            </w:r>
            <w:r>
              <w:rPr>
                <w:rFonts w:ascii="宋体" w:eastAsia="宋体" w:hAnsi="宋体" w:cs="宋体"/>
                <w:sz w:val="21"/>
                <w:szCs w:val="21"/>
                <w:lang w:val="en-US" w:eastAsia="zh-CN" w:bidi="ar-SA"/>
              </w:rPr>
              <w:t>日</w:t>
            </w:r>
          </w:p>
        </w:tc>
      </w:tr>
      <w:tr w:rsidR="00000000">
        <w:trPr>
          <w:trHeight w:val="335"/>
        </w:trPr>
        <w:tc>
          <w:tcPr>
            <w:tcW w:w="3486" w:type="dxa"/>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分红对象</w:t>
            </w:r>
          </w:p>
        </w:tc>
        <w:tc>
          <w:tcPr>
            <w:tcW w:w="6110" w:type="dxa"/>
            <w:tcBorders>
              <w:bottom w:val="single" w:sz="8" w:space="0" w:color="auto"/>
            </w:tcBorders>
            <w:tcMar>
              <w:top w:w="10" w:type="dxa"/>
              <w:left w:w="118" w:type="dxa"/>
              <w:bottom w:w="10" w:type="dxa"/>
              <w:right w:w="118" w:type="dxa"/>
            </w:tcMar>
          </w:tcPr>
          <w:p w:rsidR="00000000" w:rsidRDefault="001221CA">
            <w:pPr>
              <w:rPr>
                <w:rFonts w:eastAsia="Times New Roman"/>
                <w:lang w:val="en-US" w:eastAsia="zh-CN" w:bidi="ar-SA"/>
              </w:rPr>
            </w:pPr>
            <w:r>
              <w:rPr>
                <w:rFonts w:ascii="宋体" w:eastAsia="宋体" w:hAnsi="宋体" w:cs="宋体"/>
                <w:sz w:val="21"/>
                <w:szCs w:val="21"/>
                <w:lang w:val="en-US" w:eastAsia="zh-CN" w:bidi="ar-SA"/>
              </w:rPr>
              <w:t>权益登记日在本基金基金份额登记机构登记在册的本基金份额持有人。</w:t>
            </w:r>
          </w:p>
        </w:tc>
      </w:tr>
      <w:tr w:rsidR="00000000">
        <w:trPr>
          <w:trHeight w:val="335"/>
        </w:trPr>
        <w:tc>
          <w:tcPr>
            <w:tcW w:w="3486" w:type="dxa"/>
            <w:tcBorders>
              <w:bottom w:val="single" w:sz="8" w:space="0" w:color="auto"/>
              <w:right w:val="single" w:sz="8" w:space="0" w:color="auto"/>
            </w:tcBorders>
            <w:tcMar>
              <w:top w:w="10" w:type="dxa"/>
              <w:left w:w="118" w:type="dxa"/>
              <w:bottom w:w="10" w:type="dxa"/>
              <w:right w:w="118" w:type="dxa"/>
            </w:tcMar>
            <w:vAlign w:val="cente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红利再投资相关事项的说明</w:t>
            </w:r>
          </w:p>
        </w:tc>
        <w:tc>
          <w:tcPr>
            <w:tcW w:w="6110" w:type="dxa"/>
            <w:tcBorders>
              <w:bottom w:val="single" w:sz="8" w:space="0" w:color="auto"/>
            </w:tcBorders>
            <w:tcMar>
              <w:top w:w="10" w:type="dxa"/>
              <w:left w:w="118" w:type="dxa"/>
              <w:bottom w:w="10" w:type="dxa"/>
              <w:right w:w="118" w:type="dxa"/>
            </w:tcMar>
          </w:tcPr>
          <w:p w:rsidR="00000000" w:rsidRDefault="001221CA">
            <w:pPr>
              <w:rPr>
                <w:rFonts w:eastAsia="Times New Roman"/>
                <w:lang w:val="en-US" w:eastAsia="zh-CN" w:bidi="ar-SA"/>
              </w:rPr>
            </w:pP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、选择红利再投资的投资者，其红利将按</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日的基金份额净值为计算基准确定再投资份额。</w:t>
            </w: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、选择红利再投资方式的投资者所转换的基金份额将于</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15</w:t>
            </w:r>
            <w:r>
              <w:rPr>
                <w:rFonts w:ascii="宋体" w:eastAsia="宋体" w:hAnsi="宋体" w:cs="宋体"/>
                <w:sz w:val="21"/>
                <w:szCs w:val="21"/>
                <w:lang w:val="en-US" w:eastAsia="zh-CN" w:bidi="ar-SA"/>
              </w:rPr>
              <w:t>日直接计入其基金账户，</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16</w:t>
            </w:r>
            <w:r>
              <w:rPr>
                <w:rFonts w:ascii="宋体" w:eastAsia="宋体" w:hAnsi="宋体" w:cs="宋体"/>
                <w:sz w:val="21"/>
                <w:szCs w:val="21"/>
                <w:lang w:val="en-US" w:eastAsia="zh-CN" w:bidi="ar-SA"/>
              </w:rPr>
              <w:t>日起可以查询、赎回。</w:t>
            </w:r>
          </w:p>
        </w:tc>
      </w:tr>
      <w:tr w:rsidR="00000000">
        <w:trPr>
          <w:trHeight w:val="335"/>
        </w:trPr>
        <w:tc>
          <w:tcPr>
            <w:tcW w:w="3486" w:type="dxa"/>
            <w:tcBorders>
              <w:bottom w:val="single" w:sz="8" w:space="0" w:color="auto"/>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税收相关事项的说明</w:t>
            </w:r>
          </w:p>
        </w:tc>
        <w:tc>
          <w:tcPr>
            <w:tcW w:w="6110" w:type="dxa"/>
            <w:tcBorders>
              <w:bottom w:val="single" w:sz="8" w:space="0" w:color="auto"/>
            </w:tcBorders>
            <w:tcMar>
              <w:top w:w="10" w:type="dxa"/>
              <w:left w:w="118" w:type="dxa"/>
              <w:bottom w:w="10" w:type="dxa"/>
              <w:right w:w="118" w:type="dxa"/>
            </w:tcMar>
          </w:tcPr>
          <w:p w:rsidR="00000000" w:rsidRDefault="001221CA">
            <w:pPr>
              <w:rPr>
                <w:rFonts w:eastAsia="Times New Roman"/>
                <w:lang w:val="en-US" w:eastAsia="zh-CN" w:bidi="ar-SA"/>
              </w:rPr>
            </w:pPr>
            <w:r>
              <w:rPr>
                <w:rFonts w:ascii="宋体" w:eastAsia="宋体" w:hAnsi="宋体" w:cs="宋体"/>
                <w:sz w:val="21"/>
                <w:szCs w:val="21"/>
                <w:lang w:val="en-US" w:eastAsia="zh-CN" w:bidi="ar-SA"/>
              </w:rPr>
              <w:t>根据财政部、国家税务总局颁布的相关规定，基金向投资者分配的基金收益，暂免征收所得税。</w:t>
            </w:r>
          </w:p>
        </w:tc>
      </w:tr>
      <w:tr w:rsidR="00000000">
        <w:trPr>
          <w:trHeight w:val="335"/>
        </w:trPr>
        <w:tc>
          <w:tcPr>
            <w:tcW w:w="3486" w:type="dxa"/>
            <w:tcBorders>
              <w:right w:val="single" w:sz="8" w:space="0" w:color="auto"/>
            </w:tcBorders>
            <w:tcMar>
              <w:top w:w="10" w:type="dxa"/>
              <w:left w:w="118" w:type="dxa"/>
              <w:bottom w:w="10" w:type="dxa"/>
              <w:right w:w="118" w:type="dxa"/>
            </w:tcMar>
          </w:tcPr>
          <w:p w:rsidR="00000000" w:rsidRDefault="001221CA">
            <w:pPr>
              <w:jc w:val="both"/>
              <w:rPr>
                <w:rFonts w:eastAsia="Times New Roman"/>
                <w:sz w:val="21"/>
                <w:szCs w:val="21"/>
                <w:lang w:val="en-US" w:eastAsia="zh-CN" w:bidi="ar-SA"/>
              </w:rPr>
            </w:pPr>
            <w:r>
              <w:rPr>
                <w:rFonts w:ascii="宋体" w:eastAsia="宋体" w:hAnsi="宋体" w:cs="宋体"/>
                <w:sz w:val="21"/>
                <w:szCs w:val="21"/>
                <w:lang w:val="en-US" w:eastAsia="zh-CN" w:bidi="ar-SA"/>
              </w:rPr>
              <w:t>费用相关事项的说明</w:t>
            </w:r>
          </w:p>
        </w:tc>
        <w:tc>
          <w:tcPr>
            <w:tcW w:w="6110" w:type="dxa"/>
            <w:tcMar>
              <w:top w:w="10" w:type="dxa"/>
              <w:left w:w="118" w:type="dxa"/>
              <w:bottom w:w="10" w:type="dxa"/>
              <w:right w:w="118" w:type="dxa"/>
            </w:tcMar>
          </w:tcPr>
          <w:p w:rsidR="00000000" w:rsidRDefault="001221CA">
            <w:pPr>
              <w:rPr>
                <w:rFonts w:eastAsia="Times New Roman"/>
                <w:lang w:val="en-US" w:eastAsia="zh-CN" w:bidi="ar-SA"/>
              </w:rPr>
            </w:pP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、本次分红免收分红手续费。</w:t>
            </w: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、选择红利再投资方式的投资</w:t>
            </w:r>
            <w:r>
              <w:rPr>
                <w:rFonts w:ascii="宋体" w:eastAsia="宋体" w:hAnsi="宋体" w:cs="宋体"/>
                <w:sz w:val="21"/>
                <w:szCs w:val="21"/>
                <w:lang w:val="en-US" w:eastAsia="zh-CN" w:bidi="ar-SA"/>
              </w:rPr>
              <w:lastRenderedPageBreak/>
              <w:t>者，其红利所转换投资的基金份额免收申购费用等红利再投资费用。</w:t>
            </w:r>
          </w:p>
        </w:tc>
      </w:tr>
    </w:tbl>
    <w:p w:rsidR="00000000" w:rsidRDefault="001221CA">
      <w:pPr>
        <w:spacing w:line="360" w:lineRule="auto"/>
        <w:rPr>
          <w:rFonts w:ascii="宋体" w:eastAsia="宋体" w:hAnsi="宋体" w:cs="宋体"/>
          <w:sz w:val="21"/>
          <w:szCs w:val="21"/>
          <w:lang w:val="en-US" w:eastAsia="zh-CN" w:bidi="ar-SA"/>
        </w:rPr>
      </w:pPr>
      <w:bookmarkStart w:id="25" w:name="t_6_2_2766_a1_fm1"/>
      <w:bookmarkEnd w:id="25"/>
      <w:r>
        <w:rPr>
          <w:rFonts w:ascii="宋体" w:eastAsia="宋体" w:hAnsi="宋体" w:cs="宋体"/>
          <w:sz w:val="21"/>
          <w:szCs w:val="21"/>
          <w:lang w:val="en-US" w:eastAsia="zh-CN" w:bidi="ar-SA"/>
        </w:rPr>
        <w:lastRenderedPageBreak/>
        <w:t>注</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、权益登记日以后（含权益登记日）申购（包括转换转入）的本基金份额不享有本次分红权益，而权益登记日申请赎回（包括转换转出）的本基金份额享有本次分红权益。</w:t>
      </w:r>
      <w:r>
        <w:rPr>
          <w:rFonts w:ascii="宋体" w:eastAsia="宋体" w:hAnsi="宋体" w:cs="宋体"/>
          <w:sz w:val="21"/>
          <w:szCs w:val="21"/>
          <w:lang w:val="en-US" w:eastAsia="zh-CN" w:bidi="ar-SA"/>
        </w:rPr>
        <w:t xml:space="preserve"> </w:t>
      </w:r>
    </w:p>
    <w:p w:rsidR="00000000" w:rsidRDefault="001221CA">
      <w:pPr>
        <w:spacing w:line="360" w:lineRule="auto"/>
        <w:ind w:firstLineChars="200" w:firstLine="420"/>
        <w:rPr>
          <w:rFonts w:eastAsia="Times New Roman"/>
          <w:sz w:val="21"/>
          <w:szCs w:val="21"/>
          <w:lang w:val="en-US" w:eastAsia="zh-CN" w:bidi="ar-SA"/>
        </w:rPr>
      </w:pP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、根据相关法律法规和基金合同约定本基金不再符合基金分红条件的，本基金管理人可另行刊登相关公告决定是否予以分红或变更分红方案，并依法履行相关程序。</w:t>
      </w:r>
    </w:p>
    <w:p w:rsidR="00000000" w:rsidRDefault="001221CA">
      <w:pPr>
        <w:pStyle w:val="2"/>
        <w:spacing w:before="156" w:after="156" w:line="413" w:lineRule="auto"/>
        <w:ind w:left="420" w:hanging="420"/>
        <w:jc w:val="both"/>
        <w:rPr>
          <w:rFonts w:ascii="Times New Roman" w:eastAsia="Times New Roman" w:hAnsi="Times New Roman" w:cs="Times New Roman"/>
          <w:lang w:val="en-US" w:eastAsia="zh-CN" w:bidi="ar-SA"/>
        </w:rPr>
      </w:pPr>
      <w:bookmarkStart w:id="26" w:name="t_6_3_table"/>
      <w:bookmarkEnd w:id="26"/>
      <w:r>
        <w:rPr>
          <w:rFonts w:eastAsia="Arial"/>
          <w:i w:val="0"/>
          <w:iCs w:val="0"/>
          <w:sz w:val="24"/>
          <w:szCs w:val="24"/>
          <w:lang w:val="en-US" w:eastAsia="zh-CN" w:bidi="ar-SA"/>
        </w:rPr>
        <w:t>3.</w:t>
      </w:r>
      <w:r>
        <w:rPr>
          <w:rFonts w:ascii="Times New Roman" w:hAnsi="Times New Roman" w:cs="Times New Roman"/>
          <w:i w:val="0"/>
          <w:iCs w:val="0"/>
          <w:sz w:val="14"/>
          <w:szCs w:val="14"/>
          <w:lang w:val="en-US" w:eastAsia="zh-CN" w:bidi="ar-SA"/>
        </w:rPr>
        <w:t xml:space="preserve">  </w:t>
      </w:r>
      <w:r>
        <w:rPr>
          <w:rFonts w:ascii="黑体" w:eastAsia="黑体" w:hAnsi="黑体" w:cs="黑体"/>
          <w:i w:val="0"/>
          <w:iCs w:val="0"/>
          <w:sz w:val="24"/>
          <w:szCs w:val="24"/>
          <w:lang w:val="en-US" w:eastAsia="zh-CN" w:bidi="ar-SA"/>
        </w:rPr>
        <w:t>其他需要提示的事项</w:t>
      </w:r>
    </w:p>
    <w:p w:rsidR="00000000" w:rsidRDefault="001221CA">
      <w:pPr>
        <w:spacing w:line="360" w:lineRule="auto"/>
        <w:ind w:firstLine="420"/>
        <w:rPr>
          <w:rFonts w:eastAsia="Times New Roman"/>
          <w:sz w:val="21"/>
          <w:szCs w:val="21"/>
          <w:lang w:val="en-US" w:eastAsia="zh-CN" w:bidi="ar-SA"/>
        </w:rPr>
      </w:pPr>
      <w:bookmarkStart w:id="27" w:name="t_6_3_2646_a1_fm1"/>
      <w:bookmarkEnd w:id="27"/>
      <w:r>
        <w:rPr>
          <w:rFonts w:ascii="宋体" w:eastAsia="宋体" w:hAnsi="宋体" w:cs="宋体"/>
          <w:sz w:val="21"/>
          <w:szCs w:val="21"/>
          <w:lang w:val="en-US" w:eastAsia="zh-CN" w:bidi="ar-SA"/>
        </w:rPr>
        <w:t>咨询办法</w:t>
      </w:r>
      <w:r>
        <w:rPr>
          <w:rFonts w:ascii="宋体" w:eastAsia="宋体" w:hAnsi="宋体" w:cs="宋体"/>
          <w:sz w:val="21"/>
          <w:szCs w:val="21"/>
          <w:lang w:val="en-US" w:eastAsia="zh-CN" w:bidi="ar-SA"/>
        </w:rPr>
        <w:t xml:space="preserve"> </w:t>
      </w:r>
    </w:p>
    <w:p w:rsidR="00000000" w:rsidRDefault="001221CA">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基金份额持有人欲了解本基金其它有关信息，可采取如下方法咨询：</w:t>
      </w:r>
    </w:p>
    <w:p w:rsidR="00000000" w:rsidRDefault="001221CA">
      <w:pPr>
        <w:spacing w:line="360" w:lineRule="auto"/>
        <w:ind w:firstLine="420"/>
        <w:rPr>
          <w:rFonts w:eastAsia="Times New Roman"/>
          <w:sz w:val="21"/>
          <w:szCs w:val="21"/>
          <w:lang w:val="en-US" w:eastAsia="zh-CN" w:bidi="ar-SA"/>
        </w:rPr>
      </w:pPr>
      <w:r>
        <w:rPr>
          <w:sz w:val="21"/>
          <w:szCs w:val="21"/>
          <w:lang w:val="en-US" w:eastAsia="zh-CN" w:bidi="ar-SA"/>
        </w:rPr>
        <w:t>1</w:t>
      </w:r>
      <w:r>
        <w:rPr>
          <w:rFonts w:ascii="宋体" w:eastAsia="宋体" w:hAnsi="宋体" w:cs="宋体"/>
          <w:sz w:val="21"/>
          <w:szCs w:val="21"/>
          <w:lang w:val="en-US" w:eastAsia="zh-CN" w:bidi="ar-SA"/>
        </w:rPr>
        <w:t>、鹏华基金管理有限公司网站</w:t>
      </w:r>
      <w:r>
        <w:rPr>
          <w:sz w:val="21"/>
          <w:szCs w:val="21"/>
          <w:lang w:val="en-US" w:eastAsia="zh-CN" w:bidi="ar-SA"/>
        </w:rPr>
        <w:t>: www.phfund.com</w:t>
      </w:r>
    </w:p>
    <w:p w:rsidR="00000000" w:rsidRDefault="001221CA">
      <w:pPr>
        <w:spacing w:line="360" w:lineRule="auto"/>
        <w:ind w:firstLine="420"/>
        <w:rPr>
          <w:rFonts w:eastAsia="Times New Roman"/>
          <w:sz w:val="21"/>
          <w:szCs w:val="21"/>
          <w:lang w:val="en-US" w:eastAsia="zh-CN" w:bidi="ar-SA"/>
        </w:rPr>
      </w:pPr>
      <w:r>
        <w:rPr>
          <w:sz w:val="21"/>
          <w:szCs w:val="21"/>
          <w:lang w:val="en-US" w:eastAsia="zh-CN" w:bidi="ar-SA"/>
        </w:rPr>
        <w:t>2</w:t>
      </w:r>
      <w:r>
        <w:rPr>
          <w:rFonts w:ascii="宋体" w:eastAsia="宋体" w:hAnsi="宋体" w:cs="宋体"/>
          <w:sz w:val="21"/>
          <w:szCs w:val="21"/>
          <w:lang w:val="en-US" w:eastAsia="zh-CN" w:bidi="ar-SA"/>
        </w:rPr>
        <w:t>、鹏华基金管理有限公司客户服务热线：</w:t>
      </w:r>
      <w:r>
        <w:rPr>
          <w:sz w:val="21"/>
          <w:szCs w:val="21"/>
          <w:lang w:val="en-US" w:eastAsia="zh-CN" w:bidi="ar-SA"/>
        </w:rPr>
        <w:t>40</w:t>
      </w:r>
      <w:r>
        <w:rPr>
          <w:sz w:val="21"/>
          <w:szCs w:val="21"/>
          <w:lang w:val="en-US" w:eastAsia="zh-CN" w:bidi="ar-SA"/>
        </w:rPr>
        <w:t>0-6788-533</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 xml:space="preserve"> </w:t>
      </w:r>
      <w:r>
        <w:rPr>
          <w:sz w:val="21"/>
          <w:szCs w:val="21"/>
          <w:lang w:val="en-US" w:eastAsia="zh-CN" w:bidi="ar-SA"/>
        </w:rPr>
        <w:t>0755-82353668</w:t>
      </w:r>
    </w:p>
    <w:p w:rsidR="00000000" w:rsidRDefault="001221CA">
      <w:pPr>
        <w:spacing w:line="360" w:lineRule="auto"/>
        <w:ind w:firstLine="420"/>
        <w:rPr>
          <w:rFonts w:eastAsia="Times New Roman"/>
          <w:sz w:val="21"/>
          <w:szCs w:val="21"/>
          <w:lang w:val="en-US" w:eastAsia="zh-CN" w:bidi="ar-SA"/>
        </w:rPr>
      </w:pPr>
      <w:r>
        <w:rPr>
          <w:sz w:val="21"/>
          <w:szCs w:val="21"/>
          <w:lang w:val="en-US" w:eastAsia="zh-CN" w:bidi="ar-SA"/>
        </w:rPr>
        <w:t>3</w:t>
      </w:r>
      <w:r>
        <w:rPr>
          <w:rFonts w:ascii="宋体" w:eastAsia="宋体" w:hAnsi="宋体" w:cs="宋体"/>
          <w:sz w:val="21"/>
          <w:szCs w:val="21"/>
          <w:lang w:val="en-US" w:eastAsia="zh-CN" w:bidi="ar-SA"/>
        </w:rPr>
        <w:t>、鹏华基金管理有限公司直销网点及本基金各销售机构的相关网点</w:t>
      </w:r>
      <w:r>
        <w:rPr>
          <w:sz w:val="21"/>
          <w:szCs w:val="21"/>
          <w:lang w:val="en-US" w:eastAsia="zh-CN" w:bidi="ar-SA"/>
        </w:rPr>
        <w:t>(</w:t>
      </w:r>
      <w:r>
        <w:rPr>
          <w:rFonts w:ascii="宋体" w:eastAsia="宋体" w:hAnsi="宋体" w:cs="宋体"/>
          <w:sz w:val="21"/>
          <w:szCs w:val="21"/>
          <w:lang w:val="en-US" w:eastAsia="zh-CN" w:bidi="ar-SA"/>
        </w:rPr>
        <w:t>详见本基金更新招募说明书及相关公告</w:t>
      </w:r>
      <w:r>
        <w:rPr>
          <w:sz w:val="21"/>
          <w:szCs w:val="21"/>
          <w:lang w:val="en-US" w:eastAsia="zh-CN" w:bidi="ar-SA"/>
        </w:rPr>
        <w:t>)</w:t>
      </w:r>
      <w:r>
        <w:rPr>
          <w:rFonts w:ascii="宋体" w:eastAsia="宋体" w:hAnsi="宋体" w:cs="宋体"/>
          <w:sz w:val="21"/>
          <w:szCs w:val="21"/>
          <w:lang w:val="en-US" w:eastAsia="zh-CN" w:bidi="ar-SA"/>
        </w:rPr>
        <w:t>。</w:t>
      </w:r>
    </w:p>
    <w:p w:rsidR="00000000" w:rsidRDefault="001221CA">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本基金投资者选择分红方式的重要提示</w:t>
      </w:r>
    </w:p>
    <w:p w:rsidR="00000000" w:rsidRDefault="001221CA">
      <w:pPr>
        <w:spacing w:line="360" w:lineRule="auto"/>
        <w:ind w:firstLine="420"/>
        <w:rPr>
          <w:rFonts w:eastAsia="Times New Roman"/>
          <w:sz w:val="21"/>
          <w:szCs w:val="21"/>
          <w:lang w:val="en-US" w:eastAsia="zh-CN" w:bidi="ar-SA"/>
        </w:rPr>
      </w:pPr>
      <w:r>
        <w:rPr>
          <w:sz w:val="21"/>
          <w:szCs w:val="21"/>
          <w:lang w:val="en-US" w:eastAsia="zh-CN" w:bidi="ar-SA"/>
        </w:rPr>
        <w:t>1</w:t>
      </w:r>
      <w:r>
        <w:rPr>
          <w:rFonts w:ascii="宋体" w:eastAsia="宋体" w:hAnsi="宋体" w:cs="宋体"/>
          <w:sz w:val="21"/>
          <w:szCs w:val="21"/>
          <w:lang w:val="en-US" w:eastAsia="zh-CN" w:bidi="ar-SA"/>
        </w:rPr>
        <w:t>、（</w:t>
      </w:r>
      <w:r>
        <w:rPr>
          <w:sz w:val="21"/>
          <w:szCs w:val="21"/>
          <w:lang w:val="en-US" w:eastAsia="zh-CN" w:bidi="ar-SA"/>
        </w:rPr>
        <w:t>1</w:t>
      </w:r>
      <w:r>
        <w:rPr>
          <w:rFonts w:ascii="宋体" w:eastAsia="宋体" w:hAnsi="宋体" w:cs="宋体"/>
          <w:sz w:val="21"/>
          <w:szCs w:val="21"/>
          <w:lang w:val="en-US" w:eastAsia="zh-CN" w:bidi="ar-SA"/>
        </w:rPr>
        <w:t>）自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w:t>
      </w:r>
      <w:r>
        <w:rPr>
          <w:sz w:val="21"/>
          <w:szCs w:val="21"/>
          <w:lang w:val="en-US" w:eastAsia="zh-CN" w:bidi="ar-SA"/>
        </w:rPr>
        <w:t>(</w:t>
      </w:r>
      <w:r>
        <w:rPr>
          <w:rFonts w:ascii="宋体" w:eastAsia="宋体" w:hAnsi="宋体" w:cs="宋体"/>
          <w:sz w:val="21"/>
          <w:szCs w:val="21"/>
          <w:lang w:val="en-US" w:eastAsia="zh-CN" w:bidi="ar-SA"/>
        </w:rPr>
        <w:t>含</w:t>
      </w:r>
      <w:r>
        <w:rPr>
          <w:sz w:val="21"/>
          <w:szCs w:val="21"/>
          <w:lang w:val="en-US" w:eastAsia="zh-CN" w:bidi="ar-SA"/>
        </w:rPr>
        <w:t>)</w:t>
      </w:r>
      <w:r>
        <w:rPr>
          <w:rFonts w:ascii="宋体" w:eastAsia="宋体" w:hAnsi="宋体" w:cs="宋体"/>
          <w:sz w:val="21"/>
          <w:szCs w:val="21"/>
          <w:lang w:val="en-US" w:eastAsia="zh-CN" w:bidi="ar-SA"/>
        </w:rPr>
        <w:t>起，本公司取消账户级别分红方式，即投资者若通过账户类申请</w:t>
      </w:r>
      <w:r>
        <w:rPr>
          <w:sz w:val="21"/>
          <w:szCs w:val="21"/>
          <w:lang w:val="en-US" w:eastAsia="zh-CN" w:bidi="ar-SA"/>
        </w:rPr>
        <w:t>(</w:t>
      </w:r>
      <w:r>
        <w:rPr>
          <w:rFonts w:ascii="宋体" w:eastAsia="宋体" w:hAnsi="宋体" w:cs="宋体"/>
          <w:sz w:val="21"/>
          <w:szCs w:val="21"/>
          <w:lang w:val="en-US" w:eastAsia="zh-CN" w:bidi="ar-SA"/>
        </w:rPr>
        <w:t>包括开立基金账户、增开交易账户、账户资料变更</w:t>
      </w:r>
      <w:r>
        <w:rPr>
          <w:sz w:val="21"/>
          <w:szCs w:val="21"/>
          <w:lang w:val="en-US" w:eastAsia="zh-CN" w:bidi="ar-SA"/>
        </w:rPr>
        <w:t>)</w:t>
      </w:r>
      <w:r>
        <w:rPr>
          <w:rFonts w:ascii="宋体" w:eastAsia="宋体" w:hAnsi="宋体" w:cs="宋体"/>
          <w:sz w:val="21"/>
          <w:szCs w:val="21"/>
          <w:lang w:val="en-US" w:eastAsia="zh-CN" w:bidi="ar-SA"/>
        </w:rPr>
        <w:t>所提交的账户分红方式将不再有效；</w:t>
      </w:r>
    </w:p>
    <w:p w:rsidR="00000000" w:rsidRDefault="001221CA">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 xml:space="preserve">　（</w:t>
      </w:r>
      <w:r>
        <w:rPr>
          <w:sz w:val="21"/>
          <w:szCs w:val="21"/>
          <w:lang w:val="en-US" w:eastAsia="zh-CN" w:bidi="ar-SA"/>
        </w:rPr>
        <w:t>2</w:t>
      </w:r>
      <w:r>
        <w:rPr>
          <w:rFonts w:ascii="宋体" w:eastAsia="宋体" w:hAnsi="宋体" w:cs="宋体"/>
          <w:sz w:val="21"/>
          <w:szCs w:val="21"/>
          <w:lang w:val="en-US" w:eastAsia="zh-CN" w:bidi="ar-SA"/>
        </w:rPr>
        <w:t>）自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w:t>
      </w:r>
      <w:r>
        <w:rPr>
          <w:sz w:val="21"/>
          <w:szCs w:val="21"/>
          <w:lang w:val="en-US" w:eastAsia="zh-CN" w:bidi="ar-SA"/>
        </w:rPr>
        <w:t>(</w:t>
      </w:r>
      <w:r>
        <w:rPr>
          <w:rFonts w:ascii="宋体" w:eastAsia="宋体" w:hAnsi="宋体" w:cs="宋体"/>
          <w:sz w:val="21"/>
          <w:szCs w:val="21"/>
          <w:lang w:val="en-US" w:eastAsia="zh-CN" w:bidi="ar-SA"/>
        </w:rPr>
        <w:t>含</w:t>
      </w:r>
      <w:r>
        <w:rPr>
          <w:sz w:val="21"/>
          <w:szCs w:val="21"/>
          <w:lang w:val="en-US" w:eastAsia="zh-CN" w:bidi="ar-SA"/>
        </w:rPr>
        <w:t>)</w:t>
      </w:r>
      <w:r>
        <w:rPr>
          <w:rFonts w:ascii="宋体" w:eastAsia="宋体" w:hAnsi="宋体" w:cs="宋体"/>
          <w:sz w:val="21"/>
          <w:szCs w:val="21"/>
          <w:lang w:val="en-US" w:eastAsia="zh-CN" w:bidi="ar-SA"/>
        </w:rPr>
        <w:t>起，投资者如需设置或变更各个基金的分红方式，本公司只接受投资者通过交易类申请单独设置或变更单只基金分红方式；</w:t>
      </w:r>
    </w:p>
    <w:p w:rsidR="00000000" w:rsidRDefault="001221CA">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 xml:space="preserve">　（</w:t>
      </w:r>
      <w:r>
        <w:rPr>
          <w:sz w:val="21"/>
          <w:szCs w:val="21"/>
          <w:lang w:val="en-US" w:eastAsia="zh-CN" w:bidi="ar-SA"/>
        </w:rPr>
        <w:t>3</w:t>
      </w:r>
      <w:r>
        <w:rPr>
          <w:rFonts w:ascii="宋体" w:eastAsia="宋体" w:hAnsi="宋体" w:cs="宋体"/>
          <w:sz w:val="21"/>
          <w:szCs w:val="21"/>
          <w:lang w:val="en-US" w:eastAsia="zh-CN" w:bidi="ar-SA"/>
        </w:rPr>
        <w:t>）本次分红方式业务规则调整对现有基金份额持有人的分红方式没有影响，投资者现持有或曾经持有的基金产品，其分红方式均保留不变。但投资者在</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23</w:t>
      </w:r>
      <w:r>
        <w:rPr>
          <w:rFonts w:ascii="宋体" w:eastAsia="宋体" w:hAnsi="宋体" w:cs="宋体"/>
          <w:sz w:val="21"/>
          <w:szCs w:val="21"/>
          <w:lang w:val="en-US" w:eastAsia="zh-CN" w:bidi="ar-SA"/>
        </w:rPr>
        <w:t>日（含）之前通过账户类业务提交的账户分红方式设置，自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日（含）起对投资者新认（申）购的其他基金产品，原设置的账户分红方式将不再生效。</w:t>
      </w:r>
    </w:p>
    <w:p w:rsidR="00000000" w:rsidRDefault="001221CA">
      <w:pPr>
        <w:spacing w:line="360" w:lineRule="auto"/>
        <w:ind w:firstLine="420"/>
        <w:rPr>
          <w:rFonts w:eastAsia="Times New Roman"/>
          <w:sz w:val="21"/>
          <w:szCs w:val="21"/>
          <w:lang w:val="en-US" w:eastAsia="zh-CN" w:bidi="ar-SA"/>
        </w:rPr>
      </w:pPr>
      <w:r>
        <w:rPr>
          <w:sz w:val="21"/>
          <w:szCs w:val="21"/>
          <w:lang w:val="en-US" w:eastAsia="zh-CN" w:bidi="ar-SA"/>
        </w:rPr>
        <w:t>2</w:t>
      </w:r>
      <w:r>
        <w:rPr>
          <w:rFonts w:ascii="宋体" w:eastAsia="宋体" w:hAnsi="宋体" w:cs="宋体"/>
          <w:sz w:val="21"/>
          <w:szCs w:val="21"/>
          <w:lang w:val="en-US" w:eastAsia="zh-CN" w:bidi="ar-SA"/>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r>
        <w:rPr>
          <w:rFonts w:ascii="宋体" w:eastAsia="宋体" w:hAnsi="宋体" w:cs="宋体"/>
          <w:sz w:val="21"/>
          <w:szCs w:val="21"/>
          <w:lang w:val="en-US" w:eastAsia="zh-CN" w:bidi="ar-SA"/>
        </w:rPr>
        <w:t>。</w:t>
      </w:r>
    </w:p>
    <w:p w:rsidR="00000000" w:rsidRDefault="001221CA">
      <w:pPr>
        <w:spacing w:line="360" w:lineRule="auto"/>
        <w:ind w:firstLine="420"/>
        <w:rPr>
          <w:rFonts w:eastAsia="Times New Roman"/>
          <w:sz w:val="21"/>
          <w:szCs w:val="21"/>
          <w:lang w:val="en-US" w:eastAsia="zh-CN" w:bidi="ar-SA"/>
        </w:rPr>
      </w:pPr>
      <w:r>
        <w:rPr>
          <w:sz w:val="21"/>
          <w:szCs w:val="21"/>
          <w:lang w:val="en-US" w:eastAsia="zh-CN" w:bidi="ar-SA"/>
        </w:rPr>
        <w:t>3</w:t>
      </w:r>
      <w:r>
        <w:rPr>
          <w:rFonts w:ascii="宋体" w:eastAsia="宋体" w:hAnsi="宋体" w:cs="宋体"/>
          <w:sz w:val="21"/>
          <w:szCs w:val="21"/>
          <w:lang w:val="en-US" w:eastAsia="zh-CN" w:bidi="ar-SA"/>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000000" w:rsidRDefault="001221CA">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风险提示</w:t>
      </w:r>
    </w:p>
    <w:p w:rsidR="00000000" w:rsidRDefault="001221CA">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本基金分红并不因此提升或降低基金投资风险或投资收益。本公司承诺以诚实信用、勤勉尽责的原则管理和运用基金资产</w:t>
      </w:r>
      <w:r>
        <w:rPr>
          <w:rFonts w:ascii="宋体" w:eastAsia="宋体" w:hAnsi="宋体" w:cs="宋体"/>
          <w:sz w:val="21"/>
          <w:szCs w:val="21"/>
          <w:lang w:val="en-US" w:eastAsia="zh-CN" w:bidi="ar-SA"/>
        </w:rPr>
        <w:t>，但不保证基金一定盈利，也不保证最低收益。敬请投资人根据自身的风险承受能力选择相适应的基金产品进行投资，并注意投资风险。</w:t>
      </w:r>
    </w:p>
    <w:p w:rsidR="00000000" w:rsidRDefault="001221CA">
      <w:pPr>
        <w:spacing w:line="360" w:lineRule="auto"/>
        <w:ind w:firstLine="420"/>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1221CA">
      <w:pPr>
        <w:spacing w:line="360" w:lineRule="auto"/>
        <w:ind w:firstLine="420"/>
        <w:jc w:val="right"/>
        <w:rPr>
          <w:rFonts w:eastAsia="Times New Roman"/>
          <w:sz w:val="21"/>
          <w:szCs w:val="21"/>
          <w:lang w:val="en-US" w:eastAsia="zh-CN" w:bidi="ar-SA"/>
        </w:rPr>
      </w:pPr>
      <w:r>
        <w:rPr>
          <w:rFonts w:ascii="宋体" w:eastAsia="宋体" w:hAnsi="宋体" w:cs="宋体"/>
          <w:sz w:val="21"/>
          <w:szCs w:val="21"/>
          <w:lang w:val="en-US" w:eastAsia="zh-CN" w:bidi="ar-SA"/>
        </w:rPr>
        <w:t>鹏华基金管理有限公司</w:t>
      </w:r>
    </w:p>
    <w:p w:rsidR="00000000" w:rsidRDefault="001221CA">
      <w:pPr>
        <w:spacing w:line="360" w:lineRule="auto"/>
        <w:ind w:firstLine="420"/>
        <w:jc w:val="right"/>
        <w:rPr>
          <w:rFonts w:eastAsia="Times New Roman"/>
          <w:sz w:val="21"/>
          <w:szCs w:val="21"/>
          <w:lang w:val="en-US" w:eastAsia="zh-CN" w:bidi="ar-SA"/>
        </w:rPr>
      </w:pP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10</w:t>
      </w:r>
      <w:r>
        <w:rPr>
          <w:rFonts w:ascii="宋体" w:eastAsia="宋体" w:hAnsi="宋体" w:cs="宋体"/>
          <w:sz w:val="21"/>
          <w:szCs w:val="21"/>
          <w:lang w:val="en-US" w:eastAsia="zh-CN" w:bidi="ar-SA"/>
        </w:rPr>
        <w:t>日</w:t>
      </w:r>
    </w:p>
    <w:p w:rsidR="00000000" w:rsidRDefault="001221CA"/>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noLineBreaksAfter w:lang="zh-CN" w:val="([{·‘“〈《「『【〔〖（．［｛￡￥"/>
  <w:noLineBreaksBefore w:lang="zh-CN" w:val="!),.:;?]}¨·ˇˉ―‖’”…∶、。〃々〉》」』】〕〗！＂＇），．：；？］｀｜｝～￠"/>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221CA"/>
    <w:rsid w:val="00A77B3E"/>
    <w:rsid w:val="00CA2A55"/>
    <w:rsid w:val="50BE588A"/>
    <w:rsid w:val="523D0689"/>
    <w:rsid w:val="54A24AA5"/>
    <w:rsid w:val="64751D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4</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yinlu</dc:creator>
  <cp:keywords/>
  <cp:lastModifiedBy>ZHONGM</cp:lastModifiedBy>
  <cp:revision>2</cp:revision>
  <dcterms:created xsi:type="dcterms:W3CDTF">2021-11-09T16:01:00Z</dcterms:created>
  <dcterms:modified xsi:type="dcterms:W3CDTF">2021-11-09T16:01:00Z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