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CD" w:rsidRPr="008856CA" w:rsidRDefault="00B829CD" w:rsidP="008D1CCE">
      <w:pPr>
        <w:jc w:val="center"/>
        <w:rPr>
          <w:rFonts w:ascii="宋体" w:hAnsi="宋体" w:cs="宋体" w:hint="eastAsia"/>
          <w:b/>
          <w:color w:val="000000"/>
          <w:kern w:val="0"/>
          <w:sz w:val="28"/>
          <w:szCs w:val="28"/>
          <w:specVanish/>
        </w:rPr>
      </w:pPr>
    </w:p>
    <w:p w:rsidR="00D41FAB" w:rsidRPr="008856CA" w:rsidRDefault="004E4555" w:rsidP="00E3680B">
      <w:pPr>
        <w:spacing w:line="360" w:lineRule="auto"/>
        <w:jc w:val="center"/>
        <w:rPr>
          <w:rFonts w:ascii="宋体" w:hAnsi="宋体" w:cs="宋体" w:hint="eastAsia"/>
          <w:b/>
          <w:color w:val="000000"/>
          <w:kern w:val="0"/>
          <w:sz w:val="28"/>
          <w:szCs w:val="28"/>
        </w:rPr>
      </w:pPr>
      <w:r w:rsidRPr="003A632A">
        <w:rPr>
          <w:rFonts w:ascii="宋体" w:hAnsi="宋体" w:cs="宋体" w:hint="eastAsia"/>
          <w:b/>
          <w:color w:val="000000"/>
          <w:kern w:val="0"/>
          <w:sz w:val="28"/>
          <w:szCs w:val="28"/>
        </w:rPr>
        <w:t>关于</w:t>
      </w:r>
      <w:r w:rsidR="00D41FAB" w:rsidRPr="008856CA">
        <w:rPr>
          <w:rFonts w:ascii="宋体" w:hAnsi="宋体" w:cs="宋体" w:hint="eastAsia"/>
          <w:b/>
          <w:color w:val="000000"/>
          <w:kern w:val="0"/>
          <w:sz w:val="28"/>
          <w:szCs w:val="28"/>
        </w:rPr>
        <w:t>建信彭博巴克莱政策性银行债券1-5年指数证券投资基金</w:t>
      </w:r>
    </w:p>
    <w:p w:rsidR="004E4555" w:rsidRDefault="00421331" w:rsidP="00E3680B">
      <w:pPr>
        <w:spacing w:line="360" w:lineRule="auto"/>
        <w:jc w:val="center"/>
        <w:rPr>
          <w:rFonts w:ascii="宋体" w:hAnsi="宋体" w:cs="宋体" w:hint="eastAsia"/>
          <w:b/>
          <w:color w:val="000000"/>
          <w:kern w:val="0"/>
          <w:sz w:val="28"/>
          <w:szCs w:val="28"/>
        </w:rPr>
      </w:pPr>
      <w:r>
        <w:rPr>
          <w:rFonts w:ascii="宋体" w:hAnsi="宋体" w:cs="宋体" w:hint="eastAsia"/>
          <w:b/>
          <w:color w:val="000000"/>
          <w:kern w:val="0"/>
          <w:sz w:val="28"/>
          <w:szCs w:val="28"/>
        </w:rPr>
        <w:t>提前结束募集</w:t>
      </w:r>
      <w:r w:rsidRPr="003A632A">
        <w:rPr>
          <w:rFonts w:ascii="宋体" w:hAnsi="宋体" w:cs="宋体" w:hint="eastAsia"/>
          <w:b/>
          <w:color w:val="000000"/>
          <w:kern w:val="0"/>
          <w:sz w:val="28"/>
          <w:szCs w:val="28"/>
        </w:rPr>
        <w:t>的公告</w:t>
      </w:r>
    </w:p>
    <w:p w:rsidR="005A701C" w:rsidRPr="008856CA" w:rsidRDefault="005A701C" w:rsidP="005A701C">
      <w:pPr>
        <w:spacing w:line="360" w:lineRule="auto"/>
        <w:ind w:firstLineChars="236" w:firstLine="566"/>
        <w:rPr>
          <w:rFonts w:ascii="宋体" w:hAnsi="宋体"/>
          <w:sz w:val="24"/>
        </w:rPr>
      </w:pPr>
      <w:r w:rsidRPr="004A2132">
        <w:rPr>
          <w:rFonts w:ascii="宋体" w:hAnsi="宋体" w:hint="eastAsia"/>
          <w:sz w:val="24"/>
        </w:rPr>
        <w:t>经中国证监会证监许可【2021】</w:t>
      </w:r>
      <w:r w:rsidR="00D41FAB">
        <w:rPr>
          <w:rFonts w:ascii="宋体" w:hAnsi="宋体" w:hint="eastAsia"/>
          <w:sz w:val="24"/>
        </w:rPr>
        <w:t>2401</w:t>
      </w:r>
      <w:r w:rsidRPr="004A2132">
        <w:rPr>
          <w:rFonts w:ascii="宋体" w:hAnsi="宋体" w:hint="eastAsia"/>
          <w:sz w:val="24"/>
        </w:rPr>
        <w:t>号文准予注册，</w:t>
      </w:r>
      <w:r w:rsidR="00D41FAB" w:rsidRPr="008856CA">
        <w:rPr>
          <w:rFonts w:ascii="宋体" w:hAnsi="宋体" w:hint="eastAsia"/>
          <w:sz w:val="24"/>
        </w:rPr>
        <w:t>建信彭博巴克莱政策性银行债券1-5年指数证券投资基金</w:t>
      </w:r>
      <w:r w:rsidRPr="004A2132">
        <w:rPr>
          <w:rFonts w:ascii="宋体" w:hAnsi="宋体" w:hint="eastAsia"/>
          <w:sz w:val="24"/>
        </w:rPr>
        <w:t>（</w:t>
      </w:r>
      <w:r w:rsidR="00D41FAB" w:rsidRPr="008856CA">
        <w:rPr>
          <w:rFonts w:ascii="宋体" w:hAnsi="宋体" w:hint="eastAsia"/>
          <w:sz w:val="24"/>
        </w:rPr>
        <w:t>A类基金代码：</w:t>
      </w:r>
      <w:r w:rsidR="00D41FAB" w:rsidRPr="008856CA">
        <w:rPr>
          <w:rFonts w:ascii="宋体" w:hAnsi="宋体"/>
          <w:sz w:val="24"/>
        </w:rPr>
        <w:t>013169</w:t>
      </w:r>
      <w:r w:rsidR="00D41FAB" w:rsidRPr="008856CA">
        <w:rPr>
          <w:rFonts w:ascii="宋体" w:hAnsi="宋体" w:hint="eastAsia"/>
          <w:sz w:val="24"/>
        </w:rPr>
        <w:t>，C类基金代码：</w:t>
      </w:r>
      <w:r w:rsidR="00D41FAB" w:rsidRPr="008856CA">
        <w:rPr>
          <w:rFonts w:ascii="宋体" w:hAnsi="宋体"/>
          <w:sz w:val="24"/>
        </w:rPr>
        <w:t>013170</w:t>
      </w:r>
      <w:r w:rsidR="00D41FAB" w:rsidRPr="008856CA">
        <w:rPr>
          <w:rFonts w:ascii="宋体" w:hAnsi="宋体" w:hint="eastAsia"/>
          <w:sz w:val="24"/>
        </w:rPr>
        <w:t>，以下简称“本基金”</w:t>
      </w:r>
      <w:r w:rsidRPr="004A2132">
        <w:rPr>
          <w:rFonts w:ascii="宋体" w:hAnsi="宋体" w:hint="eastAsia"/>
          <w:sz w:val="24"/>
        </w:rPr>
        <w:t>）于</w:t>
      </w:r>
      <w:r w:rsidR="00D41FAB" w:rsidRPr="004A2132">
        <w:rPr>
          <w:rFonts w:ascii="宋体" w:hAnsi="宋体" w:hint="eastAsia"/>
          <w:sz w:val="24"/>
        </w:rPr>
        <w:t>2021年</w:t>
      </w:r>
      <w:r w:rsidR="00D41FAB">
        <w:rPr>
          <w:rFonts w:ascii="宋体" w:hAnsi="宋体" w:hint="eastAsia"/>
          <w:sz w:val="24"/>
        </w:rPr>
        <w:t>10</w:t>
      </w:r>
      <w:r w:rsidRPr="004A2132">
        <w:rPr>
          <w:rFonts w:ascii="宋体" w:hAnsi="宋体" w:hint="eastAsia"/>
          <w:sz w:val="24"/>
        </w:rPr>
        <w:t>月</w:t>
      </w:r>
      <w:r w:rsidR="00D41FAB">
        <w:rPr>
          <w:rFonts w:ascii="宋体" w:hAnsi="宋体" w:hint="eastAsia"/>
          <w:sz w:val="24"/>
        </w:rPr>
        <w:t>18</w:t>
      </w:r>
      <w:r w:rsidRPr="004A2132">
        <w:rPr>
          <w:rFonts w:ascii="宋体" w:hAnsi="宋体" w:hint="eastAsia"/>
          <w:sz w:val="24"/>
        </w:rPr>
        <w:t>日开始募集，原定认购截止日为</w:t>
      </w:r>
      <w:r w:rsidR="00D41FAB" w:rsidRPr="004A2132">
        <w:rPr>
          <w:rFonts w:ascii="宋体" w:hAnsi="宋体" w:hint="eastAsia"/>
          <w:sz w:val="24"/>
        </w:rPr>
        <w:t>2021年</w:t>
      </w:r>
      <w:r w:rsidR="00D41FAB">
        <w:rPr>
          <w:rFonts w:ascii="宋体" w:hAnsi="宋体" w:hint="eastAsia"/>
          <w:sz w:val="24"/>
        </w:rPr>
        <w:t>11</w:t>
      </w:r>
      <w:r w:rsidRPr="004A2132">
        <w:rPr>
          <w:rFonts w:ascii="宋体" w:hAnsi="宋体" w:hint="eastAsia"/>
          <w:sz w:val="24"/>
        </w:rPr>
        <w:t>月1</w:t>
      </w:r>
      <w:r w:rsidR="00D41FAB">
        <w:rPr>
          <w:rFonts w:ascii="宋体" w:hAnsi="宋体" w:hint="eastAsia"/>
          <w:sz w:val="24"/>
        </w:rPr>
        <w:t>2</w:t>
      </w:r>
      <w:r w:rsidRPr="008856CA">
        <w:rPr>
          <w:rFonts w:ascii="宋体" w:hAnsi="宋体" w:hint="eastAsia"/>
          <w:sz w:val="24"/>
        </w:rPr>
        <w:t>日。</w:t>
      </w:r>
    </w:p>
    <w:p w:rsidR="005A701C" w:rsidRPr="008856CA" w:rsidRDefault="005A701C" w:rsidP="005A701C">
      <w:pPr>
        <w:spacing w:line="360" w:lineRule="auto"/>
        <w:ind w:firstLineChars="236" w:firstLine="566"/>
        <w:rPr>
          <w:rFonts w:ascii="宋体" w:hAnsi="宋体" w:hint="eastAsia"/>
          <w:sz w:val="24"/>
        </w:rPr>
      </w:pPr>
      <w:r w:rsidRPr="008856CA">
        <w:rPr>
          <w:rFonts w:ascii="宋体" w:hAnsi="宋体" w:hint="eastAsia"/>
          <w:sz w:val="24"/>
        </w:rPr>
        <w:t>根据统计，目前本基金募集的基金份额总额和认购户数均已达到基金合同生效的备案条件。</w:t>
      </w:r>
    </w:p>
    <w:p w:rsidR="00D45318" w:rsidRPr="008856CA" w:rsidRDefault="005A701C" w:rsidP="005A701C">
      <w:pPr>
        <w:spacing w:line="360" w:lineRule="auto"/>
        <w:ind w:firstLineChars="236" w:firstLine="566"/>
        <w:rPr>
          <w:rFonts w:ascii="宋体" w:hAnsi="宋体" w:hint="eastAsia"/>
          <w:sz w:val="24"/>
        </w:rPr>
      </w:pPr>
      <w:r w:rsidRPr="008856CA">
        <w:rPr>
          <w:rFonts w:ascii="宋体" w:hAnsi="宋体" w:hint="eastAsia"/>
          <w:sz w:val="24"/>
        </w:rPr>
        <w:t>为了更好地保护持有人利益，适度控制基金规模，保障基金平稳运作，根据《</w:t>
      </w:r>
      <w:r w:rsidR="00340F7B" w:rsidRPr="008856CA">
        <w:rPr>
          <w:rFonts w:ascii="宋体" w:hAnsi="宋体" w:hint="eastAsia"/>
          <w:sz w:val="24"/>
        </w:rPr>
        <w:t>建信彭博巴克莱政策性银行债券1-5年指数证券投资基金</w:t>
      </w:r>
      <w:r w:rsidRPr="008856CA">
        <w:rPr>
          <w:rFonts w:ascii="宋体" w:hAnsi="宋体" w:hint="eastAsia"/>
          <w:sz w:val="24"/>
        </w:rPr>
        <w:t>基金合同》、《</w:t>
      </w:r>
      <w:r w:rsidR="00340F7B" w:rsidRPr="008856CA">
        <w:rPr>
          <w:rFonts w:ascii="宋体" w:hAnsi="宋体" w:hint="eastAsia"/>
          <w:sz w:val="24"/>
        </w:rPr>
        <w:t>建信彭博巴克莱政策性银行债券1-5年指数证券投资基金</w:t>
      </w:r>
      <w:r w:rsidRPr="008856CA">
        <w:rPr>
          <w:rFonts w:ascii="宋体" w:hAnsi="宋体" w:hint="eastAsia"/>
          <w:sz w:val="24"/>
        </w:rPr>
        <w:t>招募说明书》和《</w:t>
      </w:r>
      <w:r w:rsidR="00340F7B" w:rsidRPr="008856CA">
        <w:rPr>
          <w:rFonts w:ascii="宋体" w:hAnsi="宋体" w:hint="eastAsia"/>
          <w:sz w:val="24"/>
        </w:rPr>
        <w:t>建信彭博巴克莱政策性银行债券1-5年指数证券投资基金</w:t>
      </w:r>
      <w:r w:rsidRPr="008856CA">
        <w:rPr>
          <w:rFonts w:ascii="宋体" w:hAnsi="宋体" w:hint="eastAsia"/>
          <w:sz w:val="24"/>
        </w:rPr>
        <w:t>基金份额发售公告》等文件的相关规定，本基金管理人建信基金管理有限责任公司决定提前结束本基金的募集，募集截止日提前至2021年</w:t>
      </w:r>
      <w:r w:rsidR="00527E48">
        <w:rPr>
          <w:rFonts w:ascii="宋体" w:hAnsi="宋体" w:hint="eastAsia"/>
          <w:sz w:val="24"/>
        </w:rPr>
        <w:t>11</w:t>
      </w:r>
      <w:r w:rsidRPr="008856CA">
        <w:rPr>
          <w:rFonts w:ascii="宋体" w:hAnsi="宋体" w:hint="eastAsia"/>
          <w:sz w:val="24"/>
        </w:rPr>
        <w:t>月</w:t>
      </w:r>
      <w:r w:rsidR="00527E48">
        <w:rPr>
          <w:rFonts w:ascii="宋体" w:hAnsi="宋体" w:hint="eastAsia"/>
          <w:sz w:val="24"/>
        </w:rPr>
        <w:t>5</w:t>
      </w:r>
      <w:r w:rsidRPr="008856CA">
        <w:rPr>
          <w:rFonts w:ascii="宋体" w:hAnsi="宋体" w:hint="eastAsia"/>
          <w:sz w:val="24"/>
        </w:rPr>
        <w:t>日，即本基金2021年</w:t>
      </w:r>
      <w:r w:rsidR="00527E48">
        <w:rPr>
          <w:rFonts w:ascii="宋体" w:hAnsi="宋体" w:hint="eastAsia"/>
          <w:sz w:val="24"/>
        </w:rPr>
        <w:t>11</w:t>
      </w:r>
      <w:r w:rsidRPr="008856CA">
        <w:rPr>
          <w:rFonts w:ascii="宋体" w:hAnsi="宋体" w:hint="eastAsia"/>
          <w:sz w:val="24"/>
        </w:rPr>
        <w:t>月</w:t>
      </w:r>
      <w:r w:rsidR="00527E48">
        <w:rPr>
          <w:rFonts w:ascii="宋体" w:hAnsi="宋体" w:hint="eastAsia"/>
          <w:sz w:val="24"/>
        </w:rPr>
        <w:t>5</w:t>
      </w:r>
      <w:r w:rsidRPr="008856CA">
        <w:rPr>
          <w:rFonts w:ascii="宋体" w:hAnsi="宋体" w:hint="eastAsia"/>
          <w:sz w:val="24"/>
        </w:rPr>
        <w:t>日当日的有效认购申请将全部予以确认，并自2021年</w:t>
      </w:r>
      <w:r w:rsidR="00527E48">
        <w:rPr>
          <w:rFonts w:ascii="宋体" w:hAnsi="宋体" w:hint="eastAsia"/>
          <w:sz w:val="24"/>
        </w:rPr>
        <w:t>11</w:t>
      </w:r>
      <w:r w:rsidRPr="008856CA">
        <w:rPr>
          <w:rFonts w:ascii="宋体" w:hAnsi="宋体" w:hint="eastAsia"/>
          <w:sz w:val="24"/>
        </w:rPr>
        <w:t>月</w:t>
      </w:r>
      <w:r w:rsidR="00527E48">
        <w:rPr>
          <w:rFonts w:ascii="宋体" w:hAnsi="宋体" w:hint="eastAsia"/>
          <w:sz w:val="24"/>
        </w:rPr>
        <w:t>6</w:t>
      </w:r>
      <w:r w:rsidRPr="008856CA">
        <w:rPr>
          <w:rFonts w:ascii="宋体" w:hAnsi="宋体" w:hint="eastAsia"/>
          <w:sz w:val="24"/>
        </w:rPr>
        <w:t>日（含当日）起不再接受认购申请。各销售机构当日业务办理的具体安排以其规定为准。</w:t>
      </w:r>
    </w:p>
    <w:p w:rsidR="00421331" w:rsidRPr="008856CA" w:rsidRDefault="00421331" w:rsidP="00421331">
      <w:pPr>
        <w:spacing w:line="360" w:lineRule="auto"/>
        <w:ind w:firstLineChars="236" w:firstLine="566"/>
        <w:rPr>
          <w:rFonts w:ascii="宋体" w:hAnsi="宋体" w:hint="eastAsia"/>
          <w:sz w:val="24"/>
        </w:rPr>
      </w:pPr>
      <w:r w:rsidRPr="008856CA">
        <w:rPr>
          <w:rFonts w:ascii="宋体" w:hAnsi="宋体" w:hint="eastAsia"/>
          <w:sz w:val="24"/>
        </w:rPr>
        <w:t>投资者欲了解本基金的详细情况，请阅读本基金的基金合同、招募说明书及发售公告。投资者也可通过本公司的客户服务电话400-81-95533</w:t>
      </w:r>
      <w:r w:rsidR="00A8597A" w:rsidRPr="008856CA">
        <w:rPr>
          <w:rFonts w:ascii="宋体" w:hAnsi="宋体" w:hint="eastAsia"/>
          <w:sz w:val="24"/>
        </w:rPr>
        <w:t>（</w:t>
      </w:r>
      <w:r w:rsidRPr="008856CA">
        <w:rPr>
          <w:rFonts w:ascii="宋体" w:hAnsi="宋体" w:hint="eastAsia"/>
          <w:sz w:val="24"/>
        </w:rPr>
        <w:t>免长途话费</w:t>
      </w:r>
      <w:r w:rsidR="00A8597A" w:rsidRPr="008856CA">
        <w:rPr>
          <w:rFonts w:ascii="宋体" w:hAnsi="宋体" w:hint="eastAsia"/>
          <w:sz w:val="24"/>
        </w:rPr>
        <w:t>）</w:t>
      </w:r>
      <w:r w:rsidRPr="008856CA">
        <w:rPr>
          <w:rFonts w:ascii="宋体" w:hAnsi="宋体" w:hint="eastAsia"/>
          <w:sz w:val="24"/>
        </w:rPr>
        <w:t xml:space="preserve">或登录本公司网站www.ccbfund.cn获取相关信息。 </w:t>
      </w:r>
    </w:p>
    <w:p w:rsidR="00421331" w:rsidRPr="008856CA" w:rsidRDefault="002220EB" w:rsidP="002220EB">
      <w:pPr>
        <w:spacing w:line="360" w:lineRule="auto"/>
        <w:ind w:firstLineChars="236" w:firstLine="566"/>
        <w:rPr>
          <w:rFonts w:ascii="宋体" w:hAnsi="宋体" w:hint="eastAsia"/>
          <w:sz w:val="24"/>
        </w:rPr>
      </w:pPr>
      <w:r w:rsidRPr="008856CA">
        <w:rPr>
          <w:rFonts w:ascii="宋体" w:hAnsi="宋体" w:hint="eastAsia"/>
          <w:sz w:val="24"/>
        </w:rPr>
        <w:t>本公司承诺以诚实信用、勤勉尽责的原则管理和运用基金资产，但不保证基金一定盈利，也不保证最低收益。投资者投资基金之前应认真阅读基金的《基金合同》、《招募说明书》</w:t>
      </w:r>
      <w:r w:rsidR="007C64B1">
        <w:rPr>
          <w:rFonts w:ascii="宋体" w:hAnsi="宋体" w:hint="eastAsia"/>
          <w:sz w:val="24"/>
        </w:rPr>
        <w:t>、《</w:t>
      </w:r>
      <w:r w:rsidR="00224EB0" w:rsidRPr="00224EB0">
        <w:rPr>
          <w:rFonts w:ascii="宋体" w:hAnsi="宋体" w:hint="eastAsia"/>
          <w:sz w:val="24"/>
        </w:rPr>
        <w:t>基金产品资料概要</w:t>
      </w:r>
      <w:r w:rsidR="007C64B1">
        <w:rPr>
          <w:rFonts w:ascii="宋体" w:hAnsi="宋体" w:hint="eastAsia"/>
          <w:sz w:val="24"/>
        </w:rPr>
        <w:t>》</w:t>
      </w:r>
      <w:r w:rsidRPr="008856CA">
        <w:rPr>
          <w:rFonts w:ascii="宋体" w:hAnsi="宋体" w:hint="eastAsia"/>
          <w:sz w:val="24"/>
        </w:rPr>
        <w:t>等文件。敬请投资者注意投资风险。</w:t>
      </w:r>
    </w:p>
    <w:p w:rsidR="00421331" w:rsidRPr="008856CA" w:rsidRDefault="00421331" w:rsidP="00367638">
      <w:pPr>
        <w:spacing w:line="360" w:lineRule="auto"/>
        <w:ind w:firstLineChars="200" w:firstLine="480"/>
        <w:rPr>
          <w:rFonts w:ascii="宋体" w:hAnsi="宋体"/>
          <w:sz w:val="24"/>
        </w:rPr>
      </w:pPr>
      <w:r w:rsidRPr="008856CA">
        <w:rPr>
          <w:rFonts w:ascii="宋体" w:hAnsi="宋体" w:hint="eastAsia"/>
          <w:sz w:val="24"/>
        </w:rPr>
        <w:t>本公告解释权归本公司。</w:t>
      </w:r>
    </w:p>
    <w:p w:rsidR="00421331" w:rsidRPr="008856CA" w:rsidRDefault="00421331" w:rsidP="00F66BD7">
      <w:pPr>
        <w:spacing w:line="360" w:lineRule="auto"/>
        <w:ind w:firstLineChars="236" w:firstLine="566"/>
        <w:rPr>
          <w:rFonts w:ascii="宋体" w:hAnsi="宋体"/>
          <w:sz w:val="24"/>
        </w:rPr>
      </w:pPr>
      <w:r w:rsidRPr="008856CA">
        <w:rPr>
          <w:rFonts w:ascii="宋体" w:hAnsi="宋体" w:hint="eastAsia"/>
          <w:sz w:val="24"/>
        </w:rPr>
        <w:t xml:space="preserve">特此公告。 </w:t>
      </w:r>
    </w:p>
    <w:p w:rsidR="00421331" w:rsidRPr="008856CA" w:rsidRDefault="00421331" w:rsidP="00421331">
      <w:pPr>
        <w:spacing w:line="360" w:lineRule="auto"/>
        <w:rPr>
          <w:rFonts w:ascii="宋体" w:hAnsi="宋体" w:hint="eastAsia"/>
          <w:sz w:val="24"/>
        </w:rPr>
      </w:pPr>
      <w:r w:rsidRPr="008856CA">
        <w:rPr>
          <w:rFonts w:ascii="宋体" w:hAnsi="宋体" w:hint="eastAsia"/>
          <w:sz w:val="24"/>
        </w:rPr>
        <w:t xml:space="preserve">                                            建信基金管理有限责任公司 </w:t>
      </w:r>
    </w:p>
    <w:p w:rsidR="004E4555" w:rsidRPr="00DF51A2" w:rsidRDefault="00421331" w:rsidP="00421331">
      <w:pPr>
        <w:spacing w:line="360" w:lineRule="auto"/>
      </w:pPr>
      <w:r w:rsidRPr="008856CA">
        <w:rPr>
          <w:rFonts w:ascii="宋体" w:hAnsi="宋体" w:hint="eastAsia"/>
          <w:sz w:val="24"/>
        </w:rPr>
        <w:t xml:space="preserve">                                        </w:t>
      </w:r>
      <w:r>
        <w:rPr>
          <w:rFonts w:hint="eastAsia"/>
          <w:kern w:val="0"/>
          <w:sz w:val="24"/>
        </w:rPr>
        <w:t xml:space="preserve">            </w:t>
      </w:r>
      <w:r w:rsidR="00781A67" w:rsidRPr="00D45318">
        <w:rPr>
          <w:rFonts w:hint="eastAsia"/>
          <w:kern w:val="0"/>
          <w:sz w:val="24"/>
        </w:rPr>
        <w:t>2021</w:t>
      </w:r>
      <w:r w:rsidR="00781A67" w:rsidRPr="00D45318">
        <w:rPr>
          <w:rFonts w:hint="eastAsia"/>
          <w:kern w:val="0"/>
          <w:sz w:val="24"/>
        </w:rPr>
        <w:t>年</w:t>
      </w:r>
      <w:r w:rsidR="00527E48">
        <w:rPr>
          <w:rFonts w:hint="eastAsia"/>
          <w:kern w:val="0"/>
          <w:sz w:val="24"/>
        </w:rPr>
        <w:t>11</w:t>
      </w:r>
      <w:r w:rsidR="00781A67" w:rsidRPr="00D45318">
        <w:rPr>
          <w:rFonts w:hint="eastAsia"/>
          <w:kern w:val="0"/>
          <w:sz w:val="24"/>
        </w:rPr>
        <w:t>月</w:t>
      </w:r>
      <w:r w:rsidR="00527E48">
        <w:rPr>
          <w:rFonts w:hint="eastAsia"/>
          <w:kern w:val="0"/>
          <w:sz w:val="24"/>
        </w:rPr>
        <w:t>5</w:t>
      </w:r>
      <w:r w:rsidR="00781A67" w:rsidRPr="00D45318">
        <w:rPr>
          <w:rFonts w:hint="eastAsia"/>
          <w:kern w:val="0"/>
          <w:sz w:val="24"/>
        </w:rPr>
        <w:t>日</w:t>
      </w:r>
    </w:p>
    <w:sectPr w:rsidR="004E4555" w:rsidRPr="00DF51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CD" w:rsidRDefault="007830CD" w:rsidP="00D23FC5">
      <w:r>
        <w:separator/>
      </w:r>
    </w:p>
  </w:endnote>
  <w:endnote w:type="continuationSeparator" w:id="0">
    <w:p w:rsidR="007830CD" w:rsidRDefault="007830CD" w:rsidP="00D2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CD" w:rsidRDefault="007830CD" w:rsidP="00D23FC5">
      <w:r>
        <w:separator/>
      </w:r>
    </w:p>
  </w:footnote>
  <w:footnote w:type="continuationSeparator" w:id="0">
    <w:p w:rsidR="007830CD" w:rsidRDefault="007830CD" w:rsidP="00D23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6554"/>
    <w:rsid w:val="00024546"/>
    <w:rsid w:val="00036131"/>
    <w:rsid w:val="00051DBF"/>
    <w:rsid w:val="000D38D6"/>
    <w:rsid w:val="001120B5"/>
    <w:rsid w:val="001141C5"/>
    <w:rsid w:val="00187732"/>
    <w:rsid w:val="001A1784"/>
    <w:rsid w:val="001B0718"/>
    <w:rsid w:val="001F2B8D"/>
    <w:rsid w:val="002220EB"/>
    <w:rsid w:val="00224551"/>
    <w:rsid w:val="00224EB0"/>
    <w:rsid w:val="002349CC"/>
    <w:rsid w:val="00276CD9"/>
    <w:rsid w:val="002D3444"/>
    <w:rsid w:val="00311C0D"/>
    <w:rsid w:val="00340F7B"/>
    <w:rsid w:val="00367638"/>
    <w:rsid w:val="003A134C"/>
    <w:rsid w:val="003A632A"/>
    <w:rsid w:val="003C5D96"/>
    <w:rsid w:val="003C5F56"/>
    <w:rsid w:val="003F1C38"/>
    <w:rsid w:val="00421331"/>
    <w:rsid w:val="00447430"/>
    <w:rsid w:val="004564D8"/>
    <w:rsid w:val="00467FC9"/>
    <w:rsid w:val="0047451E"/>
    <w:rsid w:val="00475EF2"/>
    <w:rsid w:val="004A16DB"/>
    <w:rsid w:val="004A2132"/>
    <w:rsid w:val="004C66F3"/>
    <w:rsid w:val="004D6CCF"/>
    <w:rsid w:val="004E4555"/>
    <w:rsid w:val="004F340C"/>
    <w:rsid w:val="00527E48"/>
    <w:rsid w:val="00533AE8"/>
    <w:rsid w:val="0058035F"/>
    <w:rsid w:val="005A701C"/>
    <w:rsid w:val="005C3F0F"/>
    <w:rsid w:val="005D5CA2"/>
    <w:rsid w:val="00614F54"/>
    <w:rsid w:val="00642255"/>
    <w:rsid w:val="00653C7F"/>
    <w:rsid w:val="00696206"/>
    <w:rsid w:val="00697BD8"/>
    <w:rsid w:val="006C0EF3"/>
    <w:rsid w:val="006E5963"/>
    <w:rsid w:val="006F2F19"/>
    <w:rsid w:val="00715D9B"/>
    <w:rsid w:val="00726554"/>
    <w:rsid w:val="0075754B"/>
    <w:rsid w:val="00767460"/>
    <w:rsid w:val="00781A67"/>
    <w:rsid w:val="007830CD"/>
    <w:rsid w:val="00793A74"/>
    <w:rsid w:val="007A227B"/>
    <w:rsid w:val="007C64B1"/>
    <w:rsid w:val="007D669C"/>
    <w:rsid w:val="008856CA"/>
    <w:rsid w:val="008C4BCE"/>
    <w:rsid w:val="008D1CCE"/>
    <w:rsid w:val="008D7595"/>
    <w:rsid w:val="008E3F85"/>
    <w:rsid w:val="008F53EB"/>
    <w:rsid w:val="00925865"/>
    <w:rsid w:val="009322F6"/>
    <w:rsid w:val="0094712B"/>
    <w:rsid w:val="00960FE2"/>
    <w:rsid w:val="00985F3C"/>
    <w:rsid w:val="00995772"/>
    <w:rsid w:val="009D3547"/>
    <w:rsid w:val="00A27800"/>
    <w:rsid w:val="00A8597A"/>
    <w:rsid w:val="00AA1DA0"/>
    <w:rsid w:val="00AF193A"/>
    <w:rsid w:val="00B41C6C"/>
    <w:rsid w:val="00B42987"/>
    <w:rsid w:val="00B57147"/>
    <w:rsid w:val="00B64625"/>
    <w:rsid w:val="00B829CD"/>
    <w:rsid w:val="00BC4B66"/>
    <w:rsid w:val="00BD18C3"/>
    <w:rsid w:val="00C61C2E"/>
    <w:rsid w:val="00CA2853"/>
    <w:rsid w:val="00CC68EE"/>
    <w:rsid w:val="00D14F1E"/>
    <w:rsid w:val="00D16864"/>
    <w:rsid w:val="00D23FC5"/>
    <w:rsid w:val="00D41FAB"/>
    <w:rsid w:val="00D45318"/>
    <w:rsid w:val="00D559F5"/>
    <w:rsid w:val="00D82B59"/>
    <w:rsid w:val="00DB17F9"/>
    <w:rsid w:val="00DD071A"/>
    <w:rsid w:val="00DE7D51"/>
    <w:rsid w:val="00DF51A2"/>
    <w:rsid w:val="00E02249"/>
    <w:rsid w:val="00E067D9"/>
    <w:rsid w:val="00E3680B"/>
    <w:rsid w:val="00E60E16"/>
    <w:rsid w:val="00EB1A91"/>
    <w:rsid w:val="00F3701E"/>
    <w:rsid w:val="00F474A4"/>
    <w:rsid w:val="00F51DB8"/>
    <w:rsid w:val="00F66673"/>
    <w:rsid w:val="00F66BD7"/>
    <w:rsid w:val="00F75458"/>
    <w:rsid w:val="00FA1084"/>
    <w:rsid w:val="00FE2AE0"/>
    <w:rsid w:val="00FE7115"/>
    <w:rsid w:val="00FF6A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26554"/>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D23FC5"/>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rsid w:val="00D23FC5"/>
    <w:rPr>
      <w:kern w:val="2"/>
      <w:sz w:val="18"/>
      <w:szCs w:val="18"/>
    </w:rPr>
  </w:style>
  <w:style w:type="paragraph" w:styleId="a5">
    <w:name w:val="footer"/>
    <w:basedOn w:val="a"/>
    <w:link w:val="Char0"/>
    <w:rsid w:val="00D23FC5"/>
    <w:pPr>
      <w:tabs>
        <w:tab w:val="center" w:pos="4153"/>
        <w:tab w:val="right" w:pos="8306"/>
      </w:tabs>
      <w:snapToGrid w:val="0"/>
      <w:jc w:val="left"/>
    </w:pPr>
    <w:rPr>
      <w:sz w:val="18"/>
      <w:szCs w:val="18"/>
      <w:lang/>
    </w:rPr>
  </w:style>
  <w:style w:type="character" w:customStyle="1" w:styleId="Char0">
    <w:name w:val="页脚 Char"/>
    <w:link w:val="a5"/>
    <w:rsid w:val="00D23FC5"/>
    <w:rPr>
      <w:kern w:val="2"/>
      <w:sz w:val="18"/>
      <w:szCs w:val="18"/>
    </w:rPr>
  </w:style>
  <w:style w:type="paragraph" w:styleId="a6">
    <w:name w:val="Balloon Text"/>
    <w:basedOn w:val="a"/>
    <w:link w:val="Char1"/>
    <w:rsid w:val="00BD18C3"/>
    <w:rPr>
      <w:sz w:val="18"/>
      <w:szCs w:val="18"/>
      <w:lang/>
    </w:rPr>
  </w:style>
  <w:style w:type="character" w:customStyle="1" w:styleId="Char1">
    <w:name w:val="批注框文本 Char"/>
    <w:link w:val="a6"/>
    <w:rsid w:val="00BD18C3"/>
    <w:rPr>
      <w:kern w:val="2"/>
      <w:sz w:val="18"/>
      <w:szCs w:val="18"/>
    </w:rPr>
  </w:style>
  <w:style w:type="character" w:styleId="a7">
    <w:name w:val="Hyperlink"/>
    <w:rsid w:val="00DF51A2"/>
    <w:rPr>
      <w:color w:val="0000FF"/>
      <w:u w:val="single"/>
    </w:rPr>
  </w:style>
</w:styles>
</file>

<file path=word/webSettings.xml><?xml version="1.0" encoding="utf-8"?>
<w:webSettings xmlns:r="http://schemas.openxmlformats.org/officeDocument/2006/relationships" xmlns:w="http://schemas.openxmlformats.org/wordprocessingml/2006/main">
  <w:divs>
    <w:div w:id="357123229">
      <w:bodyDiv w:val="1"/>
      <w:marLeft w:val="0"/>
      <w:marRight w:val="0"/>
      <w:marTop w:val="0"/>
      <w:marBottom w:val="0"/>
      <w:divBdr>
        <w:top w:val="none" w:sz="0" w:space="0" w:color="auto"/>
        <w:left w:val="none" w:sz="0" w:space="0" w:color="auto"/>
        <w:bottom w:val="none" w:sz="0" w:space="0" w:color="auto"/>
        <w:right w:val="none" w:sz="0" w:space="0" w:color="auto"/>
      </w:divBdr>
    </w:div>
    <w:div w:id="1360427981">
      <w:bodyDiv w:val="1"/>
      <w:marLeft w:val="0"/>
      <w:marRight w:val="0"/>
      <w:marTop w:val="0"/>
      <w:marBottom w:val="0"/>
      <w:divBdr>
        <w:top w:val="none" w:sz="0" w:space="0" w:color="auto"/>
        <w:left w:val="none" w:sz="0" w:space="0" w:color="auto"/>
        <w:bottom w:val="none" w:sz="0" w:space="0" w:color="auto"/>
        <w:right w:val="none" w:sz="0" w:space="0" w:color="auto"/>
      </w:divBdr>
      <w:divsChild>
        <w:div w:id="1772891495">
          <w:marLeft w:val="0"/>
          <w:marRight w:val="0"/>
          <w:marTop w:val="0"/>
          <w:marBottom w:val="0"/>
          <w:divBdr>
            <w:top w:val="none" w:sz="0" w:space="0" w:color="auto"/>
            <w:left w:val="none" w:sz="0" w:space="0" w:color="auto"/>
            <w:bottom w:val="none" w:sz="0" w:space="0" w:color="auto"/>
            <w:right w:val="none" w:sz="0" w:space="0" w:color="auto"/>
          </w:divBdr>
          <w:divsChild>
            <w:div w:id="1557929782">
              <w:marLeft w:val="0"/>
              <w:marRight w:val="0"/>
              <w:marTop w:val="0"/>
              <w:marBottom w:val="0"/>
              <w:divBdr>
                <w:top w:val="none" w:sz="0" w:space="0" w:color="auto"/>
                <w:left w:val="none" w:sz="0" w:space="0" w:color="auto"/>
                <w:bottom w:val="none" w:sz="0" w:space="0" w:color="auto"/>
                <w:right w:val="none" w:sz="0" w:space="0" w:color="auto"/>
              </w:divBdr>
              <w:divsChild>
                <w:div w:id="2016571269">
                  <w:marLeft w:val="45"/>
                  <w:marRight w:val="0"/>
                  <w:marTop w:val="0"/>
                  <w:marBottom w:val="0"/>
                  <w:divBdr>
                    <w:top w:val="none" w:sz="0" w:space="0" w:color="auto"/>
                    <w:left w:val="none" w:sz="0" w:space="0" w:color="auto"/>
                    <w:bottom w:val="none" w:sz="0" w:space="0" w:color="auto"/>
                    <w:right w:val="single" w:sz="6" w:space="0" w:color="CCCCCC"/>
                  </w:divBdr>
                  <w:divsChild>
                    <w:div w:id="226572038">
                      <w:marLeft w:val="0"/>
                      <w:marRight w:val="0"/>
                      <w:marTop w:val="0"/>
                      <w:marBottom w:val="0"/>
                      <w:divBdr>
                        <w:top w:val="none" w:sz="0" w:space="0" w:color="auto"/>
                        <w:left w:val="none" w:sz="0" w:space="0" w:color="auto"/>
                        <w:bottom w:val="none" w:sz="0" w:space="0" w:color="auto"/>
                        <w:right w:val="none" w:sz="0" w:space="0" w:color="auto"/>
                      </w:divBdr>
                      <w:divsChild>
                        <w:div w:id="69622931">
                          <w:marLeft w:val="0"/>
                          <w:marRight w:val="0"/>
                          <w:marTop w:val="0"/>
                          <w:marBottom w:val="0"/>
                          <w:divBdr>
                            <w:top w:val="none" w:sz="0" w:space="0" w:color="auto"/>
                            <w:left w:val="none" w:sz="0" w:space="0" w:color="auto"/>
                            <w:bottom w:val="none" w:sz="0" w:space="0" w:color="auto"/>
                            <w:right w:val="none" w:sz="0" w:space="0" w:color="auto"/>
                          </w:divBdr>
                        </w:div>
                      </w:divsChild>
                    </w:div>
                    <w:div w:id="1586838345">
                      <w:marLeft w:val="0"/>
                      <w:marRight w:val="0"/>
                      <w:marTop w:val="0"/>
                      <w:marBottom w:val="0"/>
                      <w:divBdr>
                        <w:top w:val="none" w:sz="0" w:space="0" w:color="auto"/>
                        <w:left w:val="none" w:sz="0" w:space="0" w:color="auto"/>
                        <w:bottom w:val="none" w:sz="0" w:space="0" w:color="auto"/>
                        <w:right w:val="none" w:sz="0" w:space="0" w:color="auto"/>
                      </w:divBdr>
                    </w:div>
                    <w:div w:id="1591424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19403514">
      <w:bodyDiv w:val="1"/>
      <w:marLeft w:val="0"/>
      <w:marRight w:val="0"/>
      <w:marTop w:val="0"/>
      <w:marBottom w:val="0"/>
      <w:divBdr>
        <w:top w:val="none" w:sz="0" w:space="0" w:color="auto"/>
        <w:left w:val="none" w:sz="0" w:space="0" w:color="auto"/>
        <w:bottom w:val="none" w:sz="0" w:space="0" w:color="auto"/>
        <w:right w:val="none" w:sz="0" w:space="0" w:color="auto"/>
      </w:divBdr>
      <w:divsChild>
        <w:div w:id="1434668353">
          <w:marLeft w:val="0"/>
          <w:marRight w:val="0"/>
          <w:marTop w:val="0"/>
          <w:marBottom w:val="0"/>
          <w:divBdr>
            <w:top w:val="none" w:sz="0" w:space="0" w:color="auto"/>
            <w:left w:val="none" w:sz="0" w:space="0" w:color="auto"/>
            <w:bottom w:val="none" w:sz="0" w:space="0" w:color="auto"/>
            <w:right w:val="none" w:sz="0" w:space="0" w:color="auto"/>
          </w:divBdr>
          <w:divsChild>
            <w:div w:id="419176576">
              <w:marLeft w:val="0"/>
              <w:marRight w:val="0"/>
              <w:marTop w:val="0"/>
              <w:marBottom w:val="0"/>
              <w:divBdr>
                <w:top w:val="none" w:sz="0" w:space="0" w:color="auto"/>
                <w:left w:val="none" w:sz="0" w:space="0" w:color="auto"/>
                <w:bottom w:val="none" w:sz="0" w:space="0" w:color="auto"/>
                <w:right w:val="none" w:sz="0" w:space="0" w:color="auto"/>
              </w:divBdr>
              <w:divsChild>
                <w:div w:id="193809264">
                  <w:marLeft w:val="0"/>
                  <w:marRight w:val="0"/>
                  <w:marTop w:val="150"/>
                  <w:marBottom w:val="0"/>
                  <w:divBdr>
                    <w:top w:val="none" w:sz="0" w:space="0" w:color="auto"/>
                    <w:left w:val="none" w:sz="0" w:space="0" w:color="auto"/>
                    <w:bottom w:val="none" w:sz="0" w:space="0" w:color="auto"/>
                    <w:right w:val="none" w:sz="0" w:space="0" w:color="auto"/>
                  </w:divBdr>
                  <w:divsChild>
                    <w:div w:id="2116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4</DocSecurity>
  <Lines>5</Lines>
  <Paragraphs>1</Paragraphs>
  <ScaleCrop>false</ScaleCrop>
  <Company>CCBFUND</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谌重</dc:creator>
  <cp:keywords/>
  <cp:lastModifiedBy>ZHONGM</cp:lastModifiedBy>
  <cp:revision>2</cp:revision>
  <dcterms:created xsi:type="dcterms:W3CDTF">2021-11-04T16:02:00Z</dcterms:created>
  <dcterms:modified xsi:type="dcterms:W3CDTF">2021-11-04T16:02:00Z</dcterms:modified>
</cp:coreProperties>
</file>