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6B9A">
      <w:pPr>
        <w:spacing w:line="400" w:lineRule="exact"/>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w:t>
      </w:r>
      <w:r>
        <w:rPr>
          <w:rStyle w:val="da"/>
          <w:rFonts w:ascii="宋体" w:hAnsi="宋体" w:cs="宋体" w:hint="eastAsia"/>
          <w:b/>
          <w:bCs/>
        </w:rPr>
        <w:t>华林证券股份</w:t>
      </w:r>
      <w:r>
        <w:rPr>
          <w:rStyle w:val="da"/>
          <w:rFonts w:ascii="宋体" w:hAnsi="宋体" w:cs="宋体" w:hint="eastAsia"/>
          <w:b/>
          <w:bCs/>
        </w:rPr>
        <w:t>有限公司</w:t>
      </w:r>
    </w:p>
    <w:p w:rsidR="00000000" w:rsidRDefault="00B76B9A">
      <w:pPr>
        <w:spacing w:line="400" w:lineRule="exact"/>
        <w:jc w:val="center"/>
        <w:rPr>
          <w:rStyle w:val="da"/>
          <w:rFonts w:ascii="宋体" w:hAnsi="宋体" w:cs="宋体" w:hint="eastAsia"/>
          <w:b/>
          <w:bCs/>
        </w:rPr>
      </w:pPr>
      <w:r>
        <w:rPr>
          <w:rStyle w:val="da"/>
          <w:rFonts w:ascii="宋体" w:hAnsi="宋体" w:cs="宋体" w:hint="eastAsia"/>
          <w:b/>
          <w:bCs/>
        </w:rPr>
        <w:t>为代销机构</w:t>
      </w:r>
      <w:r>
        <w:rPr>
          <w:rStyle w:val="da"/>
          <w:rFonts w:ascii="宋体" w:hAnsi="宋体" w:cs="宋体" w:hint="eastAsia"/>
          <w:b/>
          <w:bCs/>
        </w:rPr>
        <w:t>、开通</w:t>
      </w:r>
      <w:r>
        <w:rPr>
          <w:rStyle w:val="da"/>
          <w:rFonts w:ascii="宋体" w:hAnsi="宋体" w:cs="宋体" w:hint="eastAsia"/>
          <w:b/>
          <w:bCs/>
        </w:rPr>
        <w:t>定期定额及转换业务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B76B9A">
      <w:pPr>
        <w:spacing w:line="400" w:lineRule="exact"/>
        <w:jc w:val="center"/>
        <w:rPr>
          <w:rStyle w:val="da"/>
          <w:rFonts w:ascii="宋体" w:hAnsi="宋体" w:hint="eastAsia"/>
          <w:b/>
          <w:bCs/>
        </w:rPr>
      </w:pPr>
    </w:p>
    <w:p w:rsidR="00000000" w:rsidRDefault="00B76B9A">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w:t>
      </w:r>
      <w:r>
        <w:rPr>
          <w:rFonts w:ascii="宋体" w:hAnsi="宋体" w:cs="宋体" w:hint="eastAsia"/>
          <w:kern w:val="0"/>
          <w:szCs w:val="21"/>
        </w:rPr>
        <w:t>华林证券股份</w:t>
      </w:r>
      <w:r>
        <w:rPr>
          <w:rFonts w:ascii="宋体" w:hAnsi="宋体" w:cs="宋体" w:hint="eastAsia"/>
          <w:kern w:val="0"/>
          <w:szCs w:val="21"/>
        </w:rPr>
        <w:t>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B76B9A">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w:t>
      </w:r>
      <w:r>
        <w:rPr>
          <w:rFonts w:ascii="宋体" w:hAnsi="宋体" w:cs="宋体" w:hint="eastAsia"/>
          <w:kern w:val="0"/>
          <w:szCs w:val="21"/>
        </w:rPr>
        <w:t>华林证券股份</w:t>
      </w:r>
      <w:r>
        <w:rPr>
          <w:rFonts w:ascii="宋体" w:hAnsi="宋体" w:cs="宋体" w:hint="eastAsia"/>
          <w:kern w:val="0"/>
          <w:szCs w:val="21"/>
        </w:rPr>
        <w:t>有限公司（以下简称</w:t>
      </w:r>
      <w:r>
        <w:rPr>
          <w:rFonts w:ascii="宋体" w:hAnsi="宋体" w:cs="宋体" w:hint="eastAsia"/>
          <w:kern w:val="0"/>
          <w:szCs w:val="21"/>
        </w:rPr>
        <w:t>"</w:t>
      </w:r>
      <w:r>
        <w:rPr>
          <w:rFonts w:ascii="宋体" w:hAnsi="宋体" w:cs="宋体" w:hint="eastAsia"/>
          <w:kern w:val="0"/>
          <w:szCs w:val="21"/>
        </w:rPr>
        <w:t>华林证券</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3</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华林证券</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w:t>
      </w:r>
      <w:r>
        <w:rPr>
          <w:rFonts w:ascii="宋体" w:hAnsi="宋体" w:cs="宋体" w:hint="eastAsia"/>
          <w:kern w:val="0"/>
          <w:szCs w:val="21"/>
        </w:rPr>
        <w:t>认购、</w:t>
      </w:r>
      <w:r>
        <w:rPr>
          <w:rFonts w:ascii="宋体" w:hAnsi="宋体" w:cs="宋体" w:hint="eastAsia"/>
          <w:kern w:val="0"/>
          <w:szCs w:val="21"/>
        </w:rPr>
        <w:t>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东吴嘉</w:t>
            </w:r>
            <w:r>
              <w:rPr>
                <w:rFonts w:ascii="宋体" w:hAnsi="宋体" w:cs="宋体" w:hint="eastAsia"/>
                <w:szCs w:val="21"/>
                <w:lang/>
              </w:rPr>
              <w:t>禾优势精选混合型开放式证券投资基金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东吴货币市</w:t>
            </w:r>
            <w:r>
              <w:rPr>
                <w:rFonts w:ascii="宋体" w:hAnsi="宋体" w:cs="宋体" w:hint="eastAsia"/>
                <w:szCs w:val="21"/>
                <w:lang/>
              </w:rPr>
              <w:t>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B76B9A">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w:t>
            </w:r>
            <w:r>
              <w:rPr>
                <w:rFonts w:ascii="宋体" w:hAnsi="宋体" w:cs="宋体" w:hint="eastAsia"/>
                <w:szCs w:val="21"/>
                <w:lang/>
              </w:rPr>
              <w:t>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00557</w:t>
            </w:r>
            <w:r>
              <w:rPr>
                <w:rFonts w:ascii="宋体" w:hAnsi="宋体" w:cs="宋体" w:hint="eastAsia"/>
                <w:szCs w:val="21"/>
                <w:lang/>
              </w:rPr>
              <w:t>3/005574</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165806</w:t>
            </w:r>
          </w:p>
        </w:tc>
      </w:tr>
      <w:tr w:rsidR="00000000">
        <w:trPr>
          <w:trHeight w:val="385"/>
          <w:jc w:val="center"/>
        </w:trPr>
        <w:tc>
          <w:tcPr>
            <w:tcW w:w="676" w:type="dxa"/>
          </w:tcPr>
          <w:p w:rsidR="00000000" w:rsidRDefault="00B76B9A">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013940/013941</w:t>
            </w:r>
          </w:p>
        </w:tc>
      </w:tr>
    </w:tbl>
    <w:p w:rsidR="00000000" w:rsidRDefault="00B76B9A">
      <w:pPr>
        <w:widowControl/>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备注：</w:t>
      </w:r>
      <w:r>
        <w:rPr>
          <w:rFonts w:ascii="宋体" w:hAnsi="宋体" w:cs="宋体" w:hint="eastAsia"/>
          <w:szCs w:val="21"/>
          <w:lang/>
        </w:rPr>
        <w:t>东吴医疗服务股票型证券投资基金自</w:t>
      </w:r>
      <w:r>
        <w:rPr>
          <w:rFonts w:ascii="宋体" w:hAnsi="宋体" w:cs="宋体" w:hint="eastAsia"/>
          <w:szCs w:val="21"/>
          <w:lang/>
        </w:rPr>
        <w:t>2021</w:t>
      </w:r>
      <w:r>
        <w:rPr>
          <w:rFonts w:ascii="宋体" w:hAnsi="宋体" w:cs="宋体" w:hint="eastAsia"/>
          <w:szCs w:val="21"/>
          <w:lang/>
        </w:rPr>
        <w:t>年</w:t>
      </w:r>
      <w:r>
        <w:rPr>
          <w:rFonts w:ascii="宋体" w:hAnsi="宋体" w:cs="宋体" w:hint="eastAsia"/>
          <w:szCs w:val="21"/>
          <w:lang/>
        </w:rPr>
        <w:t>11</w:t>
      </w:r>
      <w:r>
        <w:rPr>
          <w:rFonts w:ascii="宋体" w:hAnsi="宋体" w:cs="宋体" w:hint="eastAsia"/>
          <w:szCs w:val="21"/>
          <w:lang/>
        </w:rPr>
        <w:t>月</w:t>
      </w:r>
      <w:r>
        <w:rPr>
          <w:rFonts w:ascii="宋体" w:hAnsi="宋体" w:cs="宋体" w:hint="eastAsia"/>
          <w:szCs w:val="21"/>
          <w:lang/>
        </w:rPr>
        <w:t>8</w:t>
      </w:r>
      <w:r>
        <w:rPr>
          <w:rFonts w:ascii="宋体" w:hAnsi="宋体" w:cs="宋体" w:hint="eastAsia"/>
          <w:szCs w:val="21"/>
          <w:lang/>
        </w:rPr>
        <w:t>日起至</w:t>
      </w:r>
      <w:r>
        <w:rPr>
          <w:rFonts w:ascii="宋体" w:hAnsi="宋体" w:cs="宋体" w:hint="eastAsia"/>
          <w:szCs w:val="21"/>
          <w:lang/>
        </w:rPr>
        <w:t>2021</w:t>
      </w:r>
      <w:r>
        <w:rPr>
          <w:rFonts w:ascii="宋体" w:hAnsi="宋体" w:cs="宋体" w:hint="eastAsia"/>
          <w:szCs w:val="21"/>
          <w:lang/>
        </w:rPr>
        <w:t>年</w:t>
      </w:r>
      <w:r>
        <w:rPr>
          <w:rFonts w:ascii="宋体" w:hAnsi="宋体" w:cs="宋体" w:hint="eastAsia"/>
          <w:szCs w:val="21"/>
          <w:lang/>
        </w:rPr>
        <w:t>11</w:t>
      </w:r>
      <w:r>
        <w:rPr>
          <w:rFonts w:ascii="宋体" w:hAnsi="宋体" w:cs="宋体" w:hint="eastAsia"/>
          <w:szCs w:val="21"/>
          <w:lang/>
        </w:rPr>
        <w:t>月</w:t>
      </w:r>
      <w:r>
        <w:rPr>
          <w:rFonts w:ascii="宋体" w:hAnsi="宋体" w:cs="宋体" w:hint="eastAsia"/>
          <w:szCs w:val="21"/>
          <w:lang/>
        </w:rPr>
        <w:t>19</w:t>
      </w:r>
      <w:r>
        <w:rPr>
          <w:rFonts w:ascii="宋体" w:hAnsi="宋体" w:cs="宋体" w:hint="eastAsia"/>
          <w:szCs w:val="21"/>
          <w:lang/>
        </w:rPr>
        <w:t>日止公开发售，具体业务办理时间请详见发售公告。）</w:t>
      </w:r>
    </w:p>
    <w:p w:rsidR="00000000" w:rsidRDefault="00B76B9A">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B76B9A">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w:t>
      </w:r>
      <w:r>
        <w:rPr>
          <w:rFonts w:ascii="宋体" w:hAnsi="宋体" w:cs="宋体" w:hint="eastAsia"/>
          <w:szCs w:val="21"/>
        </w:rPr>
        <w:t>开通东吴基金旗下部分基金定期定额投资业务</w:t>
      </w:r>
    </w:p>
    <w:p w:rsidR="00000000" w:rsidRDefault="00B76B9A">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3</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华林证券</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东吴新经济混合型证券</w:t>
            </w:r>
            <w:r>
              <w:rPr>
                <w:rFonts w:ascii="宋体" w:hAnsi="宋体" w:cs="宋体" w:hint="eastAsia"/>
                <w:szCs w:val="21"/>
                <w:lang/>
              </w:rPr>
              <w:t>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583001</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东吴移动</w:t>
            </w:r>
            <w:r>
              <w:rPr>
                <w:rFonts w:ascii="宋体" w:hAnsi="宋体" w:cs="宋体" w:hint="eastAsia"/>
                <w:szCs w:val="21"/>
                <w:lang/>
              </w:rPr>
              <w:t>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B76B9A">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003588</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B76B9A">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B76B9A">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华林证券</w:t>
      </w:r>
      <w:r>
        <w:rPr>
          <w:rFonts w:ascii="宋体" w:hAnsi="宋体" w:cs="宋体" w:hint="eastAsia"/>
          <w:szCs w:val="21"/>
        </w:rPr>
        <w:t>提交申请，约定每期扣款时间、扣款金额及扣款方式，由</w:t>
      </w:r>
      <w:r>
        <w:rPr>
          <w:rFonts w:ascii="宋体" w:hAnsi="宋体" w:cs="宋体" w:hint="eastAsia"/>
          <w:kern w:val="0"/>
          <w:szCs w:val="21"/>
        </w:rPr>
        <w:t>华林证券</w:t>
      </w:r>
      <w:r>
        <w:rPr>
          <w:rFonts w:ascii="宋体" w:hAnsi="宋体" w:cs="宋体" w:hint="eastAsia"/>
          <w:szCs w:val="21"/>
        </w:rPr>
        <w:t>于约定扣款日在投资者指定资金账</w:t>
      </w:r>
      <w:r>
        <w:rPr>
          <w:rFonts w:ascii="宋体" w:hAnsi="宋体" w:cs="宋体" w:hint="eastAsia"/>
          <w:szCs w:val="21"/>
        </w:rPr>
        <w:t>户内自动完成扣款及基金申购业务。投资者在办理基金“定期定额投资业务”的同时，仍然可以进行日常申购、赎回业务。</w:t>
      </w:r>
    </w:p>
    <w:p w:rsidR="00000000" w:rsidRDefault="00B76B9A">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华林证券</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华林证券</w:t>
      </w:r>
      <w:r>
        <w:rPr>
          <w:rFonts w:ascii="宋体" w:hAnsi="宋体" w:cs="宋体" w:hint="eastAsia"/>
          <w:szCs w:val="21"/>
        </w:rPr>
        <w:t>直接开户便可进行东吴基金定期定额投资业务。</w:t>
      </w:r>
    </w:p>
    <w:p w:rsidR="00000000" w:rsidRDefault="00B76B9A">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华林证券</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B76B9A">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华林证券</w:t>
      </w:r>
      <w:r>
        <w:rPr>
          <w:rFonts w:ascii="宋体" w:hAnsi="宋体" w:cs="宋体" w:hint="eastAsia"/>
          <w:szCs w:val="21"/>
        </w:rPr>
        <w:t>约定每期固定扣款（申购）金额，基金每期定投申购金额最低下限以代销机构规定为准。</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B76B9A">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华林证券</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B76B9A">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580002/01</w:t>
            </w:r>
            <w:r>
              <w:rPr>
                <w:rFonts w:ascii="宋体" w:hAnsi="宋体" w:cs="宋体" w:hint="eastAsia"/>
                <w:szCs w:val="21"/>
                <w:lang/>
              </w:rPr>
              <w:t>1241</w:t>
            </w:r>
          </w:p>
        </w:tc>
      </w:tr>
      <w:tr w:rsidR="00000000">
        <w:trPr>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东吴配置优</w:t>
            </w:r>
            <w:r>
              <w:rPr>
                <w:rFonts w:ascii="宋体" w:hAnsi="宋体" w:cs="宋体" w:hint="eastAsia"/>
                <w:szCs w:val="21"/>
                <w:lang/>
              </w:rPr>
              <w:t>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jc w:val="left"/>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B76B9A">
            <w:pPr>
              <w:widowControl/>
              <w:jc w:val="left"/>
              <w:textAlignment w:val="center"/>
              <w:rPr>
                <w:rFonts w:ascii="宋体" w:hAnsi="宋体" w:cs="宋体" w:hint="eastAsia"/>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东吴安鑫量化灵活</w:t>
            </w:r>
            <w:r>
              <w:rPr>
                <w:rFonts w:ascii="宋体" w:hAnsi="宋体" w:cs="宋体" w:hint="eastAsia"/>
                <w:szCs w:val="21"/>
                <w:lang/>
              </w:rPr>
              <w:t>配置混合型证券投资基金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B76B9A">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B76B9A">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B76B9A">
            <w:pPr>
              <w:widowControl/>
              <w:spacing w:line="400" w:lineRule="exact"/>
              <w:jc w:val="left"/>
              <w:rPr>
                <w:rFonts w:ascii="宋体" w:hAnsi="宋体" w:cs="宋体" w:hint="eastAsia"/>
                <w:szCs w:val="21"/>
                <w:lang/>
              </w:rPr>
            </w:pPr>
            <w:r>
              <w:rPr>
                <w:rFonts w:ascii="宋体" w:hAnsi="宋体" w:cs="宋体" w:hint="eastAsia"/>
                <w:szCs w:val="21"/>
                <w:lang/>
              </w:rPr>
              <w:t>010</w:t>
            </w:r>
            <w:r>
              <w:rPr>
                <w:rFonts w:ascii="宋体" w:hAnsi="宋体" w:cs="宋体" w:hint="eastAsia"/>
                <w:szCs w:val="21"/>
                <w:lang/>
              </w:rPr>
              <w:t>330/011462</w:t>
            </w:r>
          </w:p>
        </w:tc>
      </w:tr>
    </w:tbl>
    <w:p w:rsidR="00000000" w:rsidRDefault="00B76B9A">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B76B9A">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B76B9A">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B76B9A">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B76B9A">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B76B9A">
      <w:pPr>
        <w:widowControl/>
        <w:spacing w:line="400" w:lineRule="exact"/>
        <w:jc w:val="left"/>
        <w:rPr>
          <w:rFonts w:ascii="宋体" w:hAnsi="宋体" w:cs="宋体" w:hint="eastAsia"/>
          <w:szCs w:val="21"/>
        </w:rPr>
      </w:pP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B76B9A">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11</w:t>
      </w:r>
      <w:r>
        <w:rPr>
          <w:rFonts w:ascii="宋体" w:hAnsi="宋体" w:cs="宋体" w:hint="eastAsia"/>
          <w:color w:val="000000"/>
          <w:szCs w:val="21"/>
        </w:rPr>
        <w:t>月</w:t>
      </w:r>
      <w:r>
        <w:rPr>
          <w:rFonts w:ascii="宋体" w:hAnsi="宋体" w:cs="宋体" w:hint="eastAsia"/>
          <w:color w:val="000000"/>
          <w:szCs w:val="21"/>
        </w:rPr>
        <w:t>3</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华林证券</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w:t>
      </w:r>
      <w:r>
        <w:rPr>
          <w:rFonts w:ascii="宋体" w:hAnsi="宋体" w:cs="宋体" w:hint="eastAsia"/>
          <w:color w:val="000000"/>
          <w:szCs w:val="21"/>
        </w:rPr>
        <w:t>司后台不设折扣限制，以</w:t>
      </w:r>
      <w:r>
        <w:rPr>
          <w:rFonts w:ascii="宋体" w:hAnsi="宋体" w:cs="宋体" w:hint="eastAsia"/>
          <w:color w:val="000000"/>
          <w:szCs w:val="21"/>
        </w:rPr>
        <w:t>华林证券</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华林证券</w:t>
      </w:r>
      <w:r>
        <w:rPr>
          <w:rFonts w:ascii="宋体" w:hAnsi="宋体" w:cs="宋体" w:hint="eastAsia"/>
          <w:color w:val="000000"/>
          <w:szCs w:val="21"/>
        </w:rPr>
        <w:t>相关公告。基金原费率请详见基金合同、招募说明书（更新）等法律文件，以及本公司发布的最新业务公告。</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华林证券</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华林证券</w:t>
      </w:r>
      <w:r>
        <w:rPr>
          <w:rFonts w:ascii="宋体" w:hAnsi="宋体" w:cs="宋体" w:hint="eastAsia"/>
          <w:color w:val="000000"/>
          <w:szCs w:val="21"/>
        </w:rPr>
        <w:t>官方网站所示公告为准。</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华林证券</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华林证券</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华林证券</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B76B9A">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华林证券</w:t>
      </w:r>
      <w:r>
        <w:rPr>
          <w:rFonts w:ascii="宋体" w:hAnsi="宋体" w:cs="宋体" w:hint="eastAsia"/>
          <w:color w:val="000000"/>
          <w:szCs w:val="21"/>
        </w:rPr>
        <w:t>的规定为准。投资者欲了解基金产品的详细情况，请仔细阅读基金的基金合同、招募说明书等法律文件。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B76B9A">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B76B9A">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B76B9A">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、华林证券股份有限公司</w:t>
      </w:r>
    </w:p>
    <w:p w:rsidR="00000000" w:rsidRDefault="00B76B9A">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400-188-3888</w:t>
      </w:r>
    </w:p>
    <w:p w:rsidR="00000000" w:rsidRDefault="00B76B9A">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www.chinalin</w:t>
      </w:r>
      <w:r>
        <w:rPr>
          <w:rFonts w:ascii="宋体" w:hAnsi="宋体" w:cs="宋体" w:hint="eastAsia"/>
          <w:kern w:val="0"/>
          <w:szCs w:val="21"/>
        </w:rPr>
        <w:t>.com</w:t>
      </w:r>
      <w:hyperlink r:id="rId5" w:history="1"/>
    </w:p>
    <w:p w:rsidR="00000000" w:rsidRDefault="00B76B9A">
      <w:pPr>
        <w:spacing w:line="400" w:lineRule="exact"/>
        <w:ind w:firstLineChars="304" w:firstLine="638"/>
        <w:rPr>
          <w:rFonts w:ascii="宋体" w:hAnsi="宋体" w:cs="宋体" w:hint="eastAsia"/>
          <w:kern w:val="0"/>
          <w:szCs w:val="21"/>
        </w:rPr>
      </w:pPr>
    </w:p>
    <w:p w:rsidR="00000000" w:rsidRDefault="00B76B9A">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B76B9A">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B76B9A">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6" w:history="1">
        <w:r>
          <w:rPr>
            <w:rFonts w:ascii="宋体" w:hAnsi="宋体" w:cs="宋体" w:hint="eastAsia"/>
            <w:szCs w:val="21"/>
          </w:rPr>
          <w:t>www.scfund.com.cn</w:t>
        </w:r>
      </w:hyperlink>
    </w:p>
    <w:p w:rsidR="00000000" w:rsidRDefault="00B76B9A">
      <w:pPr>
        <w:spacing w:line="360" w:lineRule="auto"/>
        <w:ind w:firstLineChars="200" w:firstLine="420"/>
        <w:rPr>
          <w:rFonts w:ascii="宋体" w:hAnsi="宋体" w:cs="宋体" w:hint="eastAsia"/>
          <w:color w:val="000000"/>
          <w:kern w:val="0"/>
          <w:szCs w:val="21"/>
        </w:rPr>
      </w:pPr>
    </w:p>
    <w:p w:rsidR="00000000" w:rsidRDefault="00B76B9A">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B76B9A">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B76B9A">
      <w:pPr>
        <w:spacing w:line="400" w:lineRule="exact"/>
        <w:rPr>
          <w:rFonts w:ascii="宋体" w:hAnsi="宋体" w:cs="宋体" w:hint="eastAsia"/>
          <w:szCs w:val="21"/>
        </w:rPr>
      </w:pPr>
      <w:r>
        <w:rPr>
          <w:rFonts w:ascii="宋体" w:hAnsi="宋体" w:cs="宋体" w:hint="eastAsia"/>
          <w:szCs w:val="21"/>
        </w:rPr>
        <w:t xml:space="preserve">     </w:t>
      </w:r>
    </w:p>
    <w:p w:rsidR="00000000" w:rsidRDefault="00B76B9A">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B76B9A">
      <w:pPr>
        <w:spacing w:line="400" w:lineRule="exact"/>
        <w:rPr>
          <w:rFonts w:ascii="宋体" w:hAnsi="宋体" w:cs="宋体" w:hint="eastAsia"/>
          <w:szCs w:val="21"/>
        </w:rPr>
      </w:pPr>
    </w:p>
    <w:p w:rsidR="00000000" w:rsidRDefault="00B76B9A">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B76B9A">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848CA3"/>
    <w:multiLevelType w:val="singleLevel"/>
    <w:tmpl w:val="DE848CA3"/>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4D7D6732"/>
    <w:multiLevelType w:val="singleLevel"/>
    <w:tmpl w:val="4D7D6732"/>
    <w:lvl w:ilvl="0">
      <w:start w:val="1"/>
      <w:numFmt w:val="decimal"/>
      <w:lvlText w:val="%1."/>
      <w:lvlJc w:val="left"/>
      <w:pPr>
        <w:ind w:left="425" w:hanging="425"/>
      </w:pPr>
      <w:rPr>
        <w:rFonts w:hint="default"/>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76B9A"/>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A9126A"/>
    <w:rsid w:val="02C4633C"/>
    <w:rsid w:val="02FE7A2C"/>
    <w:rsid w:val="037B608B"/>
    <w:rsid w:val="03BF4636"/>
    <w:rsid w:val="05282922"/>
    <w:rsid w:val="05FD0EAD"/>
    <w:rsid w:val="06171B42"/>
    <w:rsid w:val="076808B4"/>
    <w:rsid w:val="07E27256"/>
    <w:rsid w:val="07EC11B9"/>
    <w:rsid w:val="089B75B6"/>
    <w:rsid w:val="097914DE"/>
    <w:rsid w:val="0A641E54"/>
    <w:rsid w:val="0AFA04AF"/>
    <w:rsid w:val="0B2854B7"/>
    <w:rsid w:val="0C1734E6"/>
    <w:rsid w:val="0CDA088F"/>
    <w:rsid w:val="0D781E29"/>
    <w:rsid w:val="0E624A90"/>
    <w:rsid w:val="0F5A6124"/>
    <w:rsid w:val="0FE01D6A"/>
    <w:rsid w:val="103852DA"/>
    <w:rsid w:val="103D7A7A"/>
    <w:rsid w:val="11D35ECA"/>
    <w:rsid w:val="12260115"/>
    <w:rsid w:val="126C35C1"/>
    <w:rsid w:val="12ED0AC1"/>
    <w:rsid w:val="13A147CE"/>
    <w:rsid w:val="1412586F"/>
    <w:rsid w:val="144D74F1"/>
    <w:rsid w:val="149A6E87"/>
    <w:rsid w:val="149B08DC"/>
    <w:rsid w:val="15284B7A"/>
    <w:rsid w:val="156173A0"/>
    <w:rsid w:val="15C4305D"/>
    <w:rsid w:val="15D6596A"/>
    <w:rsid w:val="16887312"/>
    <w:rsid w:val="16BB2E3C"/>
    <w:rsid w:val="16E41E49"/>
    <w:rsid w:val="176C38A0"/>
    <w:rsid w:val="17837E4E"/>
    <w:rsid w:val="183F3F70"/>
    <w:rsid w:val="185A6A58"/>
    <w:rsid w:val="196E49C7"/>
    <w:rsid w:val="1BED5CE0"/>
    <w:rsid w:val="1CA27161"/>
    <w:rsid w:val="1CDF3654"/>
    <w:rsid w:val="1DA5062E"/>
    <w:rsid w:val="1FC7683A"/>
    <w:rsid w:val="1FDF5B04"/>
    <w:rsid w:val="20040DFF"/>
    <w:rsid w:val="213212D6"/>
    <w:rsid w:val="21FC2E7E"/>
    <w:rsid w:val="224C5A31"/>
    <w:rsid w:val="225C7323"/>
    <w:rsid w:val="2269333F"/>
    <w:rsid w:val="22B107F8"/>
    <w:rsid w:val="235231CF"/>
    <w:rsid w:val="23A83A0D"/>
    <w:rsid w:val="24140680"/>
    <w:rsid w:val="24425BDD"/>
    <w:rsid w:val="2534229A"/>
    <w:rsid w:val="25EC6BD7"/>
    <w:rsid w:val="276F103E"/>
    <w:rsid w:val="27C45851"/>
    <w:rsid w:val="27E36121"/>
    <w:rsid w:val="280C74C5"/>
    <w:rsid w:val="28525604"/>
    <w:rsid w:val="28935BDB"/>
    <w:rsid w:val="2913621E"/>
    <w:rsid w:val="297E1EFC"/>
    <w:rsid w:val="2A656EEF"/>
    <w:rsid w:val="2AAE6793"/>
    <w:rsid w:val="2B382728"/>
    <w:rsid w:val="2B5C6850"/>
    <w:rsid w:val="2BAD2685"/>
    <w:rsid w:val="2C445CD5"/>
    <w:rsid w:val="2CB23497"/>
    <w:rsid w:val="2D2F0A6E"/>
    <w:rsid w:val="2E290C48"/>
    <w:rsid w:val="2E297F73"/>
    <w:rsid w:val="2EFD62B4"/>
    <w:rsid w:val="2FAA2872"/>
    <w:rsid w:val="2FCA1259"/>
    <w:rsid w:val="300E3606"/>
    <w:rsid w:val="30693C6B"/>
    <w:rsid w:val="309148BA"/>
    <w:rsid w:val="31EB1FC2"/>
    <w:rsid w:val="32B61B46"/>
    <w:rsid w:val="33464B7A"/>
    <w:rsid w:val="33576347"/>
    <w:rsid w:val="33915228"/>
    <w:rsid w:val="351A72AD"/>
    <w:rsid w:val="35282C5A"/>
    <w:rsid w:val="354D41DF"/>
    <w:rsid w:val="36371F6E"/>
    <w:rsid w:val="36AC5178"/>
    <w:rsid w:val="370C6F24"/>
    <w:rsid w:val="373E372F"/>
    <w:rsid w:val="38137F9C"/>
    <w:rsid w:val="384D2127"/>
    <w:rsid w:val="385A5804"/>
    <w:rsid w:val="387743CF"/>
    <w:rsid w:val="39E949C6"/>
    <w:rsid w:val="39FB0130"/>
    <w:rsid w:val="3A0D38CD"/>
    <w:rsid w:val="3A1F03A8"/>
    <w:rsid w:val="3BCF2D0F"/>
    <w:rsid w:val="3C44454F"/>
    <w:rsid w:val="3DA939C5"/>
    <w:rsid w:val="3DB22DE2"/>
    <w:rsid w:val="3E1F1601"/>
    <w:rsid w:val="3E431917"/>
    <w:rsid w:val="3EA74EA6"/>
    <w:rsid w:val="40591B82"/>
    <w:rsid w:val="412133EB"/>
    <w:rsid w:val="41F017A8"/>
    <w:rsid w:val="431369E3"/>
    <w:rsid w:val="443C6B00"/>
    <w:rsid w:val="44E670C8"/>
    <w:rsid w:val="453E3F7B"/>
    <w:rsid w:val="46692B10"/>
    <w:rsid w:val="467C28B2"/>
    <w:rsid w:val="46B05CA5"/>
    <w:rsid w:val="47C17D67"/>
    <w:rsid w:val="48463A92"/>
    <w:rsid w:val="488515F1"/>
    <w:rsid w:val="489354A0"/>
    <w:rsid w:val="49083735"/>
    <w:rsid w:val="490F7BDD"/>
    <w:rsid w:val="4AAF17BC"/>
    <w:rsid w:val="4AFB1112"/>
    <w:rsid w:val="4C8C3A8E"/>
    <w:rsid w:val="4D473B61"/>
    <w:rsid w:val="4E053C46"/>
    <w:rsid w:val="4EC201C3"/>
    <w:rsid w:val="4F1C2EFD"/>
    <w:rsid w:val="4F691C56"/>
    <w:rsid w:val="4FA249DE"/>
    <w:rsid w:val="4FD81752"/>
    <w:rsid w:val="51C41695"/>
    <w:rsid w:val="524B0146"/>
    <w:rsid w:val="52861B73"/>
    <w:rsid w:val="531E2FB0"/>
    <w:rsid w:val="53506042"/>
    <w:rsid w:val="53511467"/>
    <w:rsid w:val="57564D00"/>
    <w:rsid w:val="5794651A"/>
    <w:rsid w:val="580F7213"/>
    <w:rsid w:val="58BB67A0"/>
    <w:rsid w:val="58DA0FD3"/>
    <w:rsid w:val="58FF5142"/>
    <w:rsid w:val="59391735"/>
    <w:rsid w:val="59C33488"/>
    <w:rsid w:val="5A765101"/>
    <w:rsid w:val="5A9F0071"/>
    <w:rsid w:val="5B197D86"/>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19297F"/>
    <w:rsid w:val="62680002"/>
    <w:rsid w:val="62E01DCA"/>
    <w:rsid w:val="63461FD9"/>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5D0E73"/>
    <w:rsid w:val="6BBB6AAD"/>
    <w:rsid w:val="6DB15CE3"/>
    <w:rsid w:val="6DCF7A62"/>
    <w:rsid w:val="6EB448FD"/>
    <w:rsid w:val="6F383D07"/>
    <w:rsid w:val="6F421085"/>
    <w:rsid w:val="706C7FA2"/>
    <w:rsid w:val="71127BA2"/>
    <w:rsid w:val="7187084F"/>
    <w:rsid w:val="71C7588E"/>
    <w:rsid w:val="726F6D4C"/>
    <w:rsid w:val="738A48F7"/>
    <w:rsid w:val="73F12CD0"/>
    <w:rsid w:val="73FD2CDB"/>
    <w:rsid w:val="74500DA3"/>
    <w:rsid w:val="753271D8"/>
    <w:rsid w:val="757438E6"/>
    <w:rsid w:val="768C1119"/>
    <w:rsid w:val="77492C07"/>
    <w:rsid w:val="776C6CE8"/>
    <w:rsid w:val="77923065"/>
    <w:rsid w:val="77B37523"/>
    <w:rsid w:val="77EF43DC"/>
    <w:rsid w:val="783C4C84"/>
    <w:rsid w:val="78501E3B"/>
    <w:rsid w:val="795A5208"/>
    <w:rsid w:val="79833C7C"/>
    <w:rsid w:val="79C91A00"/>
    <w:rsid w:val="79DB41C3"/>
    <w:rsid w:val="7A5709DC"/>
    <w:rsid w:val="7A8F4748"/>
    <w:rsid w:val="7A9629B0"/>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style>
  <w:style w:type="character" w:customStyle="1" w:styleId="emailstyle25">
    <w:name w:val="emailstyle25"/>
    <w:rPr>
      <w:rFonts w:ascii="Calibri" w:hAnsi="Calibri" w:cs="Calibri" w:hint="default"/>
      <w:color w:val="1F497D"/>
    </w:rPr>
  </w:style>
  <w:style w:type="character" w:styleId="a3">
    <w:name w:val="Hyperlink"/>
    <w:basedOn w:val="a0"/>
    <w:rPr>
      <w:color w:val="0000FF"/>
      <w:u w:val="single"/>
    </w:rPr>
  </w:style>
  <w:style w:type="character" w:styleId="a4">
    <w:name w:val="page number"/>
    <w:basedOn w:val="a0"/>
  </w:style>
  <w:style w:type="character" w:customStyle="1" w:styleId="Char">
    <w:name w:val="批注框文本 Char"/>
    <w:link w:val="a5"/>
    <w:rPr>
      <w:rFonts w:ascii="宋体" w:eastAsia="宋体" w:hAnsi="宋体" w:cs="宋体" w:hint="eastAsia"/>
    </w:rPr>
  </w:style>
  <w:style w:type="character" w:styleId="a6">
    <w:name w:val="Strong"/>
    <w:basedOn w:val="a0"/>
    <w:qFormat/>
    <w:rPr>
      <w:b/>
    </w:rPr>
  </w:style>
  <w:style w:type="character" w:customStyle="1" w:styleId="txtcontent11">
    <w:name w:val="txtcontent11"/>
    <w:rPr>
      <w:rFonts w:ascii="ˎ̥" w:hAnsi="ˎ̥" w:hint="default"/>
      <w:b w:val="0"/>
      <w:bCs w:val="0"/>
      <w:color w:val="000000"/>
      <w:sz w:val="21"/>
      <w:szCs w:val="21"/>
    </w:rPr>
  </w:style>
  <w:style w:type="character" w:styleId="a7">
    <w:name w:val="FollowedHyperlink"/>
    <w:basedOn w:val="a0"/>
    <w:rPr>
      <w:color w:val="800080"/>
      <w:u w:val="single"/>
    </w:rPr>
  </w:style>
  <w:style w:type="character" w:customStyle="1" w:styleId="Char0">
    <w:name w:val="页脚 Char"/>
    <w:link w:val="a8"/>
    <w:rPr>
      <w:kern w:val="2"/>
      <w:sz w:val="18"/>
      <w:szCs w:val="18"/>
    </w:rPr>
  </w:style>
  <w:style w:type="character" w:customStyle="1" w:styleId="emailstyle26">
    <w:name w:val="emailstyle26"/>
    <w:rPr>
      <w:rFonts w:ascii="Calibri" w:hAnsi="Calibri" w:cs="Calibri" w:hint="default"/>
      <w:color w:val="1F497D"/>
    </w:rPr>
  </w:style>
  <w:style w:type="character" w:customStyle="1" w:styleId="Char1">
    <w:name w:val="页眉 Char"/>
    <w:link w:val="a9"/>
    <w:rPr>
      <w:kern w:val="2"/>
      <w:sz w:val="18"/>
      <w:szCs w:val="18"/>
    </w:rPr>
  </w:style>
  <w:style w:type="character" w:styleId="aa">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Char2">
    <w:name w:val="文档结构图 Char"/>
    <w:link w:val="ab"/>
    <w:rPr>
      <w:rFonts w:ascii="宋体"/>
      <w:kern w:val="2"/>
      <w:sz w:val="18"/>
      <w:szCs w:val="18"/>
    </w:rPr>
  </w:style>
  <w:style w:type="paragraph" w:styleId="a9">
    <w:name w:val="header"/>
    <w:basedOn w:val="a"/>
    <w:link w:val="Char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footer"/>
    <w:basedOn w:val="a"/>
    <w:link w:val="Char0"/>
    <w:pPr>
      <w:tabs>
        <w:tab w:val="center" w:pos="4153"/>
        <w:tab w:val="right" w:pos="8306"/>
      </w:tabs>
      <w:snapToGrid w:val="0"/>
      <w:jc w:val="left"/>
    </w:pPr>
    <w:rPr>
      <w:sz w:val="18"/>
      <w:szCs w:val="18"/>
    </w:rPr>
  </w:style>
  <w:style w:type="paragraph" w:styleId="a5">
    <w:name w:val="Balloon Text"/>
    <w:basedOn w:val="a"/>
    <w:link w:val="Char"/>
    <w:semiHidden/>
    <w:rPr>
      <w:sz w:val="18"/>
      <w:szCs w:val="18"/>
    </w:rPr>
  </w:style>
  <w:style w:type="paragraph" w:styleId="ac">
    <w:name w:val="annotation text"/>
    <w:basedOn w:val="a"/>
    <w:semiHidden/>
    <w:pPr>
      <w:jc w:val="left"/>
    </w:pPr>
  </w:style>
  <w:style w:type="paragraph" w:styleId="ab">
    <w:name w:val="Document Map"/>
    <w:basedOn w:val="a"/>
    <w:link w:val="Char2"/>
    <w:rPr>
      <w:rFonts w:ascii="宋体"/>
      <w:sz w:val="18"/>
      <w:szCs w:val="18"/>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styleId="ae">
    <w:name w:val="annotation subject"/>
    <w:basedOn w:val="ac"/>
    <w:next w:val="ac"/>
    <w:semiHidden/>
    <w:rPr>
      <w:b/>
      <w:bCs/>
    </w:rPr>
  </w:style>
  <w:style w:type="paragraph" w:customStyle="1" w:styleId="CharCharCharChar">
    <w:name w:val=" Char Char Char Char"/>
    <w:basedOn w:val="a"/>
    <w:link w:val="a0"/>
    <w:pPr>
      <w:tabs>
        <w:tab w:val="left" w:pos="360"/>
      </w:tabs>
    </w:pPr>
    <w:rPr>
      <w:sz w:val="24"/>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fund.com.cn" TargetMode="External"/><Relationship Id="rId5" Type="http://schemas.openxmlformats.org/officeDocument/2006/relationships/hyperlink" Target="http://www.hgccp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4015</Characters>
  <Application>Microsoft Office Word</Application>
  <DocSecurity>4</DocSecurity>
  <PresentationFormat/>
  <Lines>33</Lines>
  <Paragraphs>9</Paragraphs>
  <Slides>0</Slides>
  <Notes>0</Notes>
  <HiddenSlides>0</HiddenSlides>
  <MMClips>0</MMClips>
  <ScaleCrop>false</ScaleCrop>
  <Manager/>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东吴基金管理有限公司关于旗下部分基金新增华林证券股份有限公司为代销机构、开通定期定额及转换业务并参加费率优惠的公告</dc:title>
  <dc:subject/>
  <dc:creator>dingxue</dc:creator>
  <cp:keywords/>
  <dc:description/>
  <cp:lastModifiedBy>ZHONGM</cp:lastModifiedBy>
  <cp:revision>2</cp:revision>
  <cp:lastPrinted>2015-06-11T02:51:00Z</cp:lastPrinted>
  <dcterms:created xsi:type="dcterms:W3CDTF">2021-10-31T16:00:00Z</dcterms:created>
  <dcterms:modified xsi:type="dcterms:W3CDTF">2021-10-31T16:00:00Z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3896FDD7D1844B3483BA4373911801A2</vt:lpwstr>
  </property>
</Properties>
</file>