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BA" w:rsidRPr="00745155" w:rsidRDefault="002C4CBA" w:rsidP="00F00F60">
      <w:pPr>
        <w:spacing w:line="360" w:lineRule="auto"/>
        <w:ind w:firstLineChars="50" w:firstLine="120"/>
        <w:jc w:val="center"/>
        <w:rPr>
          <w:rFonts w:ascii="Times New Roman" w:eastAsia="宋体" w:hAnsi="Times New Roman" w:cs="Times New Roman"/>
          <w:b/>
          <w:color w:val="000000" w:themeColor="text1"/>
          <w:sz w:val="24"/>
          <w:szCs w:val="21"/>
        </w:rPr>
      </w:pPr>
      <w:r w:rsidRPr="00745155">
        <w:rPr>
          <w:rFonts w:ascii="Times New Roman" w:eastAsia="宋体" w:hAnsi="Times New Roman" w:cs="Times New Roman"/>
          <w:b/>
          <w:color w:val="000000" w:themeColor="text1"/>
          <w:sz w:val="24"/>
          <w:szCs w:val="21"/>
        </w:rPr>
        <w:t>上投摩根基金管理有限公司</w:t>
      </w:r>
      <w:r w:rsidR="005E088E" w:rsidRPr="00745155">
        <w:rPr>
          <w:rFonts w:ascii="Times New Roman" w:eastAsia="宋体" w:hAnsi="Times New Roman" w:cs="Times New Roman"/>
          <w:b/>
          <w:color w:val="000000" w:themeColor="text1"/>
          <w:sz w:val="24"/>
          <w:szCs w:val="21"/>
        </w:rPr>
        <w:t>旗下部分基金</w:t>
      </w:r>
    </w:p>
    <w:p w:rsidR="00BB3501" w:rsidRPr="00745155" w:rsidRDefault="002C4CBA" w:rsidP="00F00F60">
      <w:pPr>
        <w:spacing w:line="360" w:lineRule="auto"/>
        <w:ind w:firstLineChars="50" w:firstLine="120"/>
        <w:jc w:val="center"/>
        <w:rPr>
          <w:rFonts w:ascii="Times New Roman" w:eastAsia="宋体" w:hAnsi="Times New Roman" w:cs="Times New Roman"/>
          <w:b/>
          <w:color w:val="000000" w:themeColor="text1"/>
          <w:sz w:val="24"/>
          <w:szCs w:val="21"/>
        </w:rPr>
      </w:pPr>
      <w:r w:rsidRPr="00745155">
        <w:rPr>
          <w:rFonts w:ascii="Times New Roman" w:eastAsia="宋体" w:hAnsi="Times New Roman" w:cs="Times New Roman"/>
          <w:b/>
          <w:color w:val="000000" w:themeColor="text1"/>
          <w:sz w:val="24"/>
          <w:szCs w:val="21"/>
        </w:rPr>
        <w:t>20</w:t>
      </w:r>
      <w:r w:rsidR="00A52693">
        <w:rPr>
          <w:rFonts w:ascii="Times New Roman" w:eastAsia="宋体" w:hAnsi="Times New Roman" w:cs="Times New Roman"/>
          <w:b/>
          <w:color w:val="000000" w:themeColor="text1"/>
          <w:sz w:val="24"/>
          <w:szCs w:val="21"/>
        </w:rPr>
        <w:t>21</w:t>
      </w:r>
      <w:r w:rsidRPr="00745155">
        <w:rPr>
          <w:rFonts w:ascii="Times New Roman" w:eastAsia="宋体" w:hAnsi="Times New Roman" w:cs="Times New Roman"/>
          <w:b/>
          <w:color w:val="000000" w:themeColor="text1"/>
          <w:sz w:val="24"/>
          <w:szCs w:val="21"/>
        </w:rPr>
        <w:t>年第</w:t>
      </w:r>
      <w:r w:rsidR="00C1370F">
        <w:rPr>
          <w:rFonts w:ascii="Times New Roman" w:eastAsia="宋体" w:hAnsi="Times New Roman" w:cs="Times New Roman" w:hint="eastAsia"/>
          <w:b/>
          <w:color w:val="000000" w:themeColor="text1"/>
          <w:sz w:val="24"/>
          <w:szCs w:val="21"/>
        </w:rPr>
        <w:t>三</w:t>
      </w:r>
      <w:r w:rsidR="00BB3501" w:rsidRPr="00745155">
        <w:rPr>
          <w:rFonts w:ascii="Times New Roman" w:eastAsia="宋体" w:hAnsi="Times New Roman" w:cs="Times New Roman"/>
          <w:b/>
          <w:color w:val="000000" w:themeColor="text1"/>
          <w:sz w:val="24"/>
          <w:szCs w:val="21"/>
        </w:rPr>
        <w:t>季度报告提示性公告</w:t>
      </w:r>
    </w:p>
    <w:p w:rsidR="00B16987" w:rsidRPr="00745155" w:rsidRDefault="00B16987" w:rsidP="00F00F60">
      <w:pPr>
        <w:spacing w:line="360" w:lineRule="auto"/>
        <w:ind w:firstLineChars="50" w:firstLine="105"/>
        <w:jc w:val="center"/>
        <w:rPr>
          <w:rFonts w:ascii="Times New Roman" w:eastAsia="宋体" w:hAnsi="Times New Roman" w:cs="Times New Roman"/>
          <w:b/>
          <w:color w:val="000000" w:themeColor="text1"/>
          <w:szCs w:val="21"/>
        </w:rPr>
      </w:pPr>
    </w:p>
    <w:p w:rsidR="00BB3501" w:rsidRPr="00745155" w:rsidRDefault="00B16987" w:rsidP="00F00F60">
      <w:pPr>
        <w:spacing w:line="360" w:lineRule="auto"/>
        <w:ind w:firstLineChars="250" w:firstLine="525"/>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本公司董事会及董事保证基金</w:t>
      </w:r>
      <w:r w:rsidR="002C4CBA" w:rsidRPr="00745155">
        <w:rPr>
          <w:rFonts w:ascii="Times New Roman" w:eastAsia="宋体" w:hAnsi="Times New Roman" w:cs="Times New Roman"/>
          <w:color w:val="000000" w:themeColor="text1"/>
          <w:szCs w:val="21"/>
        </w:rPr>
        <w:t>20</w:t>
      </w:r>
      <w:r w:rsidR="00431516" w:rsidRPr="00745155">
        <w:rPr>
          <w:rFonts w:ascii="Times New Roman" w:eastAsia="宋体" w:hAnsi="Times New Roman" w:cs="Times New Roman"/>
          <w:color w:val="000000" w:themeColor="text1"/>
          <w:szCs w:val="21"/>
        </w:rPr>
        <w:t>2</w:t>
      </w:r>
      <w:r w:rsidR="00A52693">
        <w:rPr>
          <w:rFonts w:ascii="Times New Roman" w:eastAsia="宋体" w:hAnsi="Times New Roman" w:cs="Times New Roman"/>
          <w:color w:val="000000" w:themeColor="text1"/>
          <w:szCs w:val="21"/>
        </w:rPr>
        <w:t>1</w:t>
      </w:r>
      <w:r w:rsidR="002C4CBA" w:rsidRPr="00745155">
        <w:rPr>
          <w:rFonts w:ascii="Times New Roman" w:eastAsia="宋体" w:hAnsi="Times New Roman" w:cs="Times New Roman"/>
          <w:color w:val="000000" w:themeColor="text1"/>
          <w:szCs w:val="21"/>
        </w:rPr>
        <w:t>年第</w:t>
      </w:r>
      <w:r w:rsidR="00C1370F">
        <w:rPr>
          <w:rFonts w:ascii="Times New Roman" w:eastAsia="宋体" w:hAnsi="Times New Roman" w:cs="Times New Roman" w:hint="eastAsia"/>
          <w:color w:val="000000" w:themeColor="text1"/>
          <w:szCs w:val="21"/>
        </w:rPr>
        <w:t>三</w:t>
      </w:r>
      <w:r w:rsidR="002C4CBA" w:rsidRPr="00745155">
        <w:rPr>
          <w:rFonts w:ascii="Times New Roman" w:eastAsia="宋体" w:hAnsi="Times New Roman" w:cs="Times New Roman"/>
          <w:color w:val="000000" w:themeColor="text1"/>
          <w:szCs w:val="21"/>
        </w:rPr>
        <w:t>季度报告</w:t>
      </w:r>
      <w:r w:rsidRPr="00745155">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p>
    <w:p w:rsidR="003A5D29" w:rsidRPr="00745155" w:rsidRDefault="001D6B7F" w:rsidP="00F00F60">
      <w:pPr>
        <w:spacing w:line="360" w:lineRule="auto"/>
        <w:ind w:firstLineChars="250" w:firstLine="525"/>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本</w:t>
      </w:r>
      <w:r w:rsidR="002C4CBA" w:rsidRPr="00745155">
        <w:rPr>
          <w:rFonts w:ascii="Times New Roman" w:eastAsia="宋体" w:hAnsi="Times New Roman" w:cs="Times New Roman"/>
          <w:color w:val="000000" w:themeColor="text1"/>
          <w:szCs w:val="21"/>
        </w:rPr>
        <w:t>公司</w:t>
      </w:r>
      <w:r w:rsidR="003A5D29" w:rsidRPr="00745155">
        <w:rPr>
          <w:rFonts w:ascii="Times New Roman" w:eastAsia="宋体" w:hAnsi="Times New Roman" w:cs="Times New Roman"/>
          <w:color w:val="000000" w:themeColor="text1"/>
          <w:szCs w:val="21"/>
        </w:rPr>
        <w:t>旗下</w:t>
      </w:r>
      <w:r w:rsidR="001338F8">
        <w:rPr>
          <w:rFonts w:ascii="Times New Roman" w:eastAsia="宋体" w:hAnsi="Times New Roman" w:cs="Times New Roman" w:hint="eastAsia"/>
          <w:color w:val="000000" w:themeColor="text1"/>
          <w:szCs w:val="21"/>
        </w:rPr>
        <w:t>76</w:t>
      </w:r>
      <w:r w:rsidR="003A5D29" w:rsidRPr="00745155">
        <w:rPr>
          <w:rFonts w:ascii="Times New Roman" w:eastAsia="宋体" w:hAnsi="Times New Roman" w:cs="Times New Roman"/>
          <w:color w:val="000000" w:themeColor="text1"/>
          <w:szCs w:val="21"/>
        </w:rPr>
        <w:t>只基金（具体基金名称请见附表）的</w:t>
      </w:r>
      <w:r w:rsidR="003A5D29" w:rsidRPr="00745155">
        <w:rPr>
          <w:rFonts w:ascii="Times New Roman" w:eastAsia="宋体" w:hAnsi="Times New Roman" w:cs="Times New Roman"/>
          <w:color w:val="000000" w:themeColor="text1"/>
          <w:szCs w:val="21"/>
        </w:rPr>
        <w:t>202</w:t>
      </w:r>
      <w:r w:rsidR="00A52693">
        <w:rPr>
          <w:rFonts w:ascii="Times New Roman" w:eastAsia="宋体" w:hAnsi="Times New Roman" w:cs="Times New Roman"/>
          <w:color w:val="000000" w:themeColor="text1"/>
          <w:szCs w:val="21"/>
        </w:rPr>
        <w:t>1</w:t>
      </w:r>
      <w:r w:rsidR="003A5D29" w:rsidRPr="00745155">
        <w:rPr>
          <w:rFonts w:ascii="Times New Roman" w:eastAsia="宋体" w:hAnsi="Times New Roman" w:cs="Times New Roman"/>
          <w:color w:val="000000" w:themeColor="text1"/>
          <w:szCs w:val="21"/>
        </w:rPr>
        <w:t>年第</w:t>
      </w:r>
      <w:r w:rsidR="00C1370F">
        <w:rPr>
          <w:rFonts w:ascii="Times New Roman" w:eastAsia="宋体" w:hAnsi="Times New Roman" w:cs="Times New Roman" w:hint="eastAsia"/>
          <w:color w:val="000000" w:themeColor="text1"/>
          <w:szCs w:val="21"/>
        </w:rPr>
        <w:t>三</w:t>
      </w:r>
      <w:r w:rsidR="003A5D29" w:rsidRPr="00745155">
        <w:rPr>
          <w:rFonts w:ascii="Times New Roman" w:eastAsia="宋体" w:hAnsi="Times New Roman" w:cs="Times New Roman"/>
          <w:color w:val="000000" w:themeColor="text1"/>
          <w:szCs w:val="21"/>
        </w:rPr>
        <w:t>季度报告全文于</w:t>
      </w:r>
      <w:r w:rsidR="003A5D29" w:rsidRPr="00745155">
        <w:rPr>
          <w:rFonts w:ascii="Times New Roman" w:eastAsia="宋体" w:hAnsi="Times New Roman" w:cs="Times New Roman"/>
          <w:color w:val="000000" w:themeColor="text1"/>
          <w:szCs w:val="21"/>
        </w:rPr>
        <w:t>202</w:t>
      </w:r>
      <w:r w:rsidR="00A52693">
        <w:rPr>
          <w:rFonts w:ascii="Times New Roman" w:eastAsia="宋体" w:hAnsi="Times New Roman" w:cs="Times New Roman"/>
          <w:color w:val="000000" w:themeColor="text1"/>
          <w:szCs w:val="21"/>
        </w:rPr>
        <w:t>1</w:t>
      </w:r>
      <w:r w:rsidR="003A5D29" w:rsidRPr="00745155">
        <w:rPr>
          <w:rFonts w:ascii="Times New Roman" w:eastAsia="宋体" w:hAnsi="Times New Roman" w:cs="Times New Roman"/>
          <w:color w:val="000000" w:themeColor="text1"/>
          <w:szCs w:val="21"/>
        </w:rPr>
        <w:t>年</w:t>
      </w:r>
      <w:r w:rsidR="00C1370F">
        <w:rPr>
          <w:rFonts w:ascii="Times New Roman" w:eastAsia="宋体" w:hAnsi="Times New Roman" w:cs="Times New Roman" w:hint="eastAsia"/>
          <w:color w:val="000000" w:themeColor="text1"/>
          <w:szCs w:val="21"/>
        </w:rPr>
        <w:t>1</w:t>
      </w:r>
      <w:r w:rsidR="00C1370F">
        <w:rPr>
          <w:rFonts w:ascii="Times New Roman" w:eastAsia="宋体" w:hAnsi="Times New Roman" w:cs="Times New Roman"/>
          <w:color w:val="000000" w:themeColor="text1"/>
          <w:szCs w:val="21"/>
        </w:rPr>
        <w:t>0</w:t>
      </w:r>
      <w:r w:rsidR="003A5D29" w:rsidRPr="00745155">
        <w:rPr>
          <w:rFonts w:ascii="Times New Roman" w:eastAsia="宋体" w:hAnsi="Times New Roman" w:cs="Times New Roman"/>
          <w:color w:val="000000" w:themeColor="text1"/>
          <w:szCs w:val="21"/>
        </w:rPr>
        <w:t>月</w:t>
      </w:r>
      <w:r w:rsidR="00C1370F">
        <w:rPr>
          <w:rFonts w:ascii="Times New Roman" w:eastAsia="宋体" w:hAnsi="Times New Roman" w:cs="Times New Roman" w:hint="eastAsia"/>
          <w:color w:val="000000" w:themeColor="text1"/>
          <w:szCs w:val="21"/>
        </w:rPr>
        <w:t>2</w:t>
      </w:r>
      <w:r w:rsidR="00F972D4">
        <w:rPr>
          <w:rFonts w:ascii="Times New Roman" w:eastAsia="宋体" w:hAnsi="Times New Roman" w:cs="Times New Roman"/>
          <w:color w:val="000000" w:themeColor="text1"/>
          <w:szCs w:val="21"/>
        </w:rPr>
        <w:t>7</w:t>
      </w:r>
      <w:r w:rsidR="003A5D29" w:rsidRPr="00745155">
        <w:rPr>
          <w:rFonts w:ascii="Times New Roman" w:eastAsia="宋体" w:hAnsi="Times New Roman" w:cs="Times New Roman"/>
          <w:color w:val="000000" w:themeColor="text1"/>
          <w:szCs w:val="21"/>
        </w:rPr>
        <w:t>日在本公司网站（</w:t>
      </w:r>
      <w:r w:rsidR="003A5D29" w:rsidRPr="00745155">
        <w:rPr>
          <w:rFonts w:ascii="Times New Roman" w:eastAsia="宋体" w:hAnsi="Times New Roman" w:cs="Times New Roman"/>
          <w:color w:val="000000" w:themeColor="text1"/>
          <w:szCs w:val="21"/>
        </w:rPr>
        <w:t>www.cifm.com</w:t>
      </w:r>
      <w:r w:rsidR="003A5D29" w:rsidRPr="00745155">
        <w:rPr>
          <w:rFonts w:ascii="Times New Roman" w:eastAsia="宋体" w:hAnsi="Times New Roman" w:cs="Times New Roman"/>
          <w:color w:val="000000" w:themeColor="text1"/>
          <w:szCs w:val="21"/>
        </w:rPr>
        <w:t>）和中国证监会基金电子披露网站（</w:t>
      </w:r>
      <w:hyperlink r:id="rId8" w:history="1">
        <w:r w:rsidR="003A5D29" w:rsidRPr="00745155">
          <w:rPr>
            <w:rStyle w:val="a7"/>
            <w:rFonts w:ascii="Times New Roman" w:eastAsia="宋体" w:hAnsi="Times New Roman" w:cs="Times New Roman"/>
            <w:szCs w:val="21"/>
          </w:rPr>
          <w:t>http://eid.csrc.gov.cn/fund</w:t>
        </w:r>
      </w:hyperlink>
      <w:r w:rsidR="003A5D29" w:rsidRPr="00745155">
        <w:rPr>
          <w:rFonts w:ascii="Times New Roman" w:eastAsia="宋体" w:hAnsi="Times New Roman" w:cs="Times New Roman"/>
          <w:color w:val="000000" w:themeColor="text1"/>
          <w:szCs w:val="21"/>
        </w:rPr>
        <w:t>）披露，供投资者查阅。如有疑问可拨打本公司客服电话（</w:t>
      </w:r>
      <w:r w:rsidR="003A5D29" w:rsidRPr="00745155">
        <w:rPr>
          <w:rFonts w:ascii="Times New Roman" w:eastAsia="宋体" w:hAnsi="Times New Roman" w:cs="Times New Roman"/>
          <w:color w:val="000000" w:themeColor="text1"/>
          <w:szCs w:val="21"/>
        </w:rPr>
        <w:t>400-889-4888</w:t>
      </w:r>
      <w:r w:rsidR="003A5D29" w:rsidRPr="00745155">
        <w:rPr>
          <w:rFonts w:ascii="Times New Roman" w:eastAsia="宋体" w:hAnsi="Times New Roman" w:cs="Times New Roman"/>
          <w:color w:val="000000" w:themeColor="text1"/>
          <w:szCs w:val="21"/>
        </w:rPr>
        <w:t>）咨询。</w:t>
      </w:r>
    </w:p>
    <w:p w:rsidR="003A5D29" w:rsidRDefault="003A5D29" w:rsidP="006C080F">
      <w:pPr>
        <w:spacing w:line="360" w:lineRule="auto"/>
        <w:ind w:firstLineChars="200" w:firstLine="420"/>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本基金管理人承诺以诚实信用、勤勉尽责的原则管理和运用基金资产，但不保证基金一定盈利，也不保证最低收益。请充分了解基金的风险收益特征，审慎做出投资决定。</w:t>
      </w:r>
    </w:p>
    <w:p w:rsidR="006C080F" w:rsidRPr="00745155" w:rsidRDefault="006C080F" w:rsidP="006C080F">
      <w:pPr>
        <w:spacing w:line="360" w:lineRule="auto"/>
        <w:ind w:firstLineChars="200" w:firstLine="420"/>
        <w:rPr>
          <w:rFonts w:ascii="Times New Roman" w:eastAsia="宋体" w:hAnsi="Times New Roman" w:cs="Times New Roman"/>
          <w:color w:val="000000" w:themeColor="text1"/>
          <w:szCs w:val="21"/>
        </w:rPr>
      </w:pPr>
    </w:p>
    <w:p w:rsidR="003A5D29" w:rsidRDefault="003A5D29" w:rsidP="00F00F60">
      <w:pPr>
        <w:spacing w:line="360" w:lineRule="auto"/>
        <w:ind w:firstLineChars="250" w:firstLine="525"/>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附表：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09"/>
        <w:gridCol w:w="7937"/>
      </w:tblGrid>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上投摩根中国优势证券投资基金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上投摩根货币市场基金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上投摩根阿尔法混合型证券投资基金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上投摩根双息平衡混合型证券投资基金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上投摩根成长先锋混合型证券投资基金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上投摩根内需动力混合型证券投资基金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上投摩根亚太优势混合型证券投资基金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上投摩根双核平衡混合型证券投资基金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上投摩根中小盘混合型证券投资基金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上投摩根纯债债券型证券投资基金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上投摩根行业轮动混合型证券投资基金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上投摩根大盘蓝筹股票型证券投资基金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上投摩根全球新兴市场混合型证券投资基金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上投摩根新兴动力混合型证券投资基金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上投摩根强化回报债券型证券投资基金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上投摩根健康品质生活混合型证券投资基金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上投摩根全球天然资源混合型证券投资基金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上投摩根中证消费服务领先指数证券投资基金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19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上投摩根核心优选混合型证券投资基金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上投摩根智选</w:t>
            </w:r>
            <w:r w:rsidRPr="001338F8">
              <w:t>30</w:t>
            </w:r>
            <w:r w:rsidRPr="001338F8">
              <w:rPr>
                <w:rFonts w:hint="eastAsia"/>
              </w:rPr>
              <w:t>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bookmarkStart w:id="0" w:name="_GoBack"/>
            <w:bookmarkEnd w:id="0"/>
            <w:r w:rsidRPr="001338F8">
              <w:rPr>
                <w:rFonts w:hint="eastAsia"/>
              </w:rPr>
              <w:lastRenderedPageBreak/>
              <w:t>21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上投摩根成长动力混合型证券投资基金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上投摩根转型动力灵活配置混合型证券投资基金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上投摩根双债增利债券型证券投资基金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上投摩根核心成长股票型证券投资基金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上投摩根民生需求股票型证券投资基金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上投摩根纯债丰利债券型证券投资基金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上投摩根天添盈货币市场基金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上投摩根天添宝货币市场基金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29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上投摩根稳进回报混合型证券投资基金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上投摩根安全战略股票型证券投资基金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上投摩根卓越制造股票型证券投资基金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上投摩根整合驱动灵活配置混合型证券投资基金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上投摩根动态多因子策略灵活配置混合型证券投资基金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上投摩根智慧互联股票型证券投资基金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上投摩根科技前沿灵活配置混合型证券投资基金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上投摩根新兴服务股票型证券投资基金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上投摩根医疗健康股票型证券投资基金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上投摩根文体休闲灵活配置混合型证券投资基金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39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上投摩根中国生物医药混合型证券投资基金（</w:t>
            </w:r>
            <w:r w:rsidRPr="001338F8">
              <w:rPr>
                <w:rFonts w:hint="eastAsia"/>
              </w:rPr>
              <w:t>QDII</w:t>
            </w:r>
            <w:r w:rsidRPr="001338F8">
              <w:rPr>
                <w:rFonts w:hint="eastAsia"/>
              </w:rPr>
              <w:t>）</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t>上投摩根策略精选灵活配置混合型证券投资基金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上投摩根安鑫回报混合型证券投资基金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上投摩根中国世纪灵活配置混合型证券投资基金</w:t>
            </w:r>
            <w:r w:rsidRPr="001338F8">
              <w:rPr>
                <w:rFonts w:hint="eastAsia"/>
              </w:rPr>
              <w:t>(QDII)</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上投摩根全球多元配置证券投资基金</w:t>
            </w:r>
            <w:r w:rsidRPr="001338F8">
              <w:rPr>
                <w:rFonts w:hint="eastAsia"/>
              </w:rPr>
              <w:t>(QDII)</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上投摩根安丰回报混合型证券投资基金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上投摩根安通回报混合型证券投资基金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上投摩根优选多因子股票型证券投资基金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上投摩根丰瑞债券型证券投资基金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上投摩根标普港股通低波红利指数型证券投资基金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49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上投摩根量化多因子灵活配置混合型证券投资基金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上投摩根安隆回报混合型证券投资基金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上投摩根创新商业模式灵活配置混合型证券投资基金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上投摩根富时发达市场</w:t>
            </w:r>
            <w:r w:rsidRPr="001338F8">
              <w:rPr>
                <w:rFonts w:hint="eastAsia"/>
              </w:rPr>
              <w:t>REITs</w:t>
            </w:r>
            <w:r w:rsidRPr="001338F8">
              <w:rPr>
                <w:rFonts w:hint="eastAsia"/>
              </w:rPr>
              <w:t>指数型证券投资基金（</w:t>
            </w:r>
            <w:r w:rsidRPr="001338F8">
              <w:rPr>
                <w:rFonts w:hint="eastAsia"/>
              </w:rPr>
              <w:t>QDII</w:t>
            </w:r>
            <w:r w:rsidRPr="001338F8">
              <w:rPr>
                <w:rFonts w:hint="eastAsia"/>
              </w:rPr>
              <w:t>）</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上投摩根香港精选港股通混合型证券投资基金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上投摩根尚睿混合型基金中基金</w:t>
            </w:r>
            <w:r w:rsidRPr="001338F8">
              <w:rPr>
                <w:rFonts w:hint="eastAsia"/>
              </w:rPr>
              <w:t>(FOF)</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上投摩根安裕回报混合型证券投资基金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上投摩根欧洲动力策略股票型证券投资基金</w:t>
            </w:r>
            <w:r w:rsidRPr="001338F8">
              <w:rPr>
                <w:rFonts w:hint="eastAsia"/>
              </w:rPr>
              <w:t>(QDII)</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上投摩根核心精选股票型证券投资基金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58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上投摩根动力精选混合型证券投资基金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lastRenderedPageBreak/>
              <w:t>59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上投摩根领先优选混合型证券投资基金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上投摩根日本精选股票型证券投资基金（</w:t>
            </w:r>
            <w:r w:rsidRPr="001338F8">
              <w:rPr>
                <w:rFonts w:hint="eastAsia"/>
              </w:rPr>
              <w:t>QDII</w:t>
            </w:r>
            <w:r w:rsidRPr="001338F8">
              <w:rPr>
                <w:rFonts w:hint="eastAsia"/>
              </w:rPr>
              <w:t>）</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上投摩根锦程均衡养老目标三年持有期混合型基金中基金（</w:t>
            </w:r>
            <w:r w:rsidRPr="001338F8">
              <w:rPr>
                <w:rFonts w:hint="eastAsia"/>
              </w:rPr>
              <w:t>FOF</w:t>
            </w:r>
            <w:r w:rsidRPr="001338F8">
              <w:rPr>
                <w:rFonts w:hint="eastAsia"/>
              </w:rPr>
              <w:t>）</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上投摩根瑞益纯债债券型证券投资基金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上投摩根慧选成长股票型证券投资基金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上投摩根瑞泰</w:t>
            </w:r>
            <w:r w:rsidRPr="001338F8">
              <w:rPr>
                <w:rFonts w:hint="eastAsia"/>
              </w:rPr>
              <w:t>38</w:t>
            </w:r>
            <w:r w:rsidRPr="001338F8">
              <w:rPr>
                <w:rFonts w:hint="eastAsia"/>
              </w:rPr>
              <w:t>个月定期开放债券型证券投资基金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上投摩根锦程稳健养老目标一年持有期混合型基金中基金</w:t>
            </w:r>
            <w:r w:rsidRPr="001338F8">
              <w:rPr>
                <w:rFonts w:hint="eastAsia"/>
              </w:rPr>
              <w:t>(FOF)</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上投摩根锦程积极成长养老目标五年持有期混合型发起式基金中基金</w:t>
            </w:r>
            <w:r w:rsidRPr="001338F8">
              <w:rPr>
                <w:rFonts w:hint="eastAsia"/>
              </w:rPr>
              <w:t>(FOF)</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67</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w:t>
            </w:r>
            <w:r w:rsidRPr="001338F8">
              <w:rPr>
                <w:rFonts w:hint="eastAsia"/>
              </w:rPr>
              <w:t>MSCI</w:t>
            </w:r>
            <w:r w:rsidRPr="001338F8">
              <w:rPr>
                <w:rFonts w:hint="eastAsia"/>
              </w:rPr>
              <w:t>中国</w:t>
            </w:r>
            <w:r w:rsidRPr="001338F8">
              <w:rPr>
                <w:rFonts w:hint="eastAsia"/>
              </w:rPr>
              <w:t>A</w:t>
            </w:r>
            <w:r w:rsidRPr="001338F8">
              <w:rPr>
                <w:rFonts w:hint="eastAsia"/>
              </w:rPr>
              <w:t>股交易型开放式指数证券投资基金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68</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上投摩根研究驱动股票型证券投资基金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69</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w:t>
            </w:r>
            <w:r w:rsidRPr="001338F8">
              <w:rPr>
                <w:rFonts w:hint="eastAsia"/>
              </w:rPr>
              <w:t>MSCI</w:t>
            </w:r>
            <w:r w:rsidRPr="001338F8">
              <w:rPr>
                <w:rFonts w:hint="eastAsia"/>
              </w:rPr>
              <w:t>中国</w:t>
            </w:r>
            <w:r w:rsidRPr="001338F8">
              <w:rPr>
                <w:rFonts w:hint="eastAsia"/>
              </w:rPr>
              <w:t>A</w:t>
            </w:r>
            <w:r w:rsidRPr="001338F8">
              <w:rPr>
                <w:rFonts w:hint="eastAsia"/>
              </w:rPr>
              <w:t>股交易型开放式指数证券投资基金联接基金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70</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上投摩根瑞盛</w:t>
            </w:r>
            <w:r w:rsidRPr="001338F8">
              <w:rPr>
                <w:rFonts w:hint="eastAsia"/>
              </w:rPr>
              <w:t>87</w:t>
            </w:r>
            <w:r w:rsidRPr="001338F8">
              <w:rPr>
                <w:rFonts w:hint="eastAsia"/>
              </w:rPr>
              <w:t>个月定期开放债券型证券投资基金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71</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上投摩根慧见两年持有期混合型证券投资基金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72</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上投摩根远见两年持有期混合型证券投资基金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73</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上投摩根安享回报一年持有期债券型证券投资基金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74</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上投摩根优势成长混合型证券投资基金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75</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上投摩根行业睿选股票型证券投资基金</w:t>
            </w:r>
          </w:p>
        </w:tc>
      </w:tr>
      <w:tr w:rsidR="009567C7" w:rsidRPr="001338F8" w:rsidTr="009567C7">
        <w:trPr>
          <w:trHeight w:val="330"/>
        </w:trPr>
        <w:tc>
          <w:tcPr>
            <w:tcW w:w="564"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7C1596">
            <w:pPr>
              <w:widowControl/>
              <w:jc w:val="center"/>
            </w:pPr>
            <w:r w:rsidRPr="001338F8">
              <w:rPr>
                <w:rFonts w:hint="eastAsia"/>
              </w:rPr>
              <w:t>76</w:t>
            </w:r>
          </w:p>
        </w:tc>
        <w:tc>
          <w:tcPr>
            <w:tcW w:w="4436" w:type="pct"/>
            <w:tcBorders>
              <w:top w:val="single" w:sz="8" w:space="0" w:color="auto"/>
              <w:left w:val="single" w:sz="8" w:space="0" w:color="auto"/>
              <w:bottom w:val="single" w:sz="8" w:space="0" w:color="auto"/>
              <w:right w:val="single" w:sz="8" w:space="0" w:color="auto"/>
            </w:tcBorders>
            <w:shd w:val="clear" w:color="auto" w:fill="auto"/>
            <w:hideMark/>
          </w:tcPr>
          <w:p w:rsidR="009567C7" w:rsidRPr="001338F8" w:rsidRDefault="009567C7" w:rsidP="00322127">
            <w:pPr>
              <w:widowControl/>
              <w:jc w:val="left"/>
            </w:pPr>
            <w:r w:rsidRPr="001338F8">
              <w:rPr>
                <w:rFonts w:hint="eastAsia"/>
              </w:rPr>
              <w:t>上投摩根安荣回报混合型证券投资基金</w:t>
            </w:r>
          </w:p>
        </w:tc>
      </w:tr>
    </w:tbl>
    <w:p w:rsidR="00C1370F" w:rsidRPr="009567C7" w:rsidRDefault="00C1370F" w:rsidP="00F00F60">
      <w:pPr>
        <w:spacing w:line="360" w:lineRule="auto"/>
        <w:ind w:firstLineChars="250" w:firstLine="525"/>
        <w:rPr>
          <w:rFonts w:ascii="Times New Roman" w:eastAsia="宋体" w:hAnsi="Times New Roman" w:cs="Times New Roman"/>
          <w:color w:val="000000" w:themeColor="text1"/>
          <w:szCs w:val="21"/>
        </w:rPr>
      </w:pPr>
    </w:p>
    <w:p w:rsidR="00BB3501" w:rsidRPr="00745155" w:rsidRDefault="00BB3501" w:rsidP="00F00F60">
      <w:pPr>
        <w:spacing w:line="360" w:lineRule="auto"/>
        <w:ind w:firstLineChars="250" w:firstLine="525"/>
        <w:rPr>
          <w:rFonts w:ascii="Times New Roman" w:eastAsia="宋体" w:hAnsi="Times New Roman" w:cs="Times New Roman"/>
          <w:color w:val="000000" w:themeColor="text1"/>
          <w:szCs w:val="21"/>
        </w:rPr>
      </w:pPr>
    </w:p>
    <w:p w:rsidR="00BB3501" w:rsidRPr="00745155" w:rsidRDefault="006A09B5" w:rsidP="00F00F60">
      <w:pPr>
        <w:spacing w:line="360" w:lineRule="auto"/>
        <w:ind w:firstLineChars="250" w:firstLine="525"/>
        <w:jc w:val="right"/>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上投摩根基金管理有限</w:t>
      </w:r>
      <w:r w:rsidR="00BB3501" w:rsidRPr="00745155">
        <w:rPr>
          <w:rFonts w:ascii="Times New Roman" w:eastAsia="宋体" w:hAnsi="Times New Roman" w:cs="Times New Roman"/>
          <w:color w:val="000000" w:themeColor="text1"/>
          <w:szCs w:val="21"/>
        </w:rPr>
        <w:t>公司</w:t>
      </w:r>
    </w:p>
    <w:p w:rsidR="00BB3501" w:rsidRPr="00745155" w:rsidRDefault="006A09B5" w:rsidP="00F00F60">
      <w:pPr>
        <w:spacing w:line="360" w:lineRule="auto"/>
        <w:ind w:firstLineChars="250" w:firstLine="525"/>
        <w:jc w:val="right"/>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20</w:t>
      </w:r>
      <w:r w:rsidR="002D074B" w:rsidRPr="00745155">
        <w:rPr>
          <w:rFonts w:ascii="Times New Roman" w:eastAsia="宋体" w:hAnsi="Times New Roman" w:cs="Times New Roman"/>
          <w:color w:val="000000" w:themeColor="text1"/>
          <w:szCs w:val="21"/>
        </w:rPr>
        <w:t>2</w:t>
      </w:r>
      <w:r w:rsidR="00A52693">
        <w:rPr>
          <w:rFonts w:ascii="Times New Roman" w:eastAsia="宋体" w:hAnsi="Times New Roman" w:cs="Times New Roman"/>
          <w:color w:val="000000" w:themeColor="text1"/>
          <w:szCs w:val="21"/>
        </w:rPr>
        <w:t>1</w:t>
      </w:r>
      <w:r w:rsidR="00BB3501" w:rsidRPr="00745155">
        <w:rPr>
          <w:rFonts w:ascii="Times New Roman" w:eastAsia="宋体" w:hAnsi="Times New Roman" w:cs="Times New Roman"/>
          <w:color w:val="000000" w:themeColor="text1"/>
          <w:szCs w:val="21"/>
        </w:rPr>
        <w:t>年</w:t>
      </w:r>
      <w:r w:rsidR="00C1370F">
        <w:rPr>
          <w:rFonts w:ascii="Times New Roman" w:eastAsia="宋体" w:hAnsi="Times New Roman" w:cs="Times New Roman"/>
          <w:color w:val="000000" w:themeColor="text1"/>
          <w:szCs w:val="21"/>
        </w:rPr>
        <w:t>10</w:t>
      </w:r>
      <w:r w:rsidR="00BB3501" w:rsidRPr="00745155">
        <w:rPr>
          <w:rFonts w:ascii="Times New Roman" w:eastAsia="宋体" w:hAnsi="Times New Roman" w:cs="Times New Roman"/>
          <w:color w:val="000000" w:themeColor="text1"/>
          <w:szCs w:val="21"/>
        </w:rPr>
        <w:t>月</w:t>
      </w:r>
      <w:r w:rsidR="00C1370F">
        <w:rPr>
          <w:rFonts w:ascii="Times New Roman" w:eastAsia="宋体" w:hAnsi="Times New Roman" w:cs="Times New Roman"/>
          <w:color w:val="000000" w:themeColor="text1"/>
          <w:szCs w:val="21"/>
        </w:rPr>
        <w:t>2</w:t>
      </w:r>
      <w:r w:rsidR="00F972D4">
        <w:rPr>
          <w:rFonts w:ascii="Times New Roman" w:eastAsia="宋体" w:hAnsi="Times New Roman" w:cs="Times New Roman"/>
          <w:color w:val="000000" w:themeColor="text1"/>
          <w:szCs w:val="21"/>
        </w:rPr>
        <w:t>7</w:t>
      </w:r>
      <w:r w:rsidR="00BB3501" w:rsidRPr="00745155">
        <w:rPr>
          <w:rFonts w:ascii="Times New Roman" w:eastAsia="宋体" w:hAnsi="Times New Roman" w:cs="Times New Roman"/>
          <w:color w:val="000000" w:themeColor="text1"/>
          <w:szCs w:val="21"/>
        </w:rPr>
        <w:t>日</w:t>
      </w:r>
    </w:p>
    <w:sectPr w:rsidR="00BB3501" w:rsidRPr="00745155"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BD" w:rsidRDefault="002343BD" w:rsidP="009A149B">
      <w:r>
        <w:separator/>
      </w:r>
    </w:p>
  </w:endnote>
  <w:endnote w:type="continuationSeparator" w:id="0">
    <w:p w:rsidR="002343BD" w:rsidRDefault="002343B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A27FD7">
        <w:pPr>
          <w:pStyle w:val="a4"/>
          <w:jc w:val="center"/>
        </w:pPr>
        <w:r>
          <w:fldChar w:fldCharType="begin"/>
        </w:r>
        <w:r w:rsidR="00084E7D">
          <w:instrText>PAGE   \* MERGEFORMAT</w:instrText>
        </w:r>
        <w:r>
          <w:fldChar w:fldCharType="separate"/>
        </w:r>
        <w:r w:rsidR="00725476" w:rsidRPr="00725476">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A27FD7">
        <w:pPr>
          <w:pStyle w:val="a4"/>
          <w:jc w:val="center"/>
        </w:pPr>
        <w:r>
          <w:fldChar w:fldCharType="begin"/>
        </w:r>
        <w:r w:rsidR="00084E7D">
          <w:instrText>PAGE   \* MERGEFORMAT</w:instrText>
        </w:r>
        <w:r>
          <w:fldChar w:fldCharType="separate"/>
        </w:r>
        <w:r w:rsidR="00725476" w:rsidRPr="0072547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BD" w:rsidRDefault="002343BD" w:rsidP="009A149B">
      <w:r>
        <w:separator/>
      </w:r>
    </w:p>
  </w:footnote>
  <w:footnote w:type="continuationSeparator" w:id="0">
    <w:p w:rsidR="002343BD" w:rsidRDefault="002343B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338F8"/>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6B7F"/>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4CBA"/>
    <w:rsid w:val="002C5D36"/>
    <w:rsid w:val="002D074B"/>
    <w:rsid w:val="002E24D1"/>
    <w:rsid w:val="002E79D9"/>
    <w:rsid w:val="002E7B0A"/>
    <w:rsid w:val="002F2B53"/>
    <w:rsid w:val="00303860"/>
    <w:rsid w:val="0030733B"/>
    <w:rsid w:val="00311075"/>
    <w:rsid w:val="003117E6"/>
    <w:rsid w:val="0031471A"/>
    <w:rsid w:val="00322127"/>
    <w:rsid w:val="00332619"/>
    <w:rsid w:val="00333802"/>
    <w:rsid w:val="003467B5"/>
    <w:rsid w:val="00355B7C"/>
    <w:rsid w:val="00361065"/>
    <w:rsid w:val="0036248F"/>
    <w:rsid w:val="00382BCB"/>
    <w:rsid w:val="00391944"/>
    <w:rsid w:val="00393949"/>
    <w:rsid w:val="003948AF"/>
    <w:rsid w:val="00394BBC"/>
    <w:rsid w:val="003A4AC6"/>
    <w:rsid w:val="003A5D29"/>
    <w:rsid w:val="003C2820"/>
    <w:rsid w:val="003C3CB5"/>
    <w:rsid w:val="003C5A1A"/>
    <w:rsid w:val="003D0424"/>
    <w:rsid w:val="003D32D7"/>
    <w:rsid w:val="003F4E13"/>
    <w:rsid w:val="003F6960"/>
    <w:rsid w:val="0040020D"/>
    <w:rsid w:val="00405ADB"/>
    <w:rsid w:val="004254EE"/>
    <w:rsid w:val="00430D19"/>
    <w:rsid w:val="00431516"/>
    <w:rsid w:val="00433480"/>
    <w:rsid w:val="0043655D"/>
    <w:rsid w:val="00437D86"/>
    <w:rsid w:val="00441246"/>
    <w:rsid w:val="00441E0B"/>
    <w:rsid w:val="00452A46"/>
    <w:rsid w:val="00454581"/>
    <w:rsid w:val="00454978"/>
    <w:rsid w:val="00467B47"/>
    <w:rsid w:val="00467E81"/>
    <w:rsid w:val="004744B6"/>
    <w:rsid w:val="004748B9"/>
    <w:rsid w:val="00477BA8"/>
    <w:rsid w:val="00477EB2"/>
    <w:rsid w:val="0048111A"/>
    <w:rsid w:val="00487BF1"/>
    <w:rsid w:val="00491FCB"/>
    <w:rsid w:val="00497943"/>
    <w:rsid w:val="00497A8B"/>
    <w:rsid w:val="004A0E45"/>
    <w:rsid w:val="004A54A6"/>
    <w:rsid w:val="004B1105"/>
    <w:rsid w:val="004B1AE7"/>
    <w:rsid w:val="004C3109"/>
    <w:rsid w:val="004C44C4"/>
    <w:rsid w:val="004C5BD1"/>
    <w:rsid w:val="004C625A"/>
    <w:rsid w:val="004C6355"/>
    <w:rsid w:val="004E1D5E"/>
    <w:rsid w:val="004E630B"/>
    <w:rsid w:val="004F7313"/>
    <w:rsid w:val="005158A6"/>
    <w:rsid w:val="0052094C"/>
    <w:rsid w:val="00524AD6"/>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3E97"/>
    <w:rsid w:val="006962CB"/>
    <w:rsid w:val="006A09B5"/>
    <w:rsid w:val="006A0BB0"/>
    <w:rsid w:val="006A72BD"/>
    <w:rsid w:val="006A7F42"/>
    <w:rsid w:val="006B4697"/>
    <w:rsid w:val="006C080F"/>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476"/>
    <w:rsid w:val="00725827"/>
    <w:rsid w:val="00725F68"/>
    <w:rsid w:val="0073075C"/>
    <w:rsid w:val="007315E0"/>
    <w:rsid w:val="0074144B"/>
    <w:rsid w:val="00741A3E"/>
    <w:rsid w:val="007443C2"/>
    <w:rsid w:val="00745155"/>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7C7"/>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5393"/>
    <w:rsid w:val="00A21627"/>
    <w:rsid w:val="00A27FD7"/>
    <w:rsid w:val="00A37A94"/>
    <w:rsid w:val="00A41611"/>
    <w:rsid w:val="00A441B7"/>
    <w:rsid w:val="00A447AF"/>
    <w:rsid w:val="00A46430"/>
    <w:rsid w:val="00A52693"/>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02C1"/>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370F"/>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25DF5"/>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46DC8"/>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0F60"/>
    <w:rsid w:val="00F01150"/>
    <w:rsid w:val="00F01E3D"/>
    <w:rsid w:val="00F04DC2"/>
    <w:rsid w:val="00F066D9"/>
    <w:rsid w:val="00F25F52"/>
    <w:rsid w:val="00F469D5"/>
    <w:rsid w:val="00F47FEE"/>
    <w:rsid w:val="00F527B3"/>
    <w:rsid w:val="00F632AF"/>
    <w:rsid w:val="00F6382D"/>
    <w:rsid w:val="00F63F55"/>
    <w:rsid w:val="00F66378"/>
    <w:rsid w:val="00F7188E"/>
    <w:rsid w:val="00F71C51"/>
    <w:rsid w:val="00F77F4B"/>
    <w:rsid w:val="00F9100C"/>
    <w:rsid w:val="00F972D4"/>
    <w:rsid w:val="00FA0934"/>
    <w:rsid w:val="00FA653D"/>
    <w:rsid w:val="00FB23EE"/>
    <w:rsid w:val="00FB73F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F00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278165">
      <w:bodyDiv w:val="1"/>
      <w:marLeft w:val="0"/>
      <w:marRight w:val="0"/>
      <w:marTop w:val="0"/>
      <w:marBottom w:val="0"/>
      <w:divBdr>
        <w:top w:val="none" w:sz="0" w:space="0" w:color="auto"/>
        <w:left w:val="none" w:sz="0" w:space="0" w:color="auto"/>
        <w:bottom w:val="none" w:sz="0" w:space="0" w:color="auto"/>
        <w:right w:val="none" w:sz="0" w:space="0" w:color="auto"/>
      </w:divBdr>
    </w:div>
    <w:div w:id="78017655">
      <w:bodyDiv w:val="1"/>
      <w:marLeft w:val="0"/>
      <w:marRight w:val="0"/>
      <w:marTop w:val="0"/>
      <w:marBottom w:val="0"/>
      <w:divBdr>
        <w:top w:val="none" w:sz="0" w:space="0" w:color="auto"/>
        <w:left w:val="none" w:sz="0" w:space="0" w:color="auto"/>
        <w:bottom w:val="none" w:sz="0" w:space="0" w:color="auto"/>
        <w:right w:val="none" w:sz="0" w:space="0" w:color="auto"/>
      </w:divBdr>
    </w:div>
    <w:div w:id="185024142">
      <w:bodyDiv w:val="1"/>
      <w:marLeft w:val="0"/>
      <w:marRight w:val="0"/>
      <w:marTop w:val="0"/>
      <w:marBottom w:val="0"/>
      <w:divBdr>
        <w:top w:val="none" w:sz="0" w:space="0" w:color="auto"/>
        <w:left w:val="none" w:sz="0" w:space="0" w:color="auto"/>
        <w:bottom w:val="none" w:sz="0" w:space="0" w:color="auto"/>
        <w:right w:val="none" w:sz="0" w:space="0" w:color="auto"/>
      </w:divBdr>
    </w:div>
    <w:div w:id="197591377">
      <w:bodyDiv w:val="1"/>
      <w:marLeft w:val="0"/>
      <w:marRight w:val="0"/>
      <w:marTop w:val="0"/>
      <w:marBottom w:val="0"/>
      <w:divBdr>
        <w:top w:val="none" w:sz="0" w:space="0" w:color="auto"/>
        <w:left w:val="none" w:sz="0" w:space="0" w:color="auto"/>
        <w:bottom w:val="none" w:sz="0" w:space="0" w:color="auto"/>
        <w:right w:val="none" w:sz="0" w:space="0" w:color="auto"/>
      </w:divBdr>
    </w:div>
    <w:div w:id="205721022">
      <w:bodyDiv w:val="1"/>
      <w:marLeft w:val="0"/>
      <w:marRight w:val="0"/>
      <w:marTop w:val="0"/>
      <w:marBottom w:val="0"/>
      <w:divBdr>
        <w:top w:val="none" w:sz="0" w:space="0" w:color="auto"/>
        <w:left w:val="none" w:sz="0" w:space="0" w:color="auto"/>
        <w:bottom w:val="none" w:sz="0" w:space="0" w:color="auto"/>
        <w:right w:val="none" w:sz="0" w:space="0" w:color="auto"/>
      </w:divBdr>
    </w:div>
    <w:div w:id="292829946">
      <w:bodyDiv w:val="1"/>
      <w:marLeft w:val="0"/>
      <w:marRight w:val="0"/>
      <w:marTop w:val="0"/>
      <w:marBottom w:val="0"/>
      <w:divBdr>
        <w:top w:val="none" w:sz="0" w:space="0" w:color="auto"/>
        <w:left w:val="none" w:sz="0" w:space="0" w:color="auto"/>
        <w:bottom w:val="none" w:sz="0" w:space="0" w:color="auto"/>
        <w:right w:val="none" w:sz="0" w:space="0" w:color="auto"/>
      </w:divBdr>
    </w:div>
    <w:div w:id="357586071">
      <w:bodyDiv w:val="1"/>
      <w:marLeft w:val="0"/>
      <w:marRight w:val="0"/>
      <w:marTop w:val="0"/>
      <w:marBottom w:val="0"/>
      <w:divBdr>
        <w:top w:val="none" w:sz="0" w:space="0" w:color="auto"/>
        <w:left w:val="none" w:sz="0" w:space="0" w:color="auto"/>
        <w:bottom w:val="none" w:sz="0" w:space="0" w:color="auto"/>
        <w:right w:val="none" w:sz="0" w:space="0" w:color="auto"/>
      </w:divBdr>
    </w:div>
    <w:div w:id="453210831">
      <w:bodyDiv w:val="1"/>
      <w:marLeft w:val="0"/>
      <w:marRight w:val="0"/>
      <w:marTop w:val="0"/>
      <w:marBottom w:val="0"/>
      <w:divBdr>
        <w:top w:val="none" w:sz="0" w:space="0" w:color="auto"/>
        <w:left w:val="none" w:sz="0" w:space="0" w:color="auto"/>
        <w:bottom w:val="none" w:sz="0" w:space="0" w:color="auto"/>
        <w:right w:val="none" w:sz="0" w:space="0" w:color="auto"/>
      </w:divBdr>
    </w:div>
    <w:div w:id="720400631">
      <w:bodyDiv w:val="1"/>
      <w:marLeft w:val="0"/>
      <w:marRight w:val="0"/>
      <w:marTop w:val="0"/>
      <w:marBottom w:val="0"/>
      <w:divBdr>
        <w:top w:val="none" w:sz="0" w:space="0" w:color="auto"/>
        <w:left w:val="none" w:sz="0" w:space="0" w:color="auto"/>
        <w:bottom w:val="none" w:sz="0" w:space="0" w:color="auto"/>
        <w:right w:val="none" w:sz="0" w:space="0" w:color="auto"/>
      </w:divBdr>
    </w:div>
    <w:div w:id="890920850">
      <w:bodyDiv w:val="1"/>
      <w:marLeft w:val="0"/>
      <w:marRight w:val="0"/>
      <w:marTop w:val="0"/>
      <w:marBottom w:val="0"/>
      <w:divBdr>
        <w:top w:val="none" w:sz="0" w:space="0" w:color="auto"/>
        <w:left w:val="none" w:sz="0" w:space="0" w:color="auto"/>
        <w:bottom w:val="none" w:sz="0" w:space="0" w:color="auto"/>
        <w:right w:val="none" w:sz="0" w:space="0" w:color="auto"/>
      </w:divBdr>
    </w:div>
    <w:div w:id="909341645">
      <w:bodyDiv w:val="1"/>
      <w:marLeft w:val="0"/>
      <w:marRight w:val="0"/>
      <w:marTop w:val="0"/>
      <w:marBottom w:val="0"/>
      <w:divBdr>
        <w:top w:val="none" w:sz="0" w:space="0" w:color="auto"/>
        <w:left w:val="none" w:sz="0" w:space="0" w:color="auto"/>
        <w:bottom w:val="none" w:sz="0" w:space="0" w:color="auto"/>
        <w:right w:val="none" w:sz="0" w:space="0" w:color="auto"/>
      </w:divBdr>
    </w:div>
    <w:div w:id="974944102">
      <w:bodyDiv w:val="1"/>
      <w:marLeft w:val="0"/>
      <w:marRight w:val="0"/>
      <w:marTop w:val="0"/>
      <w:marBottom w:val="0"/>
      <w:divBdr>
        <w:top w:val="none" w:sz="0" w:space="0" w:color="auto"/>
        <w:left w:val="none" w:sz="0" w:space="0" w:color="auto"/>
        <w:bottom w:val="none" w:sz="0" w:space="0" w:color="auto"/>
        <w:right w:val="none" w:sz="0" w:space="0" w:color="auto"/>
      </w:divBdr>
    </w:div>
    <w:div w:id="1043284666">
      <w:bodyDiv w:val="1"/>
      <w:marLeft w:val="0"/>
      <w:marRight w:val="0"/>
      <w:marTop w:val="0"/>
      <w:marBottom w:val="0"/>
      <w:divBdr>
        <w:top w:val="none" w:sz="0" w:space="0" w:color="auto"/>
        <w:left w:val="none" w:sz="0" w:space="0" w:color="auto"/>
        <w:bottom w:val="none" w:sz="0" w:space="0" w:color="auto"/>
        <w:right w:val="none" w:sz="0" w:space="0" w:color="auto"/>
      </w:divBdr>
    </w:div>
    <w:div w:id="1239483556">
      <w:bodyDiv w:val="1"/>
      <w:marLeft w:val="0"/>
      <w:marRight w:val="0"/>
      <w:marTop w:val="0"/>
      <w:marBottom w:val="0"/>
      <w:divBdr>
        <w:top w:val="none" w:sz="0" w:space="0" w:color="auto"/>
        <w:left w:val="none" w:sz="0" w:space="0" w:color="auto"/>
        <w:bottom w:val="none" w:sz="0" w:space="0" w:color="auto"/>
        <w:right w:val="none" w:sz="0" w:space="0" w:color="auto"/>
      </w:divBdr>
    </w:div>
    <w:div w:id="1358970241">
      <w:bodyDiv w:val="1"/>
      <w:marLeft w:val="0"/>
      <w:marRight w:val="0"/>
      <w:marTop w:val="0"/>
      <w:marBottom w:val="0"/>
      <w:divBdr>
        <w:top w:val="none" w:sz="0" w:space="0" w:color="auto"/>
        <w:left w:val="none" w:sz="0" w:space="0" w:color="auto"/>
        <w:bottom w:val="none" w:sz="0" w:space="0" w:color="auto"/>
        <w:right w:val="none" w:sz="0" w:space="0" w:color="auto"/>
      </w:divBdr>
    </w:div>
    <w:div w:id="1426195411">
      <w:bodyDiv w:val="1"/>
      <w:marLeft w:val="0"/>
      <w:marRight w:val="0"/>
      <w:marTop w:val="0"/>
      <w:marBottom w:val="0"/>
      <w:divBdr>
        <w:top w:val="none" w:sz="0" w:space="0" w:color="auto"/>
        <w:left w:val="none" w:sz="0" w:space="0" w:color="auto"/>
        <w:bottom w:val="none" w:sz="0" w:space="0" w:color="auto"/>
        <w:right w:val="none" w:sz="0" w:space="0" w:color="auto"/>
      </w:divBdr>
    </w:div>
    <w:div w:id="20198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CF70-506B-4AFB-A01E-2EF243F4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1916</Characters>
  <Application>Microsoft Office Word</Application>
  <DocSecurity>4</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2021-10-26T16:04:00Z</dcterms:created>
  <dcterms:modified xsi:type="dcterms:W3CDTF">2021-10-26T16:04:00Z</dcterms:modified>
</cp:coreProperties>
</file>